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F973B" w14:textId="4EC96BFD" w:rsidR="001713E1" w:rsidRPr="00D4551B" w:rsidRDefault="001713E1">
      <w:pPr>
        <w:rPr>
          <w:b/>
          <w:bCs/>
          <w:lang w:val="en-US"/>
        </w:rPr>
      </w:pPr>
      <w:r w:rsidRPr="00D4551B">
        <w:rPr>
          <w:b/>
          <w:bCs/>
          <w:lang w:val="en-US"/>
        </w:rPr>
        <w:t xml:space="preserve">Analysis: </w:t>
      </w:r>
      <w:r w:rsidR="00D92D5D">
        <w:rPr>
          <w:b/>
          <w:bCs/>
          <w:lang w:val="en-US"/>
        </w:rPr>
        <w:t>Di</w:t>
      </w:r>
      <w:r w:rsidR="0044521A">
        <w:rPr>
          <w:b/>
          <w:bCs/>
          <w:lang w:val="en-US"/>
        </w:rPr>
        <w:t xml:space="preserve">etrich </w:t>
      </w:r>
      <w:r w:rsidRPr="00D4551B">
        <w:rPr>
          <w:b/>
          <w:bCs/>
          <w:lang w:val="en-US"/>
        </w:rPr>
        <w:t>Model</w:t>
      </w:r>
    </w:p>
    <w:p w14:paraId="2FFF55E1" w14:textId="25FAFE5D" w:rsidR="001713E1" w:rsidRPr="00D4551B" w:rsidRDefault="001713E1">
      <w:pPr>
        <w:rPr>
          <w:b/>
          <w:bCs/>
          <w:lang w:val="en-US"/>
        </w:rPr>
      </w:pPr>
      <w:r w:rsidRPr="00D4551B">
        <w:rPr>
          <w:b/>
          <w:bCs/>
          <w:lang w:val="en-US"/>
        </w:rPr>
        <w:t>Method of running model</w:t>
      </w:r>
    </w:p>
    <w:p w14:paraId="28FCFAA5" w14:textId="6C61FFDF" w:rsidR="007D7707" w:rsidRDefault="007D7707" w:rsidP="007D7707">
      <w:pPr>
        <w:pStyle w:val="ListParagraph"/>
        <w:numPr>
          <w:ilvl w:val="0"/>
          <w:numId w:val="1"/>
        </w:numPr>
        <w:rPr>
          <w:lang w:val="en-US"/>
        </w:rPr>
      </w:pPr>
      <w:r>
        <w:rPr>
          <w:lang w:val="en-US"/>
        </w:rPr>
        <w:t>Read in Van Melkebeke dataset</w:t>
      </w:r>
      <w:r w:rsidR="00AC33EE">
        <w:rPr>
          <w:lang w:val="en-US"/>
        </w:rPr>
        <w:t>.</w:t>
      </w:r>
    </w:p>
    <w:p w14:paraId="0F6123DC" w14:textId="0EB3CBEC" w:rsidR="007D7707" w:rsidRDefault="007D7707" w:rsidP="007D7707">
      <w:pPr>
        <w:pStyle w:val="ListParagraph"/>
        <w:numPr>
          <w:ilvl w:val="0"/>
          <w:numId w:val="1"/>
        </w:numPr>
        <w:rPr>
          <w:lang w:val="en-US"/>
        </w:rPr>
      </w:pPr>
      <w:r>
        <w:rPr>
          <w:lang w:val="en-US"/>
        </w:rPr>
        <w:t>Calculate additional required variables:</w:t>
      </w:r>
    </w:p>
    <w:p w14:paraId="5B967014" w14:textId="2164B0BD" w:rsidR="007D7707" w:rsidRPr="007D7707" w:rsidRDefault="007D7707" w:rsidP="007D7707">
      <w:pPr>
        <w:pStyle w:val="ListParagraph"/>
        <w:numPr>
          <w:ilvl w:val="1"/>
          <w:numId w:val="1"/>
        </w:numPr>
        <w:rPr>
          <w:lang w:val="en-US"/>
        </w:rPr>
      </w:pPr>
      <w:r>
        <w:rPr>
          <w:lang w:val="en-US"/>
        </w:rPr>
        <w:t xml:space="preserve">Surface area of equivalent sphere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EqSph</m:t>
            </m:r>
          </m:sub>
        </m:sSub>
        <m:r>
          <w:rPr>
            <w:rFonts w:ascii="Cambria Math" w:hAnsi="Cambria Math"/>
            <w:lang w:val="en-US"/>
          </w:rPr>
          <m:t>=4π</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equi</m:t>
                        </m:r>
                      </m:sub>
                    </m:sSub>
                  </m:num>
                  <m:den>
                    <m:r>
                      <w:rPr>
                        <w:rFonts w:ascii="Cambria Math" w:hAnsi="Cambria Math"/>
                        <w:lang w:val="en-US"/>
                      </w:rPr>
                      <m:t>2</m:t>
                    </m:r>
                  </m:den>
                </m:f>
              </m:e>
            </m:d>
          </m:e>
          <m:sup>
            <m:r>
              <w:rPr>
                <w:rFonts w:ascii="Cambria Math" w:hAnsi="Cambria Math"/>
                <w:lang w:val="en-US"/>
              </w:rPr>
              <m:t>2</m:t>
            </m:r>
          </m:sup>
        </m:sSup>
      </m:oMath>
    </w:p>
    <w:p w14:paraId="2EDD0D24" w14:textId="1B82223B" w:rsidR="007D7707" w:rsidRPr="0022183F" w:rsidRDefault="007D7707" w:rsidP="007D7707">
      <w:pPr>
        <w:pStyle w:val="ListParagraph"/>
        <w:numPr>
          <w:ilvl w:val="1"/>
          <w:numId w:val="1"/>
        </w:numPr>
        <w:rPr>
          <w:lang w:val="en-US"/>
        </w:rPr>
      </w:pPr>
      <w:r>
        <w:rPr>
          <w:rFonts w:eastAsiaTheme="minorEastAsia"/>
          <w:lang w:val="en-US"/>
        </w:rPr>
        <w:t xml:space="preserve">mP surface area </w:t>
      </w:r>
      <m:oMath>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mP</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EqSPh</m:t>
                </m:r>
              </m:sub>
            </m:sSub>
            <m:ctrlPr>
              <w:rPr>
                <w:rFonts w:ascii="Cambria Math" w:eastAsiaTheme="minorEastAsia" w:hAnsi="Cambria Math"/>
                <w:lang w:val="en-US"/>
              </w:rPr>
            </m:ctrlPr>
          </m:num>
          <m:den>
            <m:r>
              <m:rPr>
                <m:sty m:val="p"/>
              </m:rPr>
              <w:rPr>
                <w:rFonts w:ascii="Cambria Math" w:eastAsiaTheme="minorEastAsia" w:hAnsi="Cambria Math"/>
                <w:lang w:val="en-US"/>
              </w:rPr>
              <m:t>Φ</m:t>
            </m:r>
          </m:den>
        </m:f>
      </m:oMath>
    </w:p>
    <w:p w14:paraId="6A67F910" w14:textId="1442569B" w:rsidR="0022183F" w:rsidRPr="0022183F" w:rsidRDefault="0022183F" w:rsidP="007D7707">
      <w:pPr>
        <w:pStyle w:val="ListParagraph"/>
        <w:numPr>
          <w:ilvl w:val="1"/>
          <w:numId w:val="1"/>
        </w:numPr>
        <w:rPr>
          <w:lang w:val="en-US"/>
        </w:rPr>
      </w:pPr>
      <w:r>
        <w:rPr>
          <w:rFonts w:eastAsiaTheme="minorEastAsia"/>
          <w:lang w:val="en-US"/>
        </w:rPr>
        <w:t xml:space="preserve">Equivalent spherical volume </w:t>
      </w:r>
      <m:oMath>
        <m:r>
          <w:rPr>
            <w:rFonts w:ascii="Cambria Math" w:eastAsiaTheme="minorEastAsia" w:hAnsi="Cambria Math"/>
            <w:lang w:val="en-US"/>
          </w:rPr>
          <m:t>Vo</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mP</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3</m:t>
            </m:r>
          </m:den>
        </m:f>
        <m:r>
          <w:rPr>
            <w:rFonts w:ascii="Cambria Math" w:eastAsiaTheme="minorEastAsia" w:hAnsi="Cambria Math"/>
            <w:lang w:val="en-US"/>
          </w:rPr>
          <m:t>π</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equi</m:t>
                        </m:r>
                      </m:sub>
                    </m:sSub>
                  </m:num>
                  <m:den>
                    <m:r>
                      <w:rPr>
                        <w:rFonts w:ascii="Cambria Math" w:eastAsiaTheme="minorEastAsia" w:hAnsi="Cambria Math"/>
                        <w:lang w:val="en-US"/>
                      </w:rPr>
                      <m:t>2</m:t>
                    </m:r>
                  </m:den>
                </m:f>
              </m:e>
            </m:d>
          </m:e>
          <m:sup>
            <m:r>
              <w:rPr>
                <w:rFonts w:ascii="Cambria Math" w:eastAsiaTheme="minorEastAsia" w:hAnsi="Cambria Math"/>
                <w:lang w:val="en-US"/>
              </w:rPr>
              <m:t>3</m:t>
            </m:r>
          </m:sup>
        </m:sSup>
      </m:oMath>
    </w:p>
    <w:p w14:paraId="50013E5E" w14:textId="4F78BC88" w:rsidR="0022183F" w:rsidRPr="0022183F" w:rsidRDefault="0022183F" w:rsidP="007D7707">
      <w:pPr>
        <w:pStyle w:val="ListParagraph"/>
        <w:numPr>
          <w:ilvl w:val="1"/>
          <w:numId w:val="1"/>
        </w:numPr>
        <w:rPr>
          <w:lang w:val="en-US"/>
        </w:rPr>
      </w:pPr>
      <w:r>
        <w:rPr>
          <w:rFonts w:eastAsiaTheme="minorEastAsia"/>
          <w:lang w:val="en-US"/>
        </w:rPr>
        <w:t xml:space="preserve">mP mass </w:t>
      </w:r>
      <m:oMath>
        <m:r>
          <w:rPr>
            <w:rFonts w:ascii="Cambria Math" w:eastAsiaTheme="minorEastAsia" w:hAnsi="Cambria Math"/>
            <w:lang w:val="en-US"/>
          </w:rPr>
          <m:t>Mas</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mP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mP</m:t>
            </m:r>
          </m:sub>
        </m:sSub>
        <m:r>
          <w:rPr>
            <w:rFonts w:ascii="Cambria Math" w:eastAsiaTheme="minorEastAsia" w:hAnsi="Cambria Math"/>
            <w:lang w:val="en-US"/>
          </w:rPr>
          <m:t>Vo</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mP</m:t>
            </m:r>
          </m:sub>
        </m:sSub>
      </m:oMath>
    </w:p>
    <w:p w14:paraId="4CF23EFA" w14:textId="01DFC248" w:rsidR="0022183F" w:rsidRPr="0022183F" w:rsidRDefault="0022183F" w:rsidP="007D7707">
      <w:pPr>
        <w:pStyle w:val="ListParagraph"/>
        <w:numPr>
          <w:ilvl w:val="1"/>
          <w:numId w:val="1"/>
        </w:numPr>
        <w:rPr>
          <w:lang w:val="en-US"/>
        </w:rPr>
      </w:pPr>
      <w:r>
        <w:rPr>
          <w:rFonts w:eastAsiaTheme="minorEastAsia"/>
          <w:lang w:val="en-US"/>
        </w:rPr>
        <w:t xml:space="preserve">Corey Shape factor </w:t>
      </w:r>
      <m:oMath>
        <m:r>
          <w:rPr>
            <w:rFonts w:ascii="Cambria Math" w:eastAsiaTheme="minorEastAsia" w:hAnsi="Cambria Math"/>
            <w:lang w:val="en-US"/>
          </w:rPr>
          <m:t>CSF=</m:t>
        </m:r>
        <m:f>
          <m:fPr>
            <m:ctrlPr>
              <w:rPr>
                <w:rFonts w:ascii="Cambria Math" w:eastAsiaTheme="minorEastAsia" w:hAnsi="Cambria Math"/>
                <w:i/>
                <w:lang w:val="en-US"/>
              </w:rPr>
            </m:ctrlPr>
          </m:fPr>
          <m:num>
            <m:r>
              <w:rPr>
                <w:rFonts w:ascii="Cambria Math" w:eastAsiaTheme="minorEastAsia" w:hAnsi="Cambria Math"/>
                <w:lang w:val="en-US"/>
              </w:rPr>
              <m:t>c</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ab</m:t>
                </m:r>
              </m:e>
            </m:rad>
          </m:den>
        </m:f>
      </m:oMath>
    </w:p>
    <w:p w14:paraId="002D0007" w14:textId="10586D3D" w:rsidR="0022183F" w:rsidRPr="00B76962" w:rsidRDefault="0022183F" w:rsidP="007D7707">
      <w:pPr>
        <w:pStyle w:val="ListParagraph"/>
        <w:numPr>
          <w:ilvl w:val="1"/>
          <w:numId w:val="1"/>
        </w:numPr>
        <w:rPr>
          <w:rFonts w:eastAsiaTheme="minorEastAsia"/>
          <w:lang w:val="en-US"/>
        </w:rPr>
      </w:pPr>
      <w:r>
        <w:rPr>
          <w:rFonts w:eastAsiaTheme="minorEastAsia"/>
          <w:lang w:val="en-US"/>
        </w:rPr>
        <w:t xml:space="preserve">Relative density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rel</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mP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w</m:t>
                </m:r>
              </m:sub>
            </m:sSub>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w</m:t>
                </m:r>
              </m:sub>
            </m:sSub>
          </m:den>
        </m:f>
      </m:oMath>
    </w:p>
    <w:p w14:paraId="06E5CBE6" w14:textId="7A312559" w:rsidR="007D7707" w:rsidRPr="0044521A" w:rsidRDefault="00B76962" w:rsidP="0044521A">
      <w:pPr>
        <w:pStyle w:val="ListParagraph"/>
        <w:numPr>
          <w:ilvl w:val="1"/>
          <w:numId w:val="1"/>
        </w:numPr>
        <w:rPr>
          <w:rFonts w:eastAsiaTheme="minorEastAsia"/>
          <w:lang w:val="en-US"/>
        </w:rPr>
      </w:pPr>
      <w:r>
        <w:rPr>
          <w:rFonts w:eastAsiaTheme="minorEastAsia"/>
          <w:lang w:val="en-US"/>
        </w:rPr>
        <w:t xml:space="preserve">Projected area of volume equivalent sphere </w:t>
      </w:r>
      <m:oMath>
        <m:r>
          <w:rPr>
            <w:rFonts w:ascii="Cambria Math" w:eastAsiaTheme="minorEastAsia" w:hAnsi="Cambria Math"/>
            <w:lang w:val="en-US"/>
          </w:rPr>
          <m:t>Proj</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ESD</m:t>
            </m:r>
          </m:sub>
        </m:sSub>
        <m:r>
          <w:rPr>
            <w:rFonts w:ascii="Cambria Math" w:eastAsiaTheme="minorEastAsia" w:hAnsi="Cambria Math"/>
            <w:lang w:val="en-US"/>
          </w:rPr>
          <m:t>=π</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equi</m:t>
                        </m:r>
                      </m:sub>
                    </m:sSub>
                  </m:num>
                  <m:den>
                    <m:r>
                      <w:rPr>
                        <w:rFonts w:ascii="Cambria Math" w:eastAsiaTheme="minorEastAsia" w:hAnsi="Cambria Math"/>
                        <w:lang w:val="en-US"/>
                      </w:rPr>
                      <m:t>2</m:t>
                    </m:r>
                  </m:den>
                </m:f>
              </m:e>
            </m:d>
          </m:e>
          <m:sup>
            <m:r>
              <w:rPr>
                <w:rFonts w:ascii="Cambria Math" w:eastAsiaTheme="minorEastAsia" w:hAnsi="Cambria Math"/>
                <w:lang w:val="en-US"/>
              </w:rPr>
              <m:t>2</m:t>
            </m:r>
          </m:sup>
        </m:sSup>
      </m:oMath>
    </w:p>
    <w:p w14:paraId="61C971A9" w14:textId="77777777" w:rsidR="0044521A" w:rsidRDefault="00AC33EE" w:rsidP="0044521A">
      <w:pPr>
        <w:pStyle w:val="ListParagraph"/>
        <w:numPr>
          <w:ilvl w:val="0"/>
          <w:numId w:val="1"/>
        </w:numPr>
        <w:rPr>
          <w:lang w:val="en-US"/>
        </w:rPr>
      </w:pPr>
      <w:r>
        <w:rPr>
          <w:lang w:val="en-US"/>
        </w:rPr>
        <w:t>For each particle:</w:t>
      </w:r>
    </w:p>
    <w:p w14:paraId="05C2C245" w14:textId="77777777" w:rsidR="0044521A" w:rsidRPr="0044521A" w:rsidRDefault="0044521A" w:rsidP="0044521A">
      <w:pPr>
        <w:pStyle w:val="ListParagraph"/>
        <w:numPr>
          <w:ilvl w:val="1"/>
          <w:numId w:val="1"/>
        </w:numPr>
        <w:rPr>
          <w:rFonts w:eastAsiaTheme="minorEastAsia"/>
          <w:lang w:val="en-US"/>
        </w:rPr>
      </w:pPr>
      <w:r w:rsidRPr="0044521A">
        <w:rPr>
          <w:lang w:val="en-US"/>
        </w:rPr>
        <w:t xml:space="preserve">Calculate the dimensionless particle size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-ρ</m:t>
                </m:r>
              </m:e>
            </m:d>
            <m:r>
              <w:rPr>
                <w:rFonts w:ascii="Cambria Math" w:eastAsiaTheme="minorEastAsia" w:hAnsi="Cambria Math"/>
              </w:rPr>
              <m:t>g</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sup>
                <m:r>
                  <w:rPr>
                    <w:rFonts w:ascii="Cambria Math" w:eastAsiaTheme="minorEastAsia" w:hAnsi="Cambria Math"/>
                  </w:rPr>
                  <m:t>3</m:t>
                </m:r>
              </m:sup>
            </m:sSup>
          </m:num>
          <m:den>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2</m:t>
                </m:r>
              </m:sup>
            </m:sSup>
          </m:den>
        </m:f>
      </m:oMath>
    </w:p>
    <w:p w14:paraId="7AFC15CE" w14:textId="1BA38CDD" w:rsidR="0044521A" w:rsidRPr="0044521A" w:rsidRDefault="0044521A" w:rsidP="0044521A">
      <w:pPr>
        <w:pStyle w:val="ListParagraph"/>
        <w:numPr>
          <w:ilvl w:val="1"/>
          <w:numId w:val="1"/>
        </w:numPr>
        <w:rPr>
          <w:rFonts w:eastAsiaTheme="minorEastAsia"/>
          <w:lang w:val="en-US"/>
        </w:rPr>
      </w:pPr>
      <w:r w:rsidRPr="0044521A">
        <w:rPr>
          <w:rFonts w:eastAsiaTheme="minorEastAsia"/>
        </w:rPr>
        <w:t xml:space="preserve">Calculate the fitted equation for particle size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=-3.76715+1.92944</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e>
            </m:func>
          </m:e>
        </m:d>
        <m:r>
          <w:rPr>
            <w:rFonts w:ascii="Cambria Math" w:eastAsiaTheme="minorEastAsia" w:hAnsi="Cambria Math"/>
          </w:rPr>
          <m:t>-0.09815</m:t>
        </m:r>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e>
                </m:func>
              </m:e>
            </m:d>
          </m:e>
          <m:sup>
            <m:r>
              <w:rPr>
                <w:rFonts w:ascii="Cambria Math" w:eastAsiaTheme="minorEastAsia" w:hAnsi="Cambria Math"/>
              </w:rPr>
              <m:t>2.0</m:t>
            </m:r>
          </m:sup>
        </m:sSup>
        <m:r>
          <w:rPr>
            <w:rFonts w:ascii="Cambria Math" w:eastAsiaTheme="minorEastAsia" w:hAnsi="Cambria Math"/>
          </w:rPr>
          <m:t>-0.00575</m:t>
        </m:r>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e>
                </m:func>
              </m:e>
            </m:d>
          </m:e>
          <m:sup>
            <m:r>
              <w:rPr>
                <w:rFonts w:ascii="Cambria Math" w:eastAsiaTheme="minorEastAsia" w:hAnsi="Cambria Math"/>
              </w:rPr>
              <m:t>3.0</m:t>
            </m:r>
          </m:sup>
        </m:sSup>
        <m:r>
          <w:rPr>
            <w:rFonts w:ascii="Cambria Math" w:eastAsiaTheme="minorEastAsia" w:hAnsi="Cambria Math"/>
          </w:rPr>
          <m:t>+0.00056</m:t>
        </m:r>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e>
                </m:func>
              </m:e>
            </m:d>
          </m:e>
          <m:sup>
            <m:r>
              <w:rPr>
                <w:rFonts w:ascii="Cambria Math" w:eastAsiaTheme="minorEastAsia" w:hAnsi="Cambria Math"/>
              </w:rPr>
              <m:t>4.0</m:t>
            </m:r>
          </m:sup>
        </m:sSup>
      </m:oMath>
    </w:p>
    <w:p w14:paraId="42D6FEAC" w14:textId="6D3CD22C" w:rsidR="0044521A" w:rsidRPr="0044521A" w:rsidRDefault="0044521A" w:rsidP="0044521A">
      <w:pPr>
        <w:pStyle w:val="ListParagraph"/>
        <w:numPr>
          <w:ilvl w:val="1"/>
          <w:numId w:val="1"/>
        </w:numPr>
        <w:rPr>
          <w:lang w:val="en-US"/>
        </w:rPr>
      </w:pPr>
      <w:r>
        <w:rPr>
          <w:lang w:val="en-US"/>
        </w:rPr>
        <w:t xml:space="preserve">Calculate the fitted equation for particle shape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1-CSF</m:t>
                        </m:r>
                      </m:num>
                      <m:den>
                        <m:r>
                          <w:rPr>
                            <w:rFonts w:ascii="Cambria Math" w:eastAsiaTheme="minorEastAsia" w:hAnsi="Cambria Math"/>
                          </w:rPr>
                          <m:t>0.85</m:t>
                        </m:r>
                      </m:den>
                    </m:f>
                  </m:e>
                </m:d>
              </m:e>
            </m:func>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1-CSF</m:t>
                </m:r>
              </m:e>
            </m:d>
          </m:e>
          <m:sup>
            <m:r>
              <w:rPr>
                <w:rFonts w:ascii="Cambria Math" w:eastAsiaTheme="minorEastAsia" w:hAnsi="Cambria Math"/>
              </w:rPr>
              <m:t>2.3</m:t>
            </m:r>
          </m:sup>
        </m:sSup>
        <m:func>
          <m:funcPr>
            <m:ctrlPr>
              <w:rPr>
                <w:rFonts w:ascii="Cambria Math" w:eastAsiaTheme="minorEastAsia" w:hAnsi="Cambria Math"/>
                <w:i/>
              </w:rPr>
            </m:ctrlPr>
          </m:funcPr>
          <m:fName>
            <m:r>
              <m:rPr>
                <m:sty m:val="p"/>
              </m:rPr>
              <w:rPr>
                <w:rFonts w:ascii="Cambria Math" w:eastAsiaTheme="minorEastAsia" w:hAnsi="Cambria Math"/>
              </w:rPr>
              <m:t>tanh</m:t>
            </m:r>
          </m:fName>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e>
                </m:func>
                <m:r>
                  <w:rPr>
                    <w:rFonts w:ascii="Cambria Math" w:eastAsiaTheme="minorEastAsia" w:hAnsi="Cambria Math"/>
                  </w:rPr>
                  <m:t>-4.6</m:t>
                </m:r>
              </m:e>
            </m:d>
            <m:r>
              <w:rPr>
                <w:rFonts w:ascii="Cambria Math" w:eastAsiaTheme="minorEastAsia" w:hAnsi="Cambria Math"/>
              </w:rPr>
              <m:t>+0.3</m:t>
            </m:r>
            <m:d>
              <m:dPr>
                <m:ctrlPr>
                  <w:rPr>
                    <w:rFonts w:ascii="Cambria Math" w:eastAsiaTheme="minorEastAsia" w:hAnsi="Cambria Math"/>
                    <w:i/>
                  </w:rPr>
                </m:ctrlPr>
              </m:dPr>
              <m:e>
                <m:r>
                  <w:rPr>
                    <w:rFonts w:ascii="Cambria Math" w:eastAsiaTheme="minorEastAsia" w:hAnsi="Cambria Math"/>
                  </w:rPr>
                  <m:t>0.5-CSF</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1-CSF</m:t>
                    </m:r>
                  </m:e>
                </m:d>
              </m:e>
              <m:sup>
                <m:r>
                  <w:rPr>
                    <w:rFonts w:ascii="Cambria Math" w:eastAsiaTheme="minorEastAsia" w:hAnsi="Cambria Math"/>
                  </w:rPr>
                  <m:t>2.0</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e>
            </m:func>
            <m:r>
              <w:rPr>
                <w:rFonts w:ascii="Cambria Math" w:eastAsiaTheme="minorEastAsia" w:hAnsi="Cambria Math"/>
              </w:rPr>
              <m:t>-4.6)</m:t>
            </m:r>
          </m:e>
        </m:func>
      </m:oMath>
    </w:p>
    <w:p w14:paraId="67E52900" w14:textId="77777777" w:rsidR="0044521A" w:rsidRPr="0044521A" w:rsidRDefault="0044521A" w:rsidP="0044521A">
      <w:pPr>
        <w:pStyle w:val="ListParagraph"/>
        <w:numPr>
          <w:ilvl w:val="1"/>
          <w:numId w:val="1"/>
        </w:numPr>
        <w:rPr>
          <w:rFonts w:eastAsiaTheme="minorEastAsia"/>
          <w:lang w:val="en-US"/>
        </w:rPr>
      </w:pPr>
      <w:r>
        <w:rPr>
          <w:rFonts w:eastAsiaTheme="minorEastAsia"/>
        </w:rPr>
        <w:t xml:space="preserve">Calculate the fitted equation for particle roundness </w:t>
      </w:r>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0.65-</m:t>
                </m:r>
                <m:d>
                  <m:dPr>
                    <m:ctrlPr>
                      <w:rPr>
                        <w:rFonts w:ascii="Cambria Math" w:hAnsi="Cambria Math"/>
                        <w:i/>
                      </w:rPr>
                    </m:ctrlPr>
                  </m:dPr>
                  <m:e>
                    <m:f>
                      <m:fPr>
                        <m:ctrlPr>
                          <w:rPr>
                            <w:rFonts w:ascii="Cambria Math" w:hAnsi="Cambria Math"/>
                            <w:i/>
                          </w:rPr>
                        </m:ctrlPr>
                      </m:fPr>
                      <m:num>
                        <m:r>
                          <w:rPr>
                            <w:rFonts w:ascii="Cambria Math" w:hAnsi="Cambria Math"/>
                          </w:rPr>
                          <m:t>CSF</m:t>
                        </m:r>
                      </m:num>
                      <m:den>
                        <m:r>
                          <w:rPr>
                            <w:rFonts w:ascii="Cambria Math" w:hAnsi="Cambria Math"/>
                          </w:rPr>
                          <m:t>2.83</m:t>
                        </m:r>
                      </m:den>
                    </m:f>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D</m:t>
                                    </m:r>
                                  </m:e>
                                  <m:sub>
                                    <m:r>
                                      <w:rPr>
                                        <w:rFonts w:ascii="Cambria Math" w:hAnsi="Cambria Math"/>
                                      </w:rPr>
                                      <m:t>*</m:t>
                                    </m:r>
                                  </m:sub>
                                </m:sSub>
                              </m:e>
                            </m:func>
                            <m:r>
                              <w:rPr>
                                <w:rFonts w:ascii="Cambria Math" w:hAnsi="Cambria Math"/>
                              </w:rPr>
                              <m:t>-4.6</m:t>
                            </m:r>
                          </m:e>
                        </m:d>
                      </m:e>
                    </m:func>
                  </m:e>
                </m:d>
              </m:e>
            </m:d>
          </m:e>
          <m: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3.5-P</m:t>
                    </m:r>
                  </m:num>
                  <m:den>
                    <m:r>
                      <w:rPr>
                        <w:rFonts w:ascii="Cambria Math" w:hAnsi="Cambria Math"/>
                      </w:rPr>
                      <m:t>2.5</m:t>
                    </m:r>
                  </m:den>
                </m:f>
              </m:e>
            </m:d>
          </m:sup>
        </m:sSup>
      </m:oMath>
    </w:p>
    <w:p w14:paraId="7DF583B3" w14:textId="77777777" w:rsidR="0044521A" w:rsidRPr="0044521A" w:rsidRDefault="0044521A" w:rsidP="0044521A">
      <w:pPr>
        <w:pStyle w:val="ListParagraph"/>
        <w:numPr>
          <w:ilvl w:val="1"/>
          <w:numId w:val="1"/>
        </w:numPr>
        <w:rPr>
          <w:rFonts w:eastAsiaTheme="minorEastAsia"/>
          <w:lang w:val="en-US"/>
        </w:rPr>
      </w:pPr>
      <w:r w:rsidRPr="0044521A">
        <w:rPr>
          <w:lang w:val="en-US"/>
        </w:rPr>
        <w:t xml:space="preserve">Calculate the dimensionless particle velocity </w:t>
      </w:r>
      <m:oMath>
        <m:sSub>
          <m:sSubPr>
            <m:ctrlPr>
              <w:rPr>
                <w:rFonts w:ascii="Cambria Math" w:hAnsi="Cambria Math"/>
                <w:i/>
              </w:rPr>
            </m:ctrlPr>
          </m:sSubPr>
          <m:e>
            <m:r>
              <w:rPr>
                <w:rFonts w:ascii="Cambria Math" w:hAnsi="Cambria Math"/>
              </w:rPr>
              <m:t>W</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up>
        </m:sSup>
      </m:oMath>
    </w:p>
    <w:p w14:paraId="6DCD1DA1" w14:textId="75822436" w:rsidR="0044521A" w:rsidRPr="0044521A" w:rsidRDefault="0044521A" w:rsidP="0044521A">
      <w:pPr>
        <w:pStyle w:val="ListParagraph"/>
        <w:numPr>
          <w:ilvl w:val="1"/>
          <w:numId w:val="1"/>
        </w:numPr>
        <w:rPr>
          <w:rFonts w:eastAsiaTheme="minorEastAsia"/>
          <w:lang w:val="en-US"/>
        </w:rPr>
      </w:pPr>
      <w:r w:rsidRPr="0044521A">
        <w:rPr>
          <w:lang w:val="en-US"/>
        </w:rPr>
        <w:t xml:space="preserve">Calculate the actual settling velocity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s</m:t>
            </m:r>
          </m:sub>
          <m:sup>
            <m:r>
              <w:rPr>
                <w:rFonts w:ascii="Cambria Math" w:eastAsiaTheme="minorEastAsia" w:hAnsi="Cambria Math"/>
              </w:rPr>
              <m:t>3</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r>
                  <w:rPr>
                    <w:rFonts w:ascii="Cambria Math" w:eastAsiaTheme="minorEastAsia" w:hAnsi="Cambria Math"/>
                  </w:rPr>
                  <m:t>-ρ</m:t>
                </m:r>
              </m:e>
            </m:d>
            <m:r>
              <w:rPr>
                <w:rFonts w:ascii="Cambria Math" w:eastAsiaTheme="minorEastAsia" w:hAnsi="Cambria Math"/>
              </w:rPr>
              <m:t>gν</m:t>
            </m:r>
          </m:num>
          <m:den>
            <m:r>
              <w:rPr>
                <w:rFonts w:ascii="Cambria Math" w:eastAsiaTheme="minorEastAsia" w:hAnsi="Cambria Math"/>
              </w:rPr>
              <m:t>ρ</m:t>
            </m:r>
          </m:den>
        </m:f>
      </m:oMath>
    </w:p>
    <w:p w14:paraId="62C64C17" w14:textId="71867DF9" w:rsidR="00AC33EE" w:rsidRPr="00AC33EE" w:rsidRDefault="00AC33EE" w:rsidP="0044521A">
      <w:pPr>
        <w:pStyle w:val="ListParagraph"/>
        <w:ind w:left="1440"/>
        <w:rPr>
          <w:lang w:val="en-US"/>
        </w:rPr>
      </w:pPr>
    </w:p>
    <w:p w14:paraId="42116A67" w14:textId="3CA6864E" w:rsidR="009A64D3" w:rsidRDefault="009A64D3" w:rsidP="007D7707">
      <w:pPr>
        <w:pStyle w:val="ListParagraph"/>
        <w:numPr>
          <w:ilvl w:val="0"/>
          <w:numId w:val="1"/>
        </w:numPr>
        <w:rPr>
          <w:lang w:val="en-US"/>
        </w:rPr>
      </w:pPr>
      <w:r>
        <w:rPr>
          <w:lang w:val="en-US"/>
        </w:rPr>
        <w:t>Note that R</w:t>
      </w:r>
      <w:r>
        <w:rPr>
          <w:vertAlign w:val="subscript"/>
          <w:lang w:val="en-US"/>
        </w:rPr>
        <w:t>2</w:t>
      </w:r>
      <w:r>
        <w:rPr>
          <w:lang w:val="en-US"/>
        </w:rPr>
        <w:t xml:space="preserve"> is only valid when CSF&gt;0.15 and only recommended for partiles with CSF&gt;0.2. Therefore, particles with CSF&lt;0.2 were assigned NaN and subsequently removed from the output file.</w:t>
      </w:r>
    </w:p>
    <w:p w14:paraId="43436163" w14:textId="14BD6D29" w:rsidR="00AC33EE" w:rsidRDefault="009A64D3" w:rsidP="007D7707">
      <w:pPr>
        <w:pStyle w:val="ListParagraph"/>
        <w:numPr>
          <w:ilvl w:val="0"/>
          <w:numId w:val="1"/>
        </w:numPr>
        <w:rPr>
          <w:lang w:val="en-US"/>
        </w:rPr>
      </w:pPr>
      <w:r>
        <w:rPr>
          <w:lang w:val="en-US"/>
        </w:rPr>
        <w:t>Using the output file</w:t>
      </w:r>
      <w:r w:rsidR="00BD0C2B">
        <w:rPr>
          <w:lang w:val="en-US"/>
        </w:rPr>
        <w:t>:</w:t>
      </w:r>
    </w:p>
    <w:p w14:paraId="48B6CE32" w14:textId="5ECD15E9" w:rsidR="00BD0C2B" w:rsidRDefault="00BD0C2B" w:rsidP="00BD0C2B">
      <w:pPr>
        <w:pStyle w:val="ListParagraph"/>
        <w:numPr>
          <w:ilvl w:val="1"/>
          <w:numId w:val="1"/>
        </w:numPr>
        <w:rPr>
          <w:lang w:val="en-US"/>
        </w:rPr>
      </w:pPr>
      <w:r>
        <w:rPr>
          <w:lang w:val="en-US"/>
        </w:rPr>
        <w:t xml:space="preserve">Calculate the average error: </w:t>
      </w:r>
      <m:oMath>
        <m:r>
          <w:rPr>
            <w:rFonts w:ascii="Cambria Math" w:hAnsi="Cambria Math"/>
            <w:lang w:val="en-US"/>
          </w:rPr>
          <m:t>AE=</m:t>
        </m:r>
        <m:f>
          <m:fPr>
            <m:ctrlPr>
              <w:rPr>
                <w:rFonts w:ascii="Cambria Math" w:hAnsi="Cambria Math"/>
                <w:i/>
                <w:lang w:val="en-US"/>
              </w:rPr>
            </m:ctrlPr>
          </m:fPr>
          <m:num>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t,calc,i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 meas,i</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t,meas,i</m:t>
                        </m:r>
                      </m:sub>
                    </m:sSub>
                  </m:den>
                </m:f>
              </m:e>
            </m:nary>
            <m:r>
              <w:rPr>
                <w:rFonts w:ascii="Cambria Math" w:hAnsi="Cambria Math"/>
                <w:lang w:val="en-US"/>
              </w:rPr>
              <m:t>×100</m:t>
            </m:r>
          </m:num>
          <m:den>
            <m:r>
              <w:rPr>
                <w:rFonts w:ascii="Cambria Math" w:hAnsi="Cambria Math"/>
                <w:lang w:val="en-US"/>
              </w:rPr>
              <m:t>N</m:t>
            </m:r>
          </m:den>
        </m:f>
      </m:oMath>
    </w:p>
    <w:p w14:paraId="51BA163A" w14:textId="1D852818" w:rsidR="00BD0C2B" w:rsidRPr="007D7707" w:rsidRDefault="00BD0C2B" w:rsidP="00BD0C2B">
      <w:pPr>
        <w:pStyle w:val="ListParagraph"/>
        <w:numPr>
          <w:ilvl w:val="1"/>
          <w:numId w:val="1"/>
        </w:numPr>
        <w:rPr>
          <w:lang w:val="en-US"/>
        </w:rPr>
      </w:pPr>
      <w:r>
        <w:rPr>
          <w:lang w:val="en-US"/>
        </w:rPr>
        <w:t xml:space="preserve">Calculate the root mean squared error: </w:t>
      </w:r>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t,calc,i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 meas,i</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t,meas,i</m:t>
                                    </m:r>
                                  </m:sub>
                                </m:sSub>
                              </m:den>
                            </m:f>
                          </m:e>
                        </m:d>
                      </m:e>
                    </m:nary>
                  </m:e>
                  <m:sup>
                    <m:r>
                      <w:rPr>
                        <w:rFonts w:ascii="Cambria Math" w:hAnsi="Cambria Math"/>
                        <w:lang w:val="en-US"/>
                      </w:rPr>
                      <m:t>2</m:t>
                    </m:r>
                  </m:sup>
                </m:sSup>
                <m:r>
                  <w:rPr>
                    <w:rFonts w:ascii="Cambria Math" w:hAnsi="Cambria Math"/>
                    <w:lang w:val="en-US"/>
                  </w:rPr>
                  <m:t>×100</m:t>
                </m:r>
              </m:num>
              <m:den>
                <m:r>
                  <w:rPr>
                    <w:rFonts w:ascii="Cambria Math" w:hAnsi="Cambria Math"/>
                    <w:lang w:val="en-US"/>
                  </w:rPr>
                  <m:t>N</m:t>
                </m:r>
              </m:den>
            </m:f>
          </m:e>
        </m:rad>
      </m:oMath>
    </w:p>
    <w:p w14:paraId="55F10217" w14:textId="77777777" w:rsidR="009A64D3" w:rsidRDefault="009A64D3">
      <w:pPr>
        <w:rPr>
          <w:b/>
          <w:bCs/>
          <w:lang w:val="en-US"/>
        </w:rPr>
      </w:pPr>
    </w:p>
    <w:p w14:paraId="44BCBE27" w14:textId="77777777" w:rsidR="009A64D3" w:rsidRDefault="009A64D3">
      <w:pPr>
        <w:rPr>
          <w:b/>
          <w:bCs/>
          <w:lang w:val="en-US"/>
        </w:rPr>
      </w:pPr>
    </w:p>
    <w:p w14:paraId="47D52C41" w14:textId="77777777" w:rsidR="009A64D3" w:rsidRDefault="009A64D3">
      <w:pPr>
        <w:rPr>
          <w:b/>
          <w:bCs/>
          <w:lang w:val="en-US"/>
        </w:rPr>
      </w:pPr>
    </w:p>
    <w:p w14:paraId="696A715F" w14:textId="77777777" w:rsidR="009A64D3" w:rsidRDefault="009A64D3">
      <w:pPr>
        <w:rPr>
          <w:b/>
          <w:bCs/>
          <w:lang w:val="en-US"/>
        </w:rPr>
      </w:pPr>
    </w:p>
    <w:p w14:paraId="230C9BAB" w14:textId="77777777" w:rsidR="009A64D3" w:rsidRDefault="009A64D3">
      <w:pPr>
        <w:rPr>
          <w:b/>
          <w:bCs/>
          <w:lang w:val="en-US"/>
        </w:rPr>
      </w:pPr>
    </w:p>
    <w:p w14:paraId="2611BB91" w14:textId="77777777" w:rsidR="009A64D3" w:rsidRDefault="009A64D3">
      <w:pPr>
        <w:rPr>
          <w:b/>
          <w:bCs/>
          <w:lang w:val="en-US"/>
        </w:rPr>
      </w:pPr>
    </w:p>
    <w:p w14:paraId="31A41F37" w14:textId="115579DA" w:rsidR="001713E1" w:rsidRDefault="001713E1">
      <w:pPr>
        <w:rPr>
          <w:b/>
          <w:bCs/>
          <w:lang w:val="en-US"/>
        </w:rPr>
      </w:pPr>
      <w:r w:rsidRPr="00D4551B">
        <w:rPr>
          <w:b/>
          <w:bCs/>
          <w:lang w:val="en-US"/>
        </w:rPr>
        <w:lastRenderedPageBreak/>
        <w:t>Results and discussion</w:t>
      </w:r>
    </w:p>
    <w:p w14:paraId="17306150" w14:textId="316C571B" w:rsidR="009A64D3" w:rsidRPr="00D4551B" w:rsidRDefault="009A64D3">
      <w:pPr>
        <w:rPr>
          <w:b/>
          <w:bCs/>
          <w:lang w:val="en-US"/>
        </w:rPr>
      </w:pPr>
      <w:r>
        <w:rPr>
          <w:noProof/>
        </w:rPr>
        <w:drawing>
          <wp:inline distT="0" distB="0" distL="0" distR="0" wp14:anchorId="224BEF47" wp14:editId="74D2576C">
            <wp:extent cx="5731510" cy="3086735"/>
            <wp:effectExtent l="0" t="0" r="254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86735"/>
                    </a:xfrm>
                    <a:prstGeom prst="rect">
                      <a:avLst/>
                    </a:prstGeom>
                    <a:noFill/>
                    <a:ln>
                      <a:noFill/>
                    </a:ln>
                  </pic:spPr>
                </pic:pic>
              </a:graphicData>
            </a:graphic>
          </wp:inline>
        </w:drawing>
      </w:r>
    </w:p>
    <w:p w14:paraId="316300AA" w14:textId="4EBE38FB" w:rsidR="00773B22" w:rsidRDefault="009A64D3">
      <w:pPr>
        <w:rPr>
          <w:lang w:val="en-US"/>
        </w:rPr>
      </w:pPr>
      <w:r>
        <w:rPr>
          <w:noProof/>
        </w:rPr>
        <w:drawing>
          <wp:inline distT="0" distB="0" distL="0" distR="0" wp14:anchorId="3C3819D1" wp14:editId="0DA523BE">
            <wp:extent cx="5731510" cy="3086735"/>
            <wp:effectExtent l="0" t="0" r="254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86735"/>
                    </a:xfrm>
                    <a:prstGeom prst="rect">
                      <a:avLst/>
                    </a:prstGeom>
                    <a:noFill/>
                    <a:ln>
                      <a:noFill/>
                    </a:ln>
                  </pic:spPr>
                </pic:pic>
              </a:graphicData>
            </a:graphic>
          </wp:inline>
        </w:drawing>
      </w:r>
    </w:p>
    <w:p w14:paraId="33BBF8F6" w14:textId="2EBD8DEE" w:rsidR="00C026F7" w:rsidRDefault="009A64D3" w:rsidP="009A64D3">
      <w:pPr>
        <w:spacing w:after="0"/>
        <w:rPr>
          <w:lang w:val="en-US"/>
        </w:rPr>
      </w:pPr>
      <w:r>
        <w:rPr>
          <w:lang w:val="en-US"/>
        </w:rPr>
        <w:t>The model only provides output for half of the fragments and one of the fibres. It cannot calculate the settling velocity of the films and for fragments and fibres that have CSF&lt;0.2.</w:t>
      </w:r>
    </w:p>
    <w:p w14:paraId="3D376564" w14:textId="486C2C07" w:rsidR="000B6828" w:rsidRDefault="0070084F" w:rsidP="0070084F">
      <w:pPr>
        <w:spacing w:after="0"/>
        <w:rPr>
          <w:lang w:val="en-US"/>
        </w:rPr>
      </w:pPr>
      <w:r>
        <w:rPr>
          <w:lang w:val="en-US"/>
        </w:rPr>
        <w:t>For the particles that it is applicable to, the model provides a reasonably accurate estimate of the terminal settling velocity, with a gradient close to 1. However, it does underestimate the lowest terminal settling velocities.</w:t>
      </w:r>
    </w:p>
    <w:p w14:paraId="544B97C5" w14:textId="755D08EC" w:rsidR="000B6828" w:rsidRDefault="0070084F">
      <w:pPr>
        <w:rPr>
          <w:lang w:val="en-US"/>
        </w:rPr>
      </w:pPr>
      <w:r>
        <w:rPr>
          <w:noProof/>
        </w:rPr>
        <w:lastRenderedPageBreak/>
        <w:drawing>
          <wp:inline distT="0" distB="0" distL="0" distR="0" wp14:anchorId="794489F9" wp14:editId="2DFC49BD">
            <wp:extent cx="5731510" cy="3063875"/>
            <wp:effectExtent l="0" t="0" r="2540" b="317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63875"/>
                    </a:xfrm>
                    <a:prstGeom prst="rect">
                      <a:avLst/>
                    </a:prstGeom>
                    <a:noFill/>
                    <a:ln>
                      <a:noFill/>
                    </a:ln>
                  </pic:spPr>
                </pic:pic>
              </a:graphicData>
            </a:graphic>
          </wp:inline>
        </w:drawing>
      </w:r>
    </w:p>
    <w:p w14:paraId="482384F4" w14:textId="5EDD2B18" w:rsidR="005D202D" w:rsidRDefault="0070084F">
      <w:pPr>
        <w:rPr>
          <w:lang w:val="en-US"/>
        </w:rPr>
      </w:pPr>
      <w:r>
        <w:rPr>
          <w:noProof/>
        </w:rPr>
        <w:drawing>
          <wp:inline distT="0" distB="0" distL="0" distR="0" wp14:anchorId="2A3A9913" wp14:editId="634EBE08">
            <wp:extent cx="5731510" cy="2946400"/>
            <wp:effectExtent l="0" t="0" r="2540" b="6350"/>
            <wp:docPr id="5" name="Picture 5"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atter char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46400"/>
                    </a:xfrm>
                    <a:prstGeom prst="rect">
                      <a:avLst/>
                    </a:prstGeom>
                    <a:noFill/>
                    <a:ln>
                      <a:noFill/>
                    </a:ln>
                  </pic:spPr>
                </pic:pic>
              </a:graphicData>
            </a:graphic>
          </wp:inline>
        </w:drawing>
      </w:r>
    </w:p>
    <w:p w14:paraId="32E98B1C" w14:textId="306F846C" w:rsidR="000B6828" w:rsidRDefault="000B6828">
      <w:pPr>
        <w:rPr>
          <w:lang w:val="en-US"/>
        </w:rPr>
      </w:pPr>
      <w:r>
        <w:rPr>
          <w:lang w:val="en-US"/>
        </w:rPr>
        <w:t>The particle terminal settling velocity increases as particle size increases.</w:t>
      </w:r>
      <w:r w:rsidR="0070084F">
        <w:rPr>
          <w:lang w:val="en-US"/>
        </w:rPr>
        <w:t xml:space="preserve"> </w:t>
      </w:r>
    </w:p>
    <w:p w14:paraId="0FCA9D5F" w14:textId="759D29CA" w:rsidR="000B6828" w:rsidRDefault="000B6828">
      <w:pPr>
        <w:rPr>
          <w:lang w:val="en-US"/>
        </w:rPr>
      </w:pPr>
      <w:r>
        <w:rPr>
          <w:lang w:val="en-US"/>
        </w:rPr>
        <w:t>The fragments have the largest equivalent spherical diameter.</w:t>
      </w:r>
      <w:r w:rsidR="005D202D">
        <w:rPr>
          <w:lang w:val="en-US"/>
        </w:rPr>
        <w:t xml:space="preserve"> </w:t>
      </w:r>
      <w:r w:rsidR="0070084F">
        <w:rPr>
          <w:lang w:val="en-US"/>
        </w:rPr>
        <w:t>The model cannot predict the settling velocity of the particles with the lowest equivalent spherical diameter (i.e., films and fibres).</w:t>
      </w:r>
    </w:p>
    <w:p w14:paraId="535DF6D3" w14:textId="6CBA3604" w:rsidR="00332C21" w:rsidRDefault="0070084F">
      <w:pPr>
        <w:rPr>
          <w:lang w:val="en-US"/>
        </w:rPr>
      </w:pPr>
      <w:r>
        <w:rPr>
          <w:noProof/>
        </w:rPr>
        <w:lastRenderedPageBreak/>
        <w:drawing>
          <wp:inline distT="0" distB="0" distL="0" distR="0" wp14:anchorId="17648D00" wp14:editId="7EFC7089">
            <wp:extent cx="5731510" cy="2946400"/>
            <wp:effectExtent l="0" t="0" r="2540" b="6350"/>
            <wp:docPr id="6" name="Picture 6"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46400"/>
                    </a:xfrm>
                    <a:prstGeom prst="rect">
                      <a:avLst/>
                    </a:prstGeom>
                    <a:noFill/>
                    <a:ln>
                      <a:noFill/>
                    </a:ln>
                  </pic:spPr>
                </pic:pic>
              </a:graphicData>
            </a:graphic>
          </wp:inline>
        </w:drawing>
      </w:r>
    </w:p>
    <w:p w14:paraId="7D32355C" w14:textId="6D17F967" w:rsidR="00332C21" w:rsidRDefault="00332C21">
      <w:pPr>
        <w:rPr>
          <w:lang w:val="en-US"/>
        </w:rPr>
      </w:pPr>
      <w:r>
        <w:rPr>
          <w:lang w:val="en-US"/>
        </w:rPr>
        <w:t xml:space="preserve">The </w:t>
      </w:r>
      <w:r w:rsidR="0070084F">
        <w:rPr>
          <w:lang w:val="en-US"/>
        </w:rPr>
        <w:t xml:space="preserve">model </w:t>
      </w:r>
      <w:r w:rsidR="00614843">
        <w:rPr>
          <w:lang w:val="en-US"/>
        </w:rPr>
        <w:t>does not predict the settling velocity of particles with CSF&lt;0.15</w:t>
      </w:r>
      <w:r>
        <w:rPr>
          <w:lang w:val="en-US"/>
        </w:rPr>
        <w:t>.</w:t>
      </w:r>
      <w:r w:rsidR="00614843">
        <w:rPr>
          <w:lang w:val="en-US"/>
        </w:rPr>
        <w:t xml:space="preserve"> It is used here to estimate the settling velocity of particles with 0.15&lt;CSF&lt;0.2, however it is not recommended for use in this range.</w:t>
      </w:r>
    </w:p>
    <w:p w14:paraId="4A8DEBCC" w14:textId="448A7C2D" w:rsidR="00C026F7" w:rsidRDefault="00773B22">
      <w:pPr>
        <w:rPr>
          <w:lang w:val="en-US"/>
        </w:rPr>
      </w:pPr>
      <w:r>
        <w:rPr>
          <w:lang w:val="en-US"/>
        </w:rPr>
        <w:t>Summary table:</w:t>
      </w:r>
    </w:p>
    <w:tbl>
      <w:tblPr>
        <w:tblStyle w:val="TableGrid"/>
        <w:tblW w:w="0" w:type="auto"/>
        <w:tblLook w:val="04A0" w:firstRow="1" w:lastRow="0" w:firstColumn="1" w:lastColumn="0" w:noHBand="0" w:noVBand="1"/>
      </w:tblPr>
      <w:tblGrid>
        <w:gridCol w:w="1382"/>
        <w:gridCol w:w="1504"/>
        <w:gridCol w:w="1483"/>
        <w:gridCol w:w="1516"/>
        <w:gridCol w:w="1576"/>
      </w:tblGrid>
      <w:tr w:rsidR="00614843" w14:paraId="10B56BDD" w14:textId="77777777" w:rsidTr="00C026F7">
        <w:tc>
          <w:tcPr>
            <w:tcW w:w="1382" w:type="dxa"/>
          </w:tcPr>
          <w:p w14:paraId="0FAE7657" w14:textId="5C5F8AFA" w:rsidR="00614843" w:rsidRPr="00C026F7" w:rsidRDefault="00614843">
            <w:pPr>
              <w:rPr>
                <w:b/>
                <w:bCs/>
                <w:lang w:val="en-US"/>
              </w:rPr>
            </w:pPr>
            <w:r w:rsidRPr="00C026F7">
              <w:rPr>
                <w:b/>
                <w:bCs/>
                <w:lang w:val="en-US"/>
              </w:rPr>
              <w:t>Shape</w:t>
            </w:r>
          </w:p>
        </w:tc>
        <w:tc>
          <w:tcPr>
            <w:tcW w:w="1504" w:type="dxa"/>
          </w:tcPr>
          <w:p w14:paraId="32FE8F8B" w14:textId="2A71A79E" w:rsidR="00614843" w:rsidRPr="00C026F7" w:rsidRDefault="00614843">
            <w:pPr>
              <w:rPr>
                <w:b/>
                <w:bCs/>
                <w:lang w:val="en-US"/>
              </w:rPr>
            </w:pPr>
            <w:r w:rsidRPr="00C026F7">
              <w:rPr>
                <w:b/>
                <w:bCs/>
                <w:lang w:val="en-US"/>
              </w:rPr>
              <w:t>m</w:t>
            </w:r>
          </w:p>
        </w:tc>
        <w:tc>
          <w:tcPr>
            <w:tcW w:w="1483" w:type="dxa"/>
          </w:tcPr>
          <w:p w14:paraId="3340A50B" w14:textId="5336220E" w:rsidR="00614843" w:rsidRPr="00C026F7" w:rsidRDefault="00614843">
            <w:pPr>
              <w:rPr>
                <w:b/>
                <w:bCs/>
                <w:lang w:val="en-US"/>
              </w:rPr>
            </w:pPr>
            <w:r w:rsidRPr="00C026F7">
              <w:rPr>
                <w:b/>
                <w:bCs/>
                <w:lang w:val="en-US"/>
              </w:rPr>
              <w:t>R</w:t>
            </w:r>
            <w:r w:rsidRPr="00C026F7">
              <w:rPr>
                <w:b/>
                <w:bCs/>
                <w:vertAlign w:val="superscript"/>
                <w:lang w:val="en-US"/>
              </w:rPr>
              <w:t>2</w:t>
            </w:r>
          </w:p>
        </w:tc>
        <w:tc>
          <w:tcPr>
            <w:tcW w:w="1516" w:type="dxa"/>
          </w:tcPr>
          <w:p w14:paraId="6AD59A37" w14:textId="758C6399" w:rsidR="00614843" w:rsidRPr="00C026F7" w:rsidRDefault="00614843">
            <w:pPr>
              <w:rPr>
                <w:b/>
                <w:bCs/>
                <w:lang w:val="en-US"/>
              </w:rPr>
            </w:pPr>
            <w:r w:rsidRPr="00C026F7">
              <w:rPr>
                <w:b/>
                <w:bCs/>
                <w:lang w:val="en-US"/>
              </w:rPr>
              <w:t>AE</w:t>
            </w:r>
            <w:r>
              <w:rPr>
                <w:b/>
                <w:bCs/>
                <w:lang w:val="en-US"/>
              </w:rPr>
              <w:t xml:space="preserve"> (%)</w:t>
            </w:r>
          </w:p>
        </w:tc>
        <w:tc>
          <w:tcPr>
            <w:tcW w:w="1576" w:type="dxa"/>
          </w:tcPr>
          <w:p w14:paraId="1F8A1E34" w14:textId="7BE55458" w:rsidR="00614843" w:rsidRPr="00C026F7" w:rsidRDefault="00614843">
            <w:pPr>
              <w:rPr>
                <w:b/>
                <w:bCs/>
                <w:lang w:val="en-US"/>
              </w:rPr>
            </w:pPr>
            <w:r w:rsidRPr="00C026F7">
              <w:rPr>
                <w:b/>
                <w:bCs/>
                <w:lang w:val="en-US"/>
              </w:rPr>
              <w:t>RMSE</w:t>
            </w:r>
            <w:r>
              <w:rPr>
                <w:b/>
                <w:bCs/>
                <w:lang w:val="en-US"/>
              </w:rPr>
              <w:t xml:space="preserve"> (%)</w:t>
            </w:r>
          </w:p>
        </w:tc>
      </w:tr>
      <w:tr w:rsidR="00614843" w14:paraId="68D50AAC" w14:textId="77777777" w:rsidTr="00C026F7">
        <w:tc>
          <w:tcPr>
            <w:tcW w:w="1382" w:type="dxa"/>
          </w:tcPr>
          <w:p w14:paraId="1AF7AEE4" w14:textId="4807C5A9" w:rsidR="00614843" w:rsidRDefault="00614843">
            <w:pPr>
              <w:rPr>
                <w:lang w:val="en-US"/>
              </w:rPr>
            </w:pPr>
            <w:r>
              <w:rPr>
                <w:lang w:val="en-US"/>
              </w:rPr>
              <w:t>All</w:t>
            </w:r>
          </w:p>
        </w:tc>
        <w:tc>
          <w:tcPr>
            <w:tcW w:w="1504" w:type="dxa"/>
          </w:tcPr>
          <w:p w14:paraId="2AFD1DBF" w14:textId="3A064DE8" w:rsidR="00614843" w:rsidRDefault="00614843">
            <w:pPr>
              <w:rPr>
                <w:lang w:val="en-US"/>
              </w:rPr>
            </w:pPr>
            <w:r>
              <w:rPr>
                <w:lang w:val="en-US"/>
              </w:rPr>
              <w:t>0.9247</w:t>
            </w:r>
          </w:p>
        </w:tc>
        <w:tc>
          <w:tcPr>
            <w:tcW w:w="1483" w:type="dxa"/>
          </w:tcPr>
          <w:p w14:paraId="2611D39E" w14:textId="12E81BF3" w:rsidR="00614843" w:rsidRDefault="00614843">
            <w:pPr>
              <w:rPr>
                <w:lang w:val="en-US"/>
              </w:rPr>
            </w:pPr>
            <w:r>
              <w:rPr>
                <w:lang w:val="en-US"/>
              </w:rPr>
              <w:t>0.7986</w:t>
            </w:r>
          </w:p>
        </w:tc>
        <w:tc>
          <w:tcPr>
            <w:tcW w:w="1516" w:type="dxa"/>
          </w:tcPr>
          <w:p w14:paraId="4B6AF5B6" w14:textId="7A1609A5" w:rsidR="00614843" w:rsidRDefault="00614843">
            <w:pPr>
              <w:rPr>
                <w:lang w:val="en-US"/>
              </w:rPr>
            </w:pPr>
            <w:r>
              <w:rPr>
                <w:lang w:val="en-US"/>
              </w:rPr>
              <w:t>5.83</w:t>
            </w:r>
          </w:p>
        </w:tc>
        <w:tc>
          <w:tcPr>
            <w:tcW w:w="1576" w:type="dxa"/>
          </w:tcPr>
          <w:p w14:paraId="61613256" w14:textId="3F4B2114" w:rsidR="00614843" w:rsidRDefault="00614843">
            <w:pPr>
              <w:rPr>
                <w:lang w:val="en-US"/>
              </w:rPr>
            </w:pPr>
            <w:r>
              <w:rPr>
                <w:lang w:val="en-US"/>
              </w:rPr>
              <w:t>1.56</w:t>
            </w:r>
          </w:p>
        </w:tc>
      </w:tr>
    </w:tbl>
    <w:p w14:paraId="3D51CD3C" w14:textId="3C5788D7" w:rsidR="00332C21" w:rsidRPr="00332C21" w:rsidRDefault="00332C21">
      <w:pPr>
        <w:rPr>
          <w:lang w:val="en-US"/>
        </w:rPr>
      </w:pPr>
      <w:r>
        <w:rPr>
          <w:lang w:val="en-US"/>
        </w:rPr>
        <w:t xml:space="preserve">Based on the values of m, the model performs </w:t>
      </w:r>
      <w:r w:rsidR="00614843">
        <w:rPr>
          <w:lang w:val="en-US"/>
        </w:rPr>
        <w:t>well at estimating the terminal settling velocity of those particles for which it is applicable. It also has a very low average error and RMSE, further highlighting the accuracy of the model.</w:t>
      </w:r>
    </w:p>
    <w:p w14:paraId="39E0D168" w14:textId="598779A0" w:rsidR="001713E1" w:rsidRPr="00A82274" w:rsidRDefault="001713E1">
      <w:pPr>
        <w:rPr>
          <w:b/>
          <w:bCs/>
          <w:lang w:val="en-US"/>
        </w:rPr>
      </w:pPr>
      <w:r w:rsidRPr="00A82274">
        <w:rPr>
          <w:b/>
          <w:bCs/>
          <w:lang w:val="en-US"/>
        </w:rPr>
        <w:t>Conclusion</w:t>
      </w:r>
    </w:p>
    <w:p w14:paraId="4F6B1D24" w14:textId="1F44D0CA" w:rsidR="00614843" w:rsidRPr="00507D62" w:rsidRDefault="0009783C" w:rsidP="00614843">
      <w:pPr>
        <w:pStyle w:val="ListParagraph"/>
        <w:numPr>
          <w:ilvl w:val="0"/>
          <w:numId w:val="2"/>
        </w:numPr>
        <w:rPr>
          <w:lang w:val="en-US"/>
        </w:rPr>
      </w:pPr>
      <w:r>
        <w:rPr>
          <w:lang w:val="en-US"/>
        </w:rPr>
        <w:t xml:space="preserve">Model performs </w:t>
      </w:r>
      <w:r w:rsidR="00614843">
        <w:rPr>
          <w:lang w:val="en-US"/>
        </w:rPr>
        <w:t>well at predicting the terminal settling velocity of mPs with CSF within the constraints implied by the model.</w:t>
      </w:r>
    </w:p>
    <w:p w14:paraId="5224FAE2" w14:textId="4ADE2FA7" w:rsidR="00EB3635" w:rsidRPr="00507D62" w:rsidRDefault="00614843" w:rsidP="00507D62">
      <w:pPr>
        <w:pStyle w:val="ListParagraph"/>
        <w:numPr>
          <w:ilvl w:val="0"/>
          <w:numId w:val="2"/>
        </w:numPr>
        <w:rPr>
          <w:lang w:val="en-US"/>
        </w:rPr>
      </w:pPr>
      <w:r>
        <w:rPr>
          <w:lang w:val="en-US"/>
        </w:rPr>
        <w:t>The model cannot predict the settling velocity of films or fibres.</w:t>
      </w:r>
    </w:p>
    <w:sectPr w:rsidR="00EB3635" w:rsidRPr="00507D62" w:rsidSect="000E278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348A8"/>
    <w:multiLevelType w:val="hybridMultilevel"/>
    <w:tmpl w:val="495A5A42"/>
    <w:lvl w:ilvl="0" w:tplc="FDE2736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B30C16"/>
    <w:multiLevelType w:val="hybridMultilevel"/>
    <w:tmpl w:val="D7E06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8035035">
    <w:abstractNumId w:val="0"/>
  </w:num>
  <w:num w:numId="2" w16cid:durableId="90124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99"/>
    <w:rsid w:val="0009783C"/>
    <w:rsid w:val="000B6828"/>
    <w:rsid w:val="000C5C52"/>
    <w:rsid w:val="000E278C"/>
    <w:rsid w:val="001713E1"/>
    <w:rsid w:val="0022183F"/>
    <w:rsid w:val="002607E3"/>
    <w:rsid w:val="002C0458"/>
    <w:rsid w:val="00332C21"/>
    <w:rsid w:val="0038547F"/>
    <w:rsid w:val="003E34F7"/>
    <w:rsid w:val="0044521A"/>
    <w:rsid w:val="004E25EB"/>
    <w:rsid w:val="00507D62"/>
    <w:rsid w:val="00556B7A"/>
    <w:rsid w:val="005A6175"/>
    <w:rsid w:val="005D202D"/>
    <w:rsid w:val="00614843"/>
    <w:rsid w:val="00621BD0"/>
    <w:rsid w:val="006A6BB6"/>
    <w:rsid w:val="0070084F"/>
    <w:rsid w:val="007737D7"/>
    <w:rsid w:val="00773B22"/>
    <w:rsid w:val="00774C32"/>
    <w:rsid w:val="007C255D"/>
    <w:rsid w:val="007C361F"/>
    <w:rsid w:val="007D7707"/>
    <w:rsid w:val="00913C97"/>
    <w:rsid w:val="00944548"/>
    <w:rsid w:val="0099574C"/>
    <w:rsid w:val="009A64D3"/>
    <w:rsid w:val="009B1F99"/>
    <w:rsid w:val="009B3A2F"/>
    <w:rsid w:val="009C607A"/>
    <w:rsid w:val="00A32085"/>
    <w:rsid w:val="00A82274"/>
    <w:rsid w:val="00A86112"/>
    <w:rsid w:val="00AC33EE"/>
    <w:rsid w:val="00B76962"/>
    <w:rsid w:val="00BD0C2B"/>
    <w:rsid w:val="00C026F7"/>
    <w:rsid w:val="00C62639"/>
    <w:rsid w:val="00D42A95"/>
    <w:rsid w:val="00D4551B"/>
    <w:rsid w:val="00D92D5D"/>
    <w:rsid w:val="00D9730C"/>
    <w:rsid w:val="00E56044"/>
    <w:rsid w:val="00EB3635"/>
    <w:rsid w:val="00EB677B"/>
    <w:rsid w:val="00F82E55"/>
    <w:rsid w:val="00FE1B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162D4"/>
  <w15:chartTrackingRefBased/>
  <w15:docId w15:val="{0AA44598-FF77-4127-B038-6753AB145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707"/>
    <w:pPr>
      <w:ind w:left="720"/>
      <w:contextualSpacing/>
    </w:pPr>
  </w:style>
  <w:style w:type="character" w:styleId="PlaceholderText">
    <w:name w:val="Placeholder Text"/>
    <w:basedOn w:val="DefaultParagraphFont"/>
    <w:uiPriority w:val="99"/>
    <w:semiHidden/>
    <w:rsid w:val="007D7707"/>
    <w:rPr>
      <w:color w:val="808080"/>
    </w:rPr>
  </w:style>
  <w:style w:type="table" w:styleId="TableGrid">
    <w:name w:val="Table Grid"/>
    <w:basedOn w:val="TableNormal"/>
    <w:uiPriority w:val="39"/>
    <w:rsid w:val="007C2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Normal">
    <w:name w:val="RNormal"/>
    <w:basedOn w:val="Normal"/>
    <w:link w:val="RNormalChar"/>
    <w:qFormat/>
    <w:rsid w:val="00E56044"/>
    <w:pPr>
      <w:spacing w:after="120" w:line="360" w:lineRule="auto"/>
      <w:jc w:val="both"/>
    </w:pPr>
    <w:rPr>
      <w:rFonts w:ascii="Arial" w:hAnsi="Arial" w:cs="Arial"/>
    </w:rPr>
  </w:style>
  <w:style w:type="character" w:customStyle="1" w:styleId="RNormalChar">
    <w:name w:val="RNormal Char"/>
    <w:basedOn w:val="DefaultParagraphFont"/>
    <w:link w:val="RNormal"/>
    <w:rsid w:val="00E56044"/>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4</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Róisín Coyle</dc:creator>
  <cp:keywords/>
  <dc:description/>
  <cp:lastModifiedBy>Róisín Coyle</cp:lastModifiedBy>
  <cp:revision>8</cp:revision>
  <dcterms:created xsi:type="dcterms:W3CDTF">2022-06-21T16:12:00Z</dcterms:created>
  <dcterms:modified xsi:type="dcterms:W3CDTF">2022-06-23T10:41:00Z</dcterms:modified>
</cp:coreProperties>
</file>