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973B" w14:textId="64FD7BB9" w:rsidR="001713E1" w:rsidRPr="00D4551B" w:rsidRDefault="001713E1">
      <w:pPr>
        <w:rPr>
          <w:b/>
          <w:bCs/>
          <w:lang w:val="en-US"/>
        </w:rPr>
      </w:pPr>
      <w:r w:rsidRPr="00D4551B">
        <w:rPr>
          <w:b/>
          <w:bCs/>
          <w:lang w:val="en-US"/>
        </w:rPr>
        <w:t xml:space="preserve">Analysis: </w:t>
      </w:r>
      <w:proofErr w:type="spellStart"/>
      <w:r w:rsidR="00093A00">
        <w:rPr>
          <w:b/>
          <w:bCs/>
          <w:lang w:val="en-US"/>
        </w:rPr>
        <w:t>Francalanci</w:t>
      </w:r>
      <w:proofErr w:type="spellEnd"/>
      <w:r w:rsidRPr="00D4551B">
        <w:rPr>
          <w:b/>
          <w:bCs/>
          <w:lang w:val="en-US"/>
        </w:rPr>
        <w:t xml:space="preserve"> Model</w:t>
      </w:r>
    </w:p>
    <w:p w14:paraId="2FFF55E1" w14:textId="25FAFE5D" w:rsidR="001713E1" w:rsidRPr="00D4551B" w:rsidRDefault="001713E1">
      <w:pPr>
        <w:rPr>
          <w:b/>
          <w:bCs/>
          <w:lang w:val="en-US"/>
        </w:rPr>
      </w:pPr>
      <w:r w:rsidRPr="00D4551B">
        <w:rPr>
          <w:b/>
          <w:bCs/>
          <w:lang w:val="en-US"/>
        </w:rPr>
        <w:t>Method of running model</w:t>
      </w:r>
    </w:p>
    <w:p w14:paraId="28FCFAA5" w14:textId="6C61FFDF" w:rsidR="007D7707" w:rsidRDefault="007D7707" w:rsidP="007D7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in Van </w:t>
      </w:r>
      <w:proofErr w:type="spellStart"/>
      <w:r>
        <w:rPr>
          <w:lang w:val="en-US"/>
        </w:rPr>
        <w:t>Melkebeke</w:t>
      </w:r>
      <w:proofErr w:type="spellEnd"/>
      <w:r>
        <w:rPr>
          <w:lang w:val="en-US"/>
        </w:rPr>
        <w:t xml:space="preserve"> dataset</w:t>
      </w:r>
      <w:r w:rsidR="00AC33EE">
        <w:rPr>
          <w:lang w:val="en-US"/>
        </w:rPr>
        <w:t>.</w:t>
      </w:r>
    </w:p>
    <w:p w14:paraId="0F6123DC" w14:textId="0EB3CBEC" w:rsidR="007D7707" w:rsidRDefault="007D7707" w:rsidP="007D7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additional required variables:</w:t>
      </w:r>
    </w:p>
    <w:p w14:paraId="5B967014" w14:textId="2164B0BD" w:rsidR="007D7707" w:rsidRPr="007D7707" w:rsidRDefault="007D7707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Surface area of equivalent sphere </w:t>
      </w: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EqSph</m:t>
            </m:r>
          </m:sub>
        </m:sSub>
        <m:r>
          <w:rPr>
            <w:rFonts w:ascii="Cambria Math" w:hAnsi="Cambria Math"/>
            <w:lang w:val="en-US"/>
          </w:rPr>
          <m:t>=4π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equi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EDD0D24" w14:textId="1B82223B" w:rsidR="007D7707" w:rsidRPr="0022183F" w:rsidRDefault="007D7707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mP surface area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EqSPh</m:t>
                </m:r>
              </m:sub>
            </m:sSub>
            <m:ctrlPr>
              <w:rPr>
                <w:rFonts w:ascii="Cambria Math" w:eastAsiaTheme="minorEastAsia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Φ</m:t>
            </m:r>
          </m:den>
        </m:f>
      </m:oMath>
    </w:p>
    <w:p w14:paraId="6A67F910" w14:textId="1442569B" w:rsidR="0022183F" w:rsidRPr="0022183F" w:rsidRDefault="0022183F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Equivalent spherical volume </w:t>
      </w:r>
      <m:oMath>
        <m:r>
          <w:rPr>
            <w:rFonts w:ascii="Cambria Math" w:eastAsiaTheme="minorEastAsia" w:hAnsi="Cambria Math"/>
            <w:lang w:val="en-US"/>
          </w:rPr>
          <m:t>Vo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equi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50013E5E" w14:textId="4F78BC88" w:rsidR="0022183F" w:rsidRPr="0022183F" w:rsidRDefault="0022183F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mP mass </w:t>
      </w:r>
      <m:oMath>
        <m:r>
          <w:rPr>
            <w:rFonts w:ascii="Cambria Math" w:eastAsiaTheme="minorEastAsia" w:hAnsi="Cambria Math"/>
            <w:lang w:val="en-US"/>
          </w:rPr>
          <m:t>Mas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  <m:r>
          <w:rPr>
            <w:rFonts w:ascii="Cambria Math" w:eastAsiaTheme="minorEastAsia" w:hAnsi="Cambria Math"/>
            <w:lang w:val="en-US"/>
          </w:rPr>
          <m:t>Vo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mP</m:t>
            </m:r>
          </m:sub>
        </m:sSub>
      </m:oMath>
    </w:p>
    <w:p w14:paraId="4CF23EFA" w14:textId="01DFC248" w:rsidR="0022183F" w:rsidRPr="0022183F" w:rsidRDefault="0022183F" w:rsidP="007D7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Corey Shape factor </w:t>
      </w:r>
      <m:oMath>
        <m:r>
          <w:rPr>
            <w:rFonts w:ascii="Cambria Math" w:eastAsiaTheme="minorEastAsia" w:hAnsi="Cambria Math"/>
            <w:lang w:val="en-US"/>
          </w:rPr>
          <m:t>CSF=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ab</m:t>
                </m:r>
              </m:e>
            </m:rad>
          </m:den>
        </m:f>
      </m:oMath>
    </w:p>
    <w:p w14:paraId="002D0007" w14:textId="10586D3D" w:rsidR="0022183F" w:rsidRPr="00B76962" w:rsidRDefault="0022183F" w:rsidP="007D7707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Relative density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rel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b>
            </m:sSub>
          </m:den>
        </m:f>
      </m:oMath>
    </w:p>
    <w:p w14:paraId="06E5CBE6" w14:textId="0A4FD14B" w:rsidR="007D7707" w:rsidRPr="00093A00" w:rsidRDefault="00B76962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Projected area of volume equivalent sphere </w:t>
      </w:r>
      <m:oMath>
        <m:r>
          <w:rPr>
            <w:rFonts w:ascii="Cambria Math" w:eastAsiaTheme="minorEastAsia" w:hAnsi="Cambria Math"/>
            <w:lang w:val="en-US"/>
          </w:rPr>
          <m:t>Proj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ESD</m:t>
            </m:r>
          </m:sub>
        </m:sSub>
        <m:r>
          <w:rPr>
            <w:rFonts w:ascii="Cambria Math" w:eastAsiaTheme="minorEastAsia" w:hAnsi="Cambria Math"/>
            <w:lang w:val="en-US"/>
          </w:rPr>
          <m:t>=π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equi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0F12365B" w14:textId="77777777" w:rsidR="00093A00" w:rsidRDefault="00AC33EE" w:rsidP="00093A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particle:</w:t>
      </w:r>
    </w:p>
    <w:p w14:paraId="7C384147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lang w:val="en-US"/>
        </w:rPr>
        <w:t xml:space="preserve">Calculate the reference diameter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CSF</m:t>
                </m:r>
              </m:e>
            </m:d>
          </m:e>
          <m:sup>
            <m:r>
              <w:rPr>
                <w:rFonts w:ascii="Cambria Math" w:hAnsi="Cambria Math"/>
              </w:rPr>
              <m:t>0.34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</w:p>
    <w:p w14:paraId="6385DED6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lang w:val="en-US"/>
        </w:rPr>
        <w:t xml:space="preserve">Calculate the dimensionless particle size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ν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33CF3085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coefficient </w:t>
      </w:r>
      <m:oMath>
        <m:r>
          <w:rPr>
            <w:rFonts w:ascii="Cambria Math" w:hAnsi="Cambria Math"/>
          </w:rPr>
          <m:t>E=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2FEE0070" w14:textId="6BB1A6F9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-0.38</m:t>
            </m:r>
          </m:sup>
        </m:sSup>
      </m:oMath>
    </w:p>
    <w:p w14:paraId="20857920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=0.3708 CS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-0.1602</m:t>
            </m:r>
          </m:sup>
        </m:sSup>
      </m:oMath>
    </w:p>
    <w:p w14:paraId="7602350F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exponent </w:t>
      </w:r>
      <m:oMath>
        <m:r>
          <w:rPr>
            <w:rFonts w:ascii="Cambria Math" w:hAnsi="Cambria Math"/>
          </w:rPr>
          <m:t>n=0.4942 CS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-0.059</m:t>
            </m:r>
          </m:sup>
        </m:sSup>
      </m:oMath>
    </w:p>
    <w:p w14:paraId="7A84D143" w14:textId="77777777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dimensionless settling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0.75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2553D3C9" w14:textId="3D11FC20" w:rsidR="00093A00" w:rsidRPr="00093A00" w:rsidRDefault="00093A00" w:rsidP="00093A0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93A00">
        <w:rPr>
          <w:rFonts w:eastAsiaTheme="minorEastAsia"/>
        </w:rPr>
        <w:t xml:space="preserve">Calculate the terminal settling velocity </w:t>
      </w:r>
      <m:oMath>
        <m:r>
          <w:rPr>
            <w:rFonts w:ascii="Cambria Math" w:eastAsiaTheme="minorEastAsia" w:hAnsi="Cambria Math"/>
          </w:rPr>
          <m:t xml:space="preserve">w=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gν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43436163" w14:textId="17127808" w:rsidR="00AC33EE" w:rsidRDefault="00BD0C2B" w:rsidP="007D7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output file:</w:t>
      </w:r>
    </w:p>
    <w:p w14:paraId="48B6CE32" w14:textId="5ECD15E9" w:rsidR="00BD0C2B" w:rsidRDefault="00BD0C2B" w:rsidP="00BD0C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the average error: </w:t>
      </w:r>
      <m:oMath>
        <m:r>
          <w:rPr>
            <w:rFonts w:ascii="Cambria Math" w:hAnsi="Cambria Math"/>
            <w:lang w:val="en-US"/>
          </w:rPr>
          <m:t>AE=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t,calc,i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t, meas,i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t,meas,i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/>
                <w:lang w:val="en-US"/>
              </w:rPr>
              <m:t>×100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51BA163A" w14:textId="1D852818" w:rsidR="00BD0C2B" w:rsidRPr="007D7707" w:rsidRDefault="00BD0C2B" w:rsidP="00BD0C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the root mean squared error: </w:t>
      </w:r>
      <m:oMath>
        <m:r>
          <w:rPr>
            <w:rFonts w:ascii="Cambria Math" w:hAnsi="Cambria Math"/>
            <w:lang w:val="en-US"/>
          </w:rPr>
          <m:t>RMSE=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t,calc,i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t, meas,i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t,meas,i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×100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rad>
      </m:oMath>
    </w:p>
    <w:p w14:paraId="1B10C155" w14:textId="77777777" w:rsidR="00093A00" w:rsidRDefault="00093A00">
      <w:pPr>
        <w:rPr>
          <w:b/>
          <w:bCs/>
          <w:lang w:val="en-US"/>
        </w:rPr>
      </w:pPr>
    </w:p>
    <w:p w14:paraId="5A17F126" w14:textId="77777777" w:rsidR="00093A00" w:rsidRDefault="00093A00">
      <w:pPr>
        <w:rPr>
          <w:b/>
          <w:bCs/>
          <w:lang w:val="en-US"/>
        </w:rPr>
      </w:pPr>
    </w:p>
    <w:p w14:paraId="6BAD330F" w14:textId="77777777" w:rsidR="00093A00" w:rsidRDefault="00093A00">
      <w:pPr>
        <w:rPr>
          <w:b/>
          <w:bCs/>
          <w:lang w:val="en-US"/>
        </w:rPr>
      </w:pPr>
    </w:p>
    <w:p w14:paraId="254CB8DB" w14:textId="77777777" w:rsidR="00093A00" w:rsidRDefault="00093A00">
      <w:pPr>
        <w:rPr>
          <w:b/>
          <w:bCs/>
          <w:lang w:val="en-US"/>
        </w:rPr>
      </w:pPr>
    </w:p>
    <w:p w14:paraId="71CBAF8B" w14:textId="77777777" w:rsidR="00093A00" w:rsidRDefault="00093A00">
      <w:pPr>
        <w:rPr>
          <w:b/>
          <w:bCs/>
          <w:lang w:val="en-US"/>
        </w:rPr>
      </w:pPr>
    </w:p>
    <w:p w14:paraId="4237BBBF" w14:textId="77777777" w:rsidR="00093A00" w:rsidRDefault="00093A00">
      <w:pPr>
        <w:rPr>
          <w:b/>
          <w:bCs/>
          <w:lang w:val="en-US"/>
        </w:rPr>
      </w:pPr>
    </w:p>
    <w:p w14:paraId="4729FF0C" w14:textId="77777777" w:rsidR="00093A00" w:rsidRDefault="00093A00">
      <w:pPr>
        <w:rPr>
          <w:b/>
          <w:bCs/>
          <w:lang w:val="en-US"/>
        </w:rPr>
      </w:pPr>
    </w:p>
    <w:p w14:paraId="3D7244C5" w14:textId="77777777" w:rsidR="00093A00" w:rsidRDefault="00093A00">
      <w:pPr>
        <w:rPr>
          <w:b/>
          <w:bCs/>
          <w:lang w:val="en-US"/>
        </w:rPr>
      </w:pPr>
    </w:p>
    <w:p w14:paraId="31A41F37" w14:textId="312A43A8" w:rsidR="001713E1" w:rsidRPr="00D4551B" w:rsidRDefault="001713E1">
      <w:pPr>
        <w:rPr>
          <w:b/>
          <w:bCs/>
          <w:lang w:val="en-US"/>
        </w:rPr>
      </w:pPr>
      <w:r w:rsidRPr="00D4551B">
        <w:rPr>
          <w:b/>
          <w:bCs/>
          <w:lang w:val="en-US"/>
        </w:rPr>
        <w:lastRenderedPageBreak/>
        <w:t>Results and discussion</w:t>
      </w:r>
    </w:p>
    <w:p w14:paraId="316300AA" w14:textId="15E35A61" w:rsidR="00773B22" w:rsidRDefault="00093A00">
      <w:pPr>
        <w:rPr>
          <w:lang w:val="en-US"/>
        </w:rPr>
      </w:pPr>
      <w:r>
        <w:rPr>
          <w:noProof/>
        </w:rPr>
        <w:drawing>
          <wp:inline distT="0" distB="0" distL="0" distR="0" wp14:anchorId="261513FA" wp14:editId="0493F2A8">
            <wp:extent cx="5731510" cy="3086735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4196" w14:textId="43C8D626" w:rsidR="00773B22" w:rsidRDefault="00093A00">
      <w:pPr>
        <w:rPr>
          <w:lang w:val="en-US"/>
        </w:rPr>
      </w:pPr>
      <w:r>
        <w:rPr>
          <w:noProof/>
        </w:rPr>
        <w:drawing>
          <wp:inline distT="0" distB="0" distL="0" distR="0" wp14:anchorId="355DD625" wp14:editId="6DB6EBD5">
            <wp:extent cx="5731510" cy="3086735"/>
            <wp:effectExtent l="0" t="0" r="254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F8F6" w14:textId="62162ED7" w:rsidR="00C026F7" w:rsidRDefault="00A82274" w:rsidP="00093A00">
      <w:pPr>
        <w:spacing w:after="0"/>
        <w:rPr>
          <w:lang w:val="en-US"/>
        </w:rPr>
      </w:pPr>
      <w:r>
        <w:rPr>
          <w:lang w:val="en-US"/>
        </w:rPr>
        <w:t xml:space="preserve">Considering all the datapoints, the </w:t>
      </w:r>
      <w:r w:rsidR="00093A00">
        <w:rPr>
          <w:lang w:val="en-US"/>
        </w:rPr>
        <w:t>model overestimates the terminal settling velocity of all particles.</w:t>
      </w:r>
    </w:p>
    <w:p w14:paraId="3180F66F" w14:textId="3B7AD4C5" w:rsidR="00556B7A" w:rsidRDefault="00556B7A">
      <w:pPr>
        <w:rPr>
          <w:lang w:val="en-US"/>
        </w:rPr>
      </w:pPr>
    </w:p>
    <w:p w14:paraId="7241583D" w14:textId="4ABD8252" w:rsidR="00556B7A" w:rsidRDefault="00093A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401E47" wp14:editId="51BEEC0F">
            <wp:extent cx="5731510" cy="3086735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FD61" w14:textId="5C914027" w:rsidR="00A82274" w:rsidRDefault="00A82274">
      <w:pPr>
        <w:rPr>
          <w:lang w:val="en-US"/>
        </w:rPr>
      </w:pPr>
      <w:r>
        <w:rPr>
          <w:lang w:val="en-US"/>
        </w:rPr>
        <w:t>Considering only the mPs with fragment morphology, the mod</w:t>
      </w:r>
      <w:r w:rsidR="00093A00">
        <w:rPr>
          <w:lang w:val="en-US"/>
        </w:rPr>
        <w:t>el overestimates the settling velocity of all fragments.</w:t>
      </w:r>
    </w:p>
    <w:p w14:paraId="7B038695" w14:textId="3FC02FEB" w:rsidR="00C026F7" w:rsidRDefault="00093A00">
      <w:pPr>
        <w:rPr>
          <w:lang w:val="en-US"/>
        </w:rPr>
      </w:pPr>
      <w:r>
        <w:rPr>
          <w:noProof/>
        </w:rPr>
        <w:drawing>
          <wp:inline distT="0" distB="0" distL="0" distR="0" wp14:anchorId="317ECA99" wp14:editId="276847D9">
            <wp:extent cx="5731510" cy="3086735"/>
            <wp:effectExtent l="0" t="0" r="254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44BF" w14:textId="7B4437CC" w:rsidR="00C026F7" w:rsidRDefault="00093A00">
      <w:pPr>
        <w:rPr>
          <w:lang w:val="en-US"/>
        </w:rPr>
      </w:pPr>
      <w:r>
        <w:rPr>
          <w:lang w:val="en-US"/>
        </w:rPr>
        <w:t>Considering only the fibrous mPs, the model greatly overestimates the settling velocity of the mPs.</w:t>
      </w:r>
    </w:p>
    <w:p w14:paraId="0EB73D9D" w14:textId="116FFF56" w:rsidR="00C026F7" w:rsidRDefault="00093A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32A48F" wp14:editId="7DD5E2F0">
            <wp:extent cx="5731510" cy="3086735"/>
            <wp:effectExtent l="0" t="0" r="254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5A6A" w14:textId="2EB6F82F" w:rsidR="000B6828" w:rsidRDefault="00C62639">
      <w:pPr>
        <w:rPr>
          <w:lang w:val="en-US"/>
        </w:rPr>
      </w:pPr>
      <w:r>
        <w:rPr>
          <w:lang w:val="en-US"/>
        </w:rPr>
        <w:t xml:space="preserve">Considering only the films, </w:t>
      </w:r>
      <w:r w:rsidR="00093A00">
        <w:rPr>
          <w:lang w:val="en-US"/>
        </w:rPr>
        <w:t>the model greatly overestimates the terminal settling velocity of film mPs.</w:t>
      </w:r>
    </w:p>
    <w:p w14:paraId="482384F4" w14:textId="35618177" w:rsidR="005D202D" w:rsidRDefault="00093A00">
      <w:pPr>
        <w:rPr>
          <w:lang w:val="en-US"/>
        </w:rPr>
      </w:pPr>
      <w:r>
        <w:rPr>
          <w:noProof/>
        </w:rPr>
        <w:drawing>
          <wp:inline distT="0" distB="0" distL="0" distR="0" wp14:anchorId="7B9DAD97" wp14:editId="21E3BE89">
            <wp:extent cx="5731510" cy="2946400"/>
            <wp:effectExtent l="0" t="0" r="2540" b="635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9D5F" w14:textId="3E695195" w:rsidR="000B6828" w:rsidRDefault="000B6828">
      <w:pPr>
        <w:rPr>
          <w:lang w:val="en-US"/>
        </w:rPr>
      </w:pPr>
      <w:r>
        <w:rPr>
          <w:lang w:val="en-US"/>
        </w:rPr>
        <w:t xml:space="preserve">The particle terminal settling velocity increases as particle size increases. The fragments have the largest </w:t>
      </w:r>
      <w:r w:rsidR="00760033">
        <w:rPr>
          <w:lang w:val="en-US"/>
        </w:rPr>
        <w:t xml:space="preserve">volume </w:t>
      </w:r>
      <w:r>
        <w:rPr>
          <w:lang w:val="en-US"/>
        </w:rPr>
        <w:t>equivalent spherical diameter</w:t>
      </w:r>
      <w:r w:rsidR="005D202D">
        <w:rPr>
          <w:lang w:val="en-US"/>
        </w:rPr>
        <w:t>.</w:t>
      </w:r>
    </w:p>
    <w:p w14:paraId="535DF6D3" w14:textId="36DEBE11" w:rsidR="00332C21" w:rsidRDefault="00093A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E61419" wp14:editId="7CBFB8C9">
            <wp:extent cx="5731510" cy="2948940"/>
            <wp:effectExtent l="0" t="0" r="254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355C" w14:textId="5B75194A" w:rsidR="00332C21" w:rsidRDefault="00332C21">
      <w:pPr>
        <w:rPr>
          <w:lang w:val="en-US"/>
        </w:rPr>
      </w:pPr>
      <w:r>
        <w:rPr>
          <w:lang w:val="en-US"/>
        </w:rPr>
        <w:t>The fragment mPs have the highest CSF.</w:t>
      </w:r>
    </w:p>
    <w:p w14:paraId="4A8DEBCC" w14:textId="448A7C2D" w:rsidR="00C026F7" w:rsidRDefault="00773B22">
      <w:pPr>
        <w:rPr>
          <w:lang w:val="en-US"/>
        </w:rPr>
      </w:pPr>
      <w:r>
        <w:rPr>
          <w:lang w:val="en-US"/>
        </w:rPr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504"/>
        <w:gridCol w:w="1483"/>
        <w:gridCol w:w="1516"/>
        <w:gridCol w:w="1576"/>
      </w:tblGrid>
      <w:tr w:rsidR="00093A00" w14:paraId="10B56BDD" w14:textId="77777777" w:rsidTr="00C026F7">
        <w:tc>
          <w:tcPr>
            <w:tcW w:w="1382" w:type="dxa"/>
          </w:tcPr>
          <w:p w14:paraId="0FAE7657" w14:textId="5C5F8AFA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Shape</w:t>
            </w:r>
          </w:p>
        </w:tc>
        <w:tc>
          <w:tcPr>
            <w:tcW w:w="1504" w:type="dxa"/>
          </w:tcPr>
          <w:p w14:paraId="32FE8F8B" w14:textId="2A71A79E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m</w:t>
            </w:r>
          </w:p>
        </w:tc>
        <w:tc>
          <w:tcPr>
            <w:tcW w:w="1483" w:type="dxa"/>
          </w:tcPr>
          <w:p w14:paraId="3340A50B" w14:textId="5336220E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R</w:t>
            </w:r>
            <w:r w:rsidRPr="00C026F7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1516" w:type="dxa"/>
          </w:tcPr>
          <w:p w14:paraId="6AD59A37" w14:textId="758C6399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AE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  <w:tc>
          <w:tcPr>
            <w:tcW w:w="1576" w:type="dxa"/>
          </w:tcPr>
          <w:p w14:paraId="1F8A1E34" w14:textId="7BE55458" w:rsidR="00093A00" w:rsidRPr="00C026F7" w:rsidRDefault="00093A00">
            <w:pPr>
              <w:rPr>
                <w:b/>
                <w:bCs/>
                <w:lang w:val="en-US"/>
              </w:rPr>
            </w:pPr>
            <w:r w:rsidRPr="00C026F7">
              <w:rPr>
                <w:b/>
                <w:bCs/>
                <w:lang w:val="en-US"/>
              </w:rPr>
              <w:t>RMSE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A00" w14:paraId="68D50AAC" w14:textId="77777777" w:rsidTr="00B7754C">
        <w:tc>
          <w:tcPr>
            <w:tcW w:w="1382" w:type="dxa"/>
          </w:tcPr>
          <w:p w14:paraId="1AF7AEE4" w14:textId="4807C5A9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504" w:type="dxa"/>
          </w:tcPr>
          <w:p w14:paraId="2AFD1DBF" w14:textId="272C84CC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1.8839</w:t>
            </w:r>
          </w:p>
        </w:tc>
        <w:tc>
          <w:tcPr>
            <w:tcW w:w="1483" w:type="dxa"/>
          </w:tcPr>
          <w:p w14:paraId="2611D39E" w14:textId="2D8B1DA1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0.8871</w:t>
            </w:r>
          </w:p>
        </w:tc>
        <w:tc>
          <w:tcPr>
            <w:tcW w:w="1516" w:type="dxa"/>
            <w:vAlign w:val="bottom"/>
          </w:tcPr>
          <w:p w14:paraId="4B6AF5B6" w14:textId="39E9DB1E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128.31</w:t>
            </w:r>
          </w:p>
        </w:tc>
        <w:tc>
          <w:tcPr>
            <w:tcW w:w="1576" w:type="dxa"/>
            <w:vAlign w:val="bottom"/>
          </w:tcPr>
          <w:p w14:paraId="61613256" w14:textId="5B87D800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15.11</w:t>
            </w:r>
          </w:p>
        </w:tc>
      </w:tr>
      <w:tr w:rsidR="00093A00" w14:paraId="7F2D7400" w14:textId="77777777" w:rsidTr="00B7754C">
        <w:tc>
          <w:tcPr>
            <w:tcW w:w="1382" w:type="dxa"/>
          </w:tcPr>
          <w:p w14:paraId="500744DF" w14:textId="7E0CF003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  <w:tc>
          <w:tcPr>
            <w:tcW w:w="1504" w:type="dxa"/>
          </w:tcPr>
          <w:p w14:paraId="41E9F76D" w14:textId="53661C9A" w:rsidR="00093A00" w:rsidRDefault="00093A00" w:rsidP="00093A00">
            <w:pPr>
              <w:rPr>
                <w:lang w:val="en-US"/>
              </w:rPr>
            </w:pPr>
            <w:r w:rsidRPr="00852613">
              <w:rPr>
                <w:highlight w:val="yellow"/>
                <w:lang w:val="en-US"/>
              </w:rPr>
              <w:t>1.8280</w:t>
            </w:r>
          </w:p>
        </w:tc>
        <w:tc>
          <w:tcPr>
            <w:tcW w:w="1483" w:type="dxa"/>
          </w:tcPr>
          <w:p w14:paraId="5BA69D4A" w14:textId="759BAD72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0.9295</w:t>
            </w:r>
          </w:p>
        </w:tc>
        <w:tc>
          <w:tcPr>
            <w:tcW w:w="1516" w:type="dxa"/>
            <w:vAlign w:val="bottom"/>
          </w:tcPr>
          <w:p w14:paraId="47C5F753" w14:textId="05766A7F" w:rsidR="00093A00" w:rsidRPr="00093A00" w:rsidRDefault="00093A00" w:rsidP="00093A00">
            <w:pPr>
              <w:rPr>
                <w:rFonts w:cstheme="minorHAnsi"/>
                <w:highlight w:val="yellow"/>
                <w:lang w:val="en-US"/>
              </w:rPr>
            </w:pPr>
            <w:r w:rsidRPr="00852613">
              <w:rPr>
                <w:rFonts w:cstheme="minorHAnsi"/>
                <w:sz w:val="20"/>
                <w:szCs w:val="20"/>
                <w:highlight w:val="yellow"/>
              </w:rPr>
              <w:t>95.48</w:t>
            </w:r>
          </w:p>
        </w:tc>
        <w:tc>
          <w:tcPr>
            <w:tcW w:w="1576" w:type="dxa"/>
            <w:vAlign w:val="bottom"/>
          </w:tcPr>
          <w:p w14:paraId="10AE061E" w14:textId="2AE02C3B" w:rsidR="00093A00" w:rsidRPr="00093A00" w:rsidRDefault="00093A00" w:rsidP="00093A00">
            <w:pPr>
              <w:rPr>
                <w:rFonts w:cstheme="minorHAnsi"/>
                <w:highlight w:val="yellow"/>
                <w:lang w:val="en-US"/>
              </w:rPr>
            </w:pPr>
            <w:r w:rsidRPr="00852613">
              <w:rPr>
                <w:rFonts w:cstheme="minorHAnsi"/>
                <w:sz w:val="20"/>
                <w:szCs w:val="20"/>
                <w:highlight w:val="yellow"/>
              </w:rPr>
              <w:t>10.26</w:t>
            </w:r>
          </w:p>
        </w:tc>
      </w:tr>
      <w:tr w:rsidR="00093A00" w14:paraId="670D275D" w14:textId="77777777" w:rsidTr="00B7754C">
        <w:tc>
          <w:tcPr>
            <w:tcW w:w="1382" w:type="dxa"/>
          </w:tcPr>
          <w:p w14:paraId="0DC832AB" w14:textId="4C9E63AD" w:rsidR="00093A00" w:rsidRDefault="00093A00" w:rsidP="00093A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Fibre</w:t>
            </w:r>
            <w:proofErr w:type="spellEnd"/>
          </w:p>
        </w:tc>
        <w:tc>
          <w:tcPr>
            <w:tcW w:w="1504" w:type="dxa"/>
          </w:tcPr>
          <w:p w14:paraId="544C779A" w14:textId="45AD1420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2.5770</w:t>
            </w:r>
          </w:p>
        </w:tc>
        <w:tc>
          <w:tcPr>
            <w:tcW w:w="1483" w:type="dxa"/>
          </w:tcPr>
          <w:p w14:paraId="1E067F6C" w14:textId="2191ABCE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-0.0224</w:t>
            </w:r>
          </w:p>
        </w:tc>
        <w:tc>
          <w:tcPr>
            <w:tcW w:w="1516" w:type="dxa"/>
            <w:vAlign w:val="bottom"/>
          </w:tcPr>
          <w:p w14:paraId="1495329A" w14:textId="750D9FB5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176.13</w:t>
            </w:r>
          </w:p>
        </w:tc>
        <w:tc>
          <w:tcPr>
            <w:tcW w:w="1576" w:type="dxa"/>
            <w:vAlign w:val="bottom"/>
          </w:tcPr>
          <w:p w14:paraId="3AC307C0" w14:textId="26B4DF83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19.34</w:t>
            </w:r>
          </w:p>
        </w:tc>
      </w:tr>
      <w:tr w:rsidR="00093A00" w14:paraId="6CD4DD99" w14:textId="77777777" w:rsidTr="00B7754C">
        <w:tc>
          <w:tcPr>
            <w:tcW w:w="1382" w:type="dxa"/>
          </w:tcPr>
          <w:p w14:paraId="7EAC1A16" w14:textId="204FBBBA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Film</w:t>
            </w:r>
          </w:p>
        </w:tc>
        <w:tc>
          <w:tcPr>
            <w:tcW w:w="1504" w:type="dxa"/>
          </w:tcPr>
          <w:p w14:paraId="2B71AF23" w14:textId="3D21A26F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2.3790</w:t>
            </w:r>
          </w:p>
        </w:tc>
        <w:tc>
          <w:tcPr>
            <w:tcW w:w="1483" w:type="dxa"/>
          </w:tcPr>
          <w:p w14:paraId="5E34471B" w14:textId="25E92E76" w:rsidR="00093A00" w:rsidRDefault="00093A00" w:rsidP="00093A00">
            <w:pPr>
              <w:rPr>
                <w:lang w:val="en-US"/>
              </w:rPr>
            </w:pPr>
            <w:r>
              <w:rPr>
                <w:lang w:val="en-US"/>
              </w:rPr>
              <w:t>-0.0561</w:t>
            </w:r>
          </w:p>
        </w:tc>
        <w:tc>
          <w:tcPr>
            <w:tcW w:w="1516" w:type="dxa"/>
            <w:vAlign w:val="bottom"/>
          </w:tcPr>
          <w:p w14:paraId="43588FFB" w14:textId="03EF68B4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170.05</w:t>
            </w:r>
          </w:p>
        </w:tc>
        <w:tc>
          <w:tcPr>
            <w:tcW w:w="1576" w:type="dxa"/>
            <w:vAlign w:val="bottom"/>
          </w:tcPr>
          <w:p w14:paraId="379867DA" w14:textId="12907924" w:rsidR="00093A00" w:rsidRPr="00093A00" w:rsidRDefault="00093A00" w:rsidP="00093A00">
            <w:pPr>
              <w:rPr>
                <w:rFonts w:cstheme="minorHAnsi"/>
                <w:lang w:val="en-US"/>
              </w:rPr>
            </w:pPr>
            <w:r w:rsidRPr="00093A00">
              <w:rPr>
                <w:rFonts w:cstheme="minorHAnsi"/>
                <w:sz w:val="20"/>
                <w:szCs w:val="20"/>
              </w:rPr>
              <w:t>20.04</w:t>
            </w:r>
          </w:p>
        </w:tc>
      </w:tr>
    </w:tbl>
    <w:p w14:paraId="3D51CD3C" w14:textId="24C9887B" w:rsidR="00332C21" w:rsidRPr="00332C21" w:rsidRDefault="00332C21">
      <w:pPr>
        <w:rPr>
          <w:lang w:val="en-US"/>
        </w:rPr>
      </w:pPr>
      <w:r>
        <w:rPr>
          <w:lang w:val="en-US"/>
        </w:rPr>
        <w:t xml:space="preserve">Based on the values of m, the model </w:t>
      </w:r>
      <w:r w:rsidR="00447F90">
        <w:rPr>
          <w:lang w:val="en-US"/>
        </w:rPr>
        <w:t>predicts the settling velocity of fragment most accurately. The average error is high fo</w:t>
      </w:r>
      <w:r w:rsidR="0073347F">
        <w:rPr>
          <w:lang w:val="en-US"/>
        </w:rPr>
        <w:t xml:space="preserve">r all shapes. </w:t>
      </w:r>
      <w:r w:rsidR="00447F90">
        <w:rPr>
          <w:lang w:val="en-US"/>
        </w:rPr>
        <w:t>Overall, the model over</w:t>
      </w:r>
      <w:r w:rsidR="00760033">
        <w:rPr>
          <w:lang w:val="en-US"/>
        </w:rPr>
        <w:t>e</w:t>
      </w:r>
      <w:r w:rsidR="00447F90">
        <w:rPr>
          <w:lang w:val="en-US"/>
        </w:rPr>
        <w:t>stimates the terminal settling velocity of all the mP particles</w:t>
      </w:r>
      <w:r>
        <w:rPr>
          <w:lang w:val="en-US"/>
        </w:rPr>
        <w:t>.</w:t>
      </w:r>
      <w:r w:rsidR="00760033">
        <w:rPr>
          <w:lang w:val="en-US"/>
        </w:rPr>
        <w:t xml:space="preserve"> </w:t>
      </w:r>
      <w:r w:rsidR="00760033">
        <w:rPr>
          <w:lang w:val="en-US"/>
        </w:rPr>
        <w:t xml:space="preserve">In </w:t>
      </w:r>
      <w:proofErr w:type="spellStart"/>
      <w:r w:rsidR="00760033">
        <w:rPr>
          <w:lang w:val="en-US"/>
        </w:rPr>
        <w:t>Francalanci’s</w:t>
      </w:r>
      <w:proofErr w:type="spellEnd"/>
      <w:r w:rsidR="00760033">
        <w:rPr>
          <w:lang w:val="en-US"/>
        </w:rPr>
        <w:t xml:space="preserve"> paper their model also overestimates the data in Van </w:t>
      </w:r>
      <w:proofErr w:type="spellStart"/>
      <w:r w:rsidR="00760033">
        <w:rPr>
          <w:lang w:val="en-US"/>
        </w:rPr>
        <w:t>Melkebeke</w:t>
      </w:r>
      <w:proofErr w:type="spellEnd"/>
      <w:r w:rsidR="00760033">
        <w:rPr>
          <w:lang w:val="en-US"/>
        </w:rPr>
        <w:t>.</w:t>
      </w:r>
    </w:p>
    <w:p w14:paraId="39E0D168" w14:textId="598779A0" w:rsidR="001713E1" w:rsidRPr="00A82274" w:rsidRDefault="001713E1">
      <w:pPr>
        <w:rPr>
          <w:b/>
          <w:bCs/>
          <w:lang w:val="en-US"/>
        </w:rPr>
      </w:pPr>
      <w:r w:rsidRPr="00A82274">
        <w:rPr>
          <w:b/>
          <w:bCs/>
          <w:lang w:val="en-US"/>
        </w:rPr>
        <w:t>Conclusion</w:t>
      </w:r>
    </w:p>
    <w:p w14:paraId="4F6B1D24" w14:textId="206A74BD" w:rsidR="001713E1" w:rsidRDefault="0009783C" w:rsidP="00097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performs best </w:t>
      </w:r>
      <w:r w:rsidR="0073347F">
        <w:rPr>
          <w:lang w:val="en-US"/>
        </w:rPr>
        <w:t>for fragments</w:t>
      </w:r>
      <w:r>
        <w:rPr>
          <w:lang w:val="en-US"/>
        </w:rPr>
        <w:t>.</w:t>
      </w:r>
    </w:p>
    <w:p w14:paraId="5224FAE2" w14:textId="3A9052DC" w:rsidR="00EB3635" w:rsidRDefault="0009783C" w:rsidP="00507D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</w:t>
      </w:r>
      <w:r w:rsidR="0073347F">
        <w:rPr>
          <w:lang w:val="en-US"/>
        </w:rPr>
        <w:t>predictions are not very accurate with high errors</w:t>
      </w:r>
      <w:r w:rsidR="00507D62">
        <w:rPr>
          <w:lang w:val="en-US"/>
        </w:rPr>
        <w:t>.</w:t>
      </w:r>
    </w:p>
    <w:p w14:paraId="4DC79817" w14:textId="16E5020E" w:rsidR="00760033" w:rsidRPr="00760033" w:rsidRDefault="00760033" w:rsidP="00760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overestimates the settling velocity considerably.</w:t>
      </w:r>
    </w:p>
    <w:sectPr w:rsidR="00760033" w:rsidRPr="00760033" w:rsidSect="000E278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8A8"/>
    <w:multiLevelType w:val="hybridMultilevel"/>
    <w:tmpl w:val="495A5A42"/>
    <w:lvl w:ilvl="0" w:tplc="FDE27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30C16"/>
    <w:multiLevelType w:val="hybridMultilevel"/>
    <w:tmpl w:val="D7E06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035035">
    <w:abstractNumId w:val="0"/>
  </w:num>
  <w:num w:numId="2" w16cid:durableId="9012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99"/>
    <w:rsid w:val="00093A00"/>
    <w:rsid w:val="0009783C"/>
    <w:rsid w:val="000B6828"/>
    <w:rsid w:val="000C5C52"/>
    <w:rsid w:val="000E278C"/>
    <w:rsid w:val="001713E1"/>
    <w:rsid w:val="0022183F"/>
    <w:rsid w:val="002607E3"/>
    <w:rsid w:val="002C0458"/>
    <w:rsid w:val="00332C21"/>
    <w:rsid w:val="0038547F"/>
    <w:rsid w:val="003E34F7"/>
    <w:rsid w:val="00447F90"/>
    <w:rsid w:val="004E25EB"/>
    <w:rsid w:val="00507D62"/>
    <w:rsid w:val="00556B7A"/>
    <w:rsid w:val="005A6175"/>
    <w:rsid w:val="005D202D"/>
    <w:rsid w:val="00621BD0"/>
    <w:rsid w:val="006A6BB6"/>
    <w:rsid w:val="0073347F"/>
    <w:rsid w:val="00760033"/>
    <w:rsid w:val="007737D7"/>
    <w:rsid w:val="00773B22"/>
    <w:rsid w:val="00774C32"/>
    <w:rsid w:val="007C255D"/>
    <w:rsid w:val="007C361F"/>
    <w:rsid w:val="007D7707"/>
    <w:rsid w:val="00852613"/>
    <w:rsid w:val="00913C97"/>
    <w:rsid w:val="00944548"/>
    <w:rsid w:val="0099574C"/>
    <w:rsid w:val="009B1F99"/>
    <w:rsid w:val="009B3A2F"/>
    <w:rsid w:val="009C607A"/>
    <w:rsid w:val="00A32085"/>
    <w:rsid w:val="00A82274"/>
    <w:rsid w:val="00A86112"/>
    <w:rsid w:val="00AC33EE"/>
    <w:rsid w:val="00B76962"/>
    <w:rsid w:val="00BD0C2B"/>
    <w:rsid w:val="00C026F7"/>
    <w:rsid w:val="00C62639"/>
    <w:rsid w:val="00D42A95"/>
    <w:rsid w:val="00D4551B"/>
    <w:rsid w:val="00D92D5D"/>
    <w:rsid w:val="00D9730C"/>
    <w:rsid w:val="00E56044"/>
    <w:rsid w:val="00EB3635"/>
    <w:rsid w:val="00EB677B"/>
    <w:rsid w:val="00F82E55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62D4"/>
  <w15:chartTrackingRefBased/>
  <w15:docId w15:val="{0AA44598-FF77-4127-B038-6753AB14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707"/>
    <w:rPr>
      <w:color w:val="808080"/>
    </w:rPr>
  </w:style>
  <w:style w:type="table" w:styleId="TableGrid">
    <w:name w:val="Table Grid"/>
    <w:basedOn w:val="TableNormal"/>
    <w:uiPriority w:val="39"/>
    <w:rsid w:val="007C2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Normal">
    <w:name w:val="RNormal"/>
    <w:basedOn w:val="Normal"/>
    <w:link w:val="RNormalChar"/>
    <w:qFormat/>
    <w:rsid w:val="00E56044"/>
    <w:pPr>
      <w:spacing w:after="120" w:line="360" w:lineRule="auto"/>
      <w:jc w:val="both"/>
    </w:pPr>
    <w:rPr>
      <w:rFonts w:ascii="Arial" w:hAnsi="Arial" w:cs="Arial"/>
    </w:rPr>
  </w:style>
  <w:style w:type="character" w:customStyle="1" w:styleId="RNormalChar">
    <w:name w:val="RNormal Char"/>
    <w:basedOn w:val="DefaultParagraphFont"/>
    <w:link w:val="RNormal"/>
    <w:rsid w:val="00E56044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Róisín Coyle</dc:creator>
  <cp:keywords/>
  <dc:description/>
  <cp:lastModifiedBy>Róisín Coyle</cp:lastModifiedBy>
  <cp:revision>10</cp:revision>
  <dcterms:created xsi:type="dcterms:W3CDTF">2022-06-21T16:12:00Z</dcterms:created>
  <dcterms:modified xsi:type="dcterms:W3CDTF">2022-06-24T09:30:00Z</dcterms:modified>
</cp:coreProperties>
</file>