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9F973B" w14:textId="2D9B0AF0" w:rsidR="001713E1" w:rsidRPr="00D4551B" w:rsidRDefault="001713E1">
      <w:pPr>
        <w:rPr>
          <w:b/>
          <w:bCs/>
          <w:lang w:val="en-US"/>
        </w:rPr>
      </w:pPr>
      <w:r w:rsidRPr="00D4551B">
        <w:rPr>
          <w:b/>
          <w:bCs/>
          <w:lang w:val="en-US"/>
        </w:rPr>
        <w:t>Analysis: Zhang Model</w:t>
      </w:r>
    </w:p>
    <w:p w14:paraId="2FFF55E1" w14:textId="25FAFE5D" w:rsidR="001713E1" w:rsidRPr="00D4551B" w:rsidRDefault="001713E1">
      <w:pPr>
        <w:rPr>
          <w:b/>
          <w:bCs/>
          <w:lang w:val="en-US"/>
        </w:rPr>
      </w:pPr>
      <w:r w:rsidRPr="00D4551B">
        <w:rPr>
          <w:b/>
          <w:bCs/>
          <w:lang w:val="en-US"/>
        </w:rPr>
        <w:t>Method of running model</w:t>
      </w:r>
    </w:p>
    <w:p w14:paraId="28FCFAA5" w14:textId="6C61FFDF" w:rsidR="007D7707" w:rsidRDefault="007D7707" w:rsidP="007D7707">
      <w:pPr>
        <w:pStyle w:val="ListParagraph"/>
        <w:numPr>
          <w:ilvl w:val="0"/>
          <w:numId w:val="1"/>
        </w:numPr>
        <w:rPr>
          <w:lang w:val="en-US"/>
        </w:rPr>
      </w:pPr>
      <w:r>
        <w:rPr>
          <w:lang w:val="en-US"/>
        </w:rPr>
        <w:t>Read in Van Melkebeke dataset</w:t>
      </w:r>
      <w:r w:rsidR="00AC33EE">
        <w:rPr>
          <w:lang w:val="en-US"/>
        </w:rPr>
        <w:t>.</w:t>
      </w:r>
    </w:p>
    <w:p w14:paraId="0F6123DC" w14:textId="0EB3CBEC" w:rsidR="007D7707" w:rsidRDefault="007D7707" w:rsidP="007D7707">
      <w:pPr>
        <w:pStyle w:val="ListParagraph"/>
        <w:numPr>
          <w:ilvl w:val="0"/>
          <w:numId w:val="1"/>
        </w:numPr>
        <w:rPr>
          <w:lang w:val="en-US"/>
        </w:rPr>
      </w:pPr>
      <w:r>
        <w:rPr>
          <w:lang w:val="en-US"/>
        </w:rPr>
        <w:t>Calculate additional required variables:</w:t>
      </w:r>
    </w:p>
    <w:p w14:paraId="5B967014" w14:textId="2164B0BD" w:rsidR="007D7707" w:rsidRPr="007D7707" w:rsidRDefault="007D7707" w:rsidP="007D7707">
      <w:pPr>
        <w:pStyle w:val="ListParagraph"/>
        <w:numPr>
          <w:ilvl w:val="1"/>
          <w:numId w:val="1"/>
        </w:numPr>
        <w:rPr>
          <w:lang w:val="en-US"/>
        </w:rPr>
      </w:pPr>
      <w:r>
        <w:rPr>
          <w:lang w:val="en-US"/>
        </w:rPr>
        <w:t xml:space="preserve">Surface area of equivalent sphere </w:t>
      </w:r>
      <m:oMath>
        <m:r>
          <w:rPr>
            <w:rFonts w:ascii="Cambria Math" w:hAnsi="Cambria Math"/>
            <w:lang w:val="en-US"/>
          </w:rPr>
          <m:t>S</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EqSph</m:t>
            </m:r>
          </m:sub>
        </m:sSub>
        <m:r>
          <w:rPr>
            <w:rFonts w:ascii="Cambria Math" w:hAnsi="Cambria Math"/>
            <w:lang w:val="en-US"/>
          </w:rPr>
          <m:t>=4π</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equi</m:t>
                        </m:r>
                      </m:sub>
                    </m:sSub>
                  </m:num>
                  <m:den>
                    <m:r>
                      <w:rPr>
                        <w:rFonts w:ascii="Cambria Math" w:hAnsi="Cambria Math"/>
                        <w:lang w:val="en-US"/>
                      </w:rPr>
                      <m:t>2</m:t>
                    </m:r>
                  </m:den>
                </m:f>
              </m:e>
            </m:d>
          </m:e>
          <m:sup>
            <m:r>
              <w:rPr>
                <w:rFonts w:ascii="Cambria Math" w:hAnsi="Cambria Math"/>
                <w:lang w:val="en-US"/>
              </w:rPr>
              <m:t>2</m:t>
            </m:r>
          </m:sup>
        </m:sSup>
      </m:oMath>
    </w:p>
    <w:p w14:paraId="2EDD0D24" w14:textId="1B82223B" w:rsidR="007D7707" w:rsidRPr="0022183F" w:rsidRDefault="007D7707" w:rsidP="007D7707">
      <w:pPr>
        <w:pStyle w:val="ListParagraph"/>
        <w:numPr>
          <w:ilvl w:val="1"/>
          <w:numId w:val="1"/>
        </w:numPr>
        <w:rPr>
          <w:lang w:val="en-US"/>
        </w:rPr>
      </w:pPr>
      <w:r>
        <w:rPr>
          <w:rFonts w:eastAsiaTheme="minorEastAsia"/>
          <w:lang w:val="en-US"/>
        </w:rPr>
        <w:t xml:space="preserve">mP surface area </w:t>
      </w:r>
      <m:oMath>
        <m:r>
          <w:rPr>
            <w:rFonts w:ascii="Cambria Math" w:eastAsiaTheme="minorEastAsia" w:hAnsi="Cambria Math"/>
            <w:lang w:val="en-US"/>
          </w:rPr>
          <m:t>S</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mP</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S</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EqSPh</m:t>
                </m:r>
              </m:sub>
            </m:sSub>
            <m:ctrlPr>
              <w:rPr>
                <w:rFonts w:ascii="Cambria Math" w:eastAsiaTheme="minorEastAsia" w:hAnsi="Cambria Math"/>
                <w:lang w:val="en-US"/>
              </w:rPr>
            </m:ctrlPr>
          </m:num>
          <m:den>
            <m:r>
              <m:rPr>
                <m:sty m:val="p"/>
              </m:rPr>
              <w:rPr>
                <w:rFonts w:ascii="Cambria Math" w:eastAsiaTheme="minorEastAsia" w:hAnsi="Cambria Math"/>
                <w:lang w:val="en-US"/>
              </w:rPr>
              <m:t>Φ</m:t>
            </m:r>
          </m:den>
        </m:f>
      </m:oMath>
    </w:p>
    <w:p w14:paraId="6A67F910" w14:textId="1442569B" w:rsidR="0022183F" w:rsidRPr="0022183F" w:rsidRDefault="0022183F" w:rsidP="007D7707">
      <w:pPr>
        <w:pStyle w:val="ListParagraph"/>
        <w:numPr>
          <w:ilvl w:val="1"/>
          <w:numId w:val="1"/>
        </w:numPr>
        <w:rPr>
          <w:lang w:val="en-US"/>
        </w:rPr>
      </w:pPr>
      <w:r>
        <w:rPr>
          <w:rFonts w:eastAsiaTheme="minorEastAsia"/>
          <w:lang w:val="en-US"/>
        </w:rPr>
        <w:t xml:space="preserve">Equivalent spherical volume </w:t>
      </w:r>
      <m:oMath>
        <m:r>
          <w:rPr>
            <w:rFonts w:ascii="Cambria Math" w:eastAsiaTheme="minorEastAsia" w:hAnsi="Cambria Math"/>
            <w:lang w:val="en-US"/>
          </w:rPr>
          <m:t>Vo</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mP</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3</m:t>
            </m:r>
          </m:den>
        </m:f>
        <m:r>
          <w:rPr>
            <w:rFonts w:ascii="Cambria Math" w:eastAsiaTheme="minorEastAsia" w:hAnsi="Cambria Math"/>
            <w:lang w:val="en-US"/>
          </w:rPr>
          <m:t>π</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equi</m:t>
                        </m:r>
                      </m:sub>
                    </m:sSub>
                  </m:num>
                  <m:den>
                    <m:r>
                      <w:rPr>
                        <w:rFonts w:ascii="Cambria Math" w:eastAsiaTheme="minorEastAsia" w:hAnsi="Cambria Math"/>
                        <w:lang w:val="en-US"/>
                      </w:rPr>
                      <m:t>2</m:t>
                    </m:r>
                  </m:den>
                </m:f>
              </m:e>
            </m:d>
          </m:e>
          <m:sup>
            <m:r>
              <w:rPr>
                <w:rFonts w:ascii="Cambria Math" w:eastAsiaTheme="minorEastAsia" w:hAnsi="Cambria Math"/>
                <w:lang w:val="en-US"/>
              </w:rPr>
              <m:t>3</m:t>
            </m:r>
          </m:sup>
        </m:sSup>
      </m:oMath>
    </w:p>
    <w:p w14:paraId="50013E5E" w14:textId="4F78BC88" w:rsidR="0022183F" w:rsidRPr="0022183F" w:rsidRDefault="0022183F" w:rsidP="007D7707">
      <w:pPr>
        <w:pStyle w:val="ListParagraph"/>
        <w:numPr>
          <w:ilvl w:val="1"/>
          <w:numId w:val="1"/>
        </w:numPr>
        <w:rPr>
          <w:lang w:val="en-US"/>
        </w:rPr>
      </w:pPr>
      <w:r>
        <w:rPr>
          <w:rFonts w:eastAsiaTheme="minorEastAsia"/>
          <w:lang w:val="en-US"/>
        </w:rPr>
        <w:t xml:space="preserve">mP mass </w:t>
      </w:r>
      <m:oMath>
        <m:r>
          <w:rPr>
            <w:rFonts w:ascii="Cambria Math" w:eastAsiaTheme="minorEastAsia" w:hAnsi="Cambria Math"/>
            <w:lang w:val="en-US"/>
          </w:rPr>
          <m:t>Mas</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mP</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mP</m:t>
            </m:r>
          </m:sub>
        </m:sSub>
        <m:r>
          <w:rPr>
            <w:rFonts w:ascii="Cambria Math" w:eastAsiaTheme="minorEastAsia" w:hAnsi="Cambria Math"/>
            <w:lang w:val="en-US"/>
          </w:rPr>
          <m:t>Vo</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mP</m:t>
            </m:r>
          </m:sub>
        </m:sSub>
      </m:oMath>
    </w:p>
    <w:p w14:paraId="4CF23EFA" w14:textId="01DFC248" w:rsidR="0022183F" w:rsidRPr="0022183F" w:rsidRDefault="0022183F" w:rsidP="007D7707">
      <w:pPr>
        <w:pStyle w:val="ListParagraph"/>
        <w:numPr>
          <w:ilvl w:val="1"/>
          <w:numId w:val="1"/>
        </w:numPr>
        <w:rPr>
          <w:lang w:val="en-US"/>
        </w:rPr>
      </w:pPr>
      <w:r>
        <w:rPr>
          <w:rFonts w:eastAsiaTheme="minorEastAsia"/>
          <w:lang w:val="en-US"/>
        </w:rPr>
        <w:t xml:space="preserve">Corey Shape factor </w:t>
      </w:r>
      <m:oMath>
        <m:r>
          <w:rPr>
            <w:rFonts w:ascii="Cambria Math" w:eastAsiaTheme="minorEastAsia" w:hAnsi="Cambria Math"/>
            <w:lang w:val="en-US"/>
          </w:rPr>
          <m:t>CSF=</m:t>
        </m:r>
        <m:f>
          <m:fPr>
            <m:ctrlPr>
              <w:rPr>
                <w:rFonts w:ascii="Cambria Math" w:eastAsiaTheme="minorEastAsia" w:hAnsi="Cambria Math"/>
                <w:i/>
                <w:lang w:val="en-US"/>
              </w:rPr>
            </m:ctrlPr>
          </m:fPr>
          <m:num>
            <m:r>
              <w:rPr>
                <w:rFonts w:ascii="Cambria Math" w:eastAsiaTheme="minorEastAsia" w:hAnsi="Cambria Math"/>
                <w:lang w:val="en-US"/>
              </w:rPr>
              <m:t>c</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ab</m:t>
                </m:r>
              </m:e>
            </m:rad>
          </m:den>
        </m:f>
      </m:oMath>
    </w:p>
    <w:p w14:paraId="002D0007" w14:textId="10586D3D" w:rsidR="0022183F" w:rsidRPr="00B76962" w:rsidRDefault="0022183F" w:rsidP="007D7707">
      <w:pPr>
        <w:pStyle w:val="ListParagraph"/>
        <w:numPr>
          <w:ilvl w:val="1"/>
          <w:numId w:val="1"/>
        </w:numPr>
        <w:rPr>
          <w:rFonts w:eastAsiaTheme="minorEastAsia"/>
          <w:lang w:val="en-US"/>
        </w:rPr>
      </w:pPr>
      <w:r>
        <w:rPr>
          <w:rFonts w:eastAsiaTheme="minorEastAsia"/>
          <w:lang w:val="en-US"/>
        </w:rPr>
        <w:t xml:space="preserve">Relative density </w:t>
      </w:r>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rel</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mP</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w</m:t>
                </m:r>
              </m:sub>
            </m:sSub>
          </m:num>
          <m:den>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w</m:t>
                </m:r>
              </m:sub>
            </m:sSub>
          </m:den>
        </m:f>
      </m:oMath>
    </w:p>
    <w:p w14:paraId="3AE43F47" w14:textId="5DA5BA7C" w:rsidR="00B76962" w:rsidRDefault="00B76962" w:rsidP="007D7707">
      <w:pPr>
        <w:pStyle w:val="ListParagraph"/>
        <w:numPr>
          <w:ilvl w:val="1"/>
          <w:numId w:val="1"/>
        </w:numPr>
        <w:rPr>
          <w:rFonts w:eastAsiaTheme="minorEastAsia"/>
          <w:lang w:val="en-US"/>
        </w:rPr>
      </w:pPr>
      <w:r>
        <w:rPr>
          <w:rFonts w:eastAsiaTheme="minorEastAsia"/>
          <w:lang w:val="en-US"/>
        </w:rPr>
        <w:t xml:space="preserve">Projected area of volume equivalent sphere </w:t>
      </w:r>
      <m:oMath>
        <m:r>
          <w:rPr>
            <w:rFonts w:ascii="Cambria Math" w:eastAsiaTheme="minorEastAsia" w:hAnsi="Cambria Math"/>
            <w:lang w:val="en-US"/>
          </w:rPr>
          <m:t>Proj</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ESD</m:t>
            </m:r>
          </m:sub>
        </m:sSub>
        <m:r>
          <w:rPr>
            <w:rFonts w:ascii="Cambria Math" w:eastAsiaTheme="minorEastAsia" w:hAnsi="Cambria Math"/>
            <w:lang w:val="en-US"/>
          </w:rPr>
          <m:t>=π</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equi</m:t>
                        </m:r>
                      </m:sub>
                    </m:sSub>
                  </m:num>
                  <m:den>
                    <m:r>
                      <w:rPr>
                        <w:rFonts w:ascii="Cambria Math" w:eastAsiaTheme="minorEastAsia" w:hAnsi="Cambria Math"/>
                        <w:lang w:val="en-US"/>
                      </w:rPr>
                      <m:t>2</m:t>
                    </m:r>
                  </m:den>
                </m:f>
              </m:e>
            </m:d>
          </m:e>
          <m:sup>
            <m:r>
              <w:rPr>
                <w:rFonts w:ascii="Cambria Math" w:eastAsiaTheme="minorEastAsia" w:hAnsi="Cambria Math"/>
                <w:lang w:val="en-US"/>
              </w:rPr>
              <m:t>2</m:t>
            </m:r>
          </m:sup>
        </m:sSup>
      </m:oMath>
    </w:p>
    <w:p w14:paraId="39F0223B" w14:textId="5D53EF68" w:rsidR="00B76962" w:rsidRDefault="00B76962" w:rsidP="007D7707">
      <w:pPr>
        <w:pStyle w:val="ListParagraph"/>
        <w:numPr>
          <w:ilvl w:val="1"/>
          <w:numId w:val="1"/>
        </w:numPr>
        <w:rPr>
          <w:rFonts w:eastAsiaTheme="minorEastAsia"/>
          <w:lang w:val="en-US"/>
        </w:rPr>
      </w:pPr>
      <w:r>
        <w:rPr>
          <w:rFonts w:eastAsiaTheme="minorEastAsia"/>
          <w:lang w:val="en-US"/>
        </w:rPr>
        <w:t xml:space="preserve">Zhang’s estimated volume </w:t>
      </w:r>
      <m:oMath>
        <m:r>
          <w:rPr>
            <w:rFonts w:ascii="Cambria Math" w:eastAsiaTheme="minorEastAsia" w:hAnsi="Cambria Math"/>
            <w:lang w:val="en-US"/>
          </w:rPr>
          <m:t>Vo</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ZC,Est</m:t>
            </m:r>
          </m:sub>
        </m:sSub>
        <m:r>
          <w:rPr>
            <w:rFonts w:ascii="Cambria Math" w:eastAsiaTheme="minorEastAsia" w:hAnsi="Cambria Math"/>
            <w:lang w:val="en-US"/>
          </w:rPr>
          <m:t>=abc</m:t>
        </m:r>
      </m:oMath>
    </w:p>
    <w:p w14:paraId="78144936" w14:textId="3C6D3509" w:rsidR="00B76962" w:rsidRDefault="00B76962" w:rsidP="007D7707">
      <w:pPr>
        <w:pStyle w:val="ListParagraph"/>
        <w:numPr>
          <w:ilvl w:val="1"/>
          <w:numId w:val="1"/>
        </w:numPr>
        <w:rPr>
          <w:rFonts w:eastAsiaTheme="minorEastAsia"/>
          <w:lang w:val="en-US"/>
        </w:rPr>
      </w:pPr>
      <w:r>
        <w:rPr>
          <w:rFonts w:eastAsiaTheme="minorEastAsia"/>
          <w:lang w:val="en-US"/>
        </w:rPr>
        <w:t xml:space="preserve">Zhang’s volume equivalent spherical diameter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equiZC</m:t>
            </m:r>
          </m:sub>
        </m:sSub>
        <m:r>
          <w:rPr>
            <w:rFonts w:ascii="Cambria Math" w:eastAsiaTheme="minorEastAsia" w:hAnsi="Cambria Math"/>
            <w:lang w:val="en-US"/>
          </w:rPr>
          <m:t>=</m:t>
        </m:r>
        <m:rad>
          <m:radPr>
            <m:ctrlPr>
              <w:rPr>
                <w:rFonts w:ascii="Cambria Math" w:eastAsiaTheme="minorEastAsia" w:hAnsi="Cambria Math"/>
                <w:i/>
                <w:lang w:val="en-US"/>
              </w:rPr>
            </m:ctrlPr>
          </m:radPr>
          <m:deg>
            <m:r>
              <w:rPr>
                <w:rFonts w:ascii="Cambria Math" w:eastAsiaTheme="minorEastAsia" w:hAnsi="Cambria Math"/>
                <w:lang w:val="en-US"/>
              </w:rPr>
              <m:t>3</m:t>
            </m:r>
          </m:deg>
          <m:e>
            <m:f>
              <m:fPr>
                <m:ctrlPr>
                  <w:rPr>
                    <w:rFonts w:ascii="Cambria Math" w:eastAsiaTheme="minorEastAsia" w:hAnsi="Cambria Math"/>
                    <w:i/>
                    <w:lang w:val="en-US"/>
                  </w:rPr>
                </m:ctrlPr>
              </m:fPr>
              <m:num>
                <m:r>
                  <w:rPr>
                    <w:rFonts w:ascii="Cambria Math" w:eastAsiaTheme="minorEastAsia" w:hAnsi="Cambria Math"/>
                    <w:lang w:val="en-US"/>
                  </w:rPr>
                  <m:t>6Vo</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ZC,Est</m:t>
                    </m:r>
                  </m:sub>
                </m:sSub>
              </m:num>
              <m:den>
                <m:r>
                  <w:rPr>
                    <w:rFonts w:ascii="Cambria Math" w:eastAsiaTheme="minorEastAsia" w:hAnsi="Cambria Math"/>
                    <w:lang w:val="en-US"/>
                  </w:rPr>
                  <m:t>π</m:t>
                </m:r>
              </m:den>
            </m:f>
          </m:e>
        </m:rad>
        <m:r>
          <w:rPr>
            <w:rFonts w:ascii="Cambria Math" w:eastAsiaTheme="minorEastAsia" w:hAnsi="Cambria Math"/>
            <w:lang w:val="en-US"/>
          </w:rPr>
          <m:t xml:space="preserve"> </m:t>
        </m:r>
      </m:oMath>
    </w:p>
    <w:p w14:paraId="44986F2A" w14:textId="348D9758" w:rsidR="00B76962" w:rsidRDefault="00B76962" w:rsidP="007D7707">
      <w:pPr>
        <w:pStyle w:val="ListParagraph"/>
        <w:numPr>
          <w:ilvl w:val="1"/>
          <w:numId w:val="1"/>
        </w:numPr>
        <w:rPr>
          <w:rFonts w:eastAsiaTheme="minorEastAsia"/>
          <w:lang w:val="en-US"/>
        </w:rPr>
      </w:pPr>
      <w:r>
        <w:rPr>
          <w:rFonts w:eastAsiaTheme="minorEastAsia"/>
          <w:lang w:val="en-US"/>
        </w:rPr>
        <w:t>Zhang’s equivalent diameter based on ProjA</w:t>
      </w:r>
      <w:r>
        <w:rPr>
          <w:rFonts w:eastAsiaTheme="minorEastAsia"/>
          <w:vertAlign w:val="subscript"/>
          <w:lang w:val="en-US"/>
        </w:rPr>
        <w:t>ESD</w:t>
      </w:r>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equi,ZC</m:t>
            </m:r>
          </m:sub>
        </m:sSub>
        <m:r>
          <w:rPr>
            <w:rFonts w:ascii="Cambria Math" w:eastAsiaTheme="minorEastAsia" w:hAnsi="Cambria Math"/>
            <w:lang w:val="en-US"/>
          </w:rPr>
          <m:t>=</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4ab</m:t>
                </m:r>
              </m:num>
              <m:den>
                <m:r>
                  <w:rPr>
                    <w:rFonts w:ascii="Cambria Math" w:eastAsiaTheme="minorEastAsia" w:hAnsi="Cambria Math"/>
                    <w:lang w:val="en-US"/>
                  </w:rPr>
                  <m:t>π</m:t>
                </m:r>
              </m:den>
            </m:f>
          </m:e>
        </m:rad>
      </m:oMath>
    </w:p>
    <w:p w14:paraId="36F3CA49" w14:textId="5E860306" w:rsidR="00A32085" w:rsidRDefault="00A32085" w:rsidP="007D7707">
      <w:pPr>
        <w:pStyle w:val="ListParagraph"/>
        <w:numPr>
          <w:ilvl w:val="1"/>
          <w:numId w:val="1"/>
        </w:numPr>
        <w:rPr>
          <w:rFonts w:eastAsiaTheme="minorEastAsia"/>
          <w:lang w:val="en-US"/>
        </w:rPr>
      </w:pPr>
      <w:r>
        <w:rPr>
          <w:rFonts w:eastAsiaTheme="minorEastAsia"/>
          <w:lang w:val="en-US"/>
        </w:rPr>
        <w:t xml:space="preserve">Zhang’s projected area </w:t>
      </w:r>
      <m:oMath>
        <m:r>
          <w:rPr>
            <w:rFonts w:ascii="Cambria Math" w:eastAsiaTheme="minorEastAsia" w:hAnsi="Cambria Math"/>
            <w:lang w:val="en-US"/>
          </w:rPr>
          <m:t>Proj</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ZC</m:t>
            </m:r>
          </m:sub>
        </m:sSub>
        <m:r>
          <w:rPr>
            <w:rFonts w:ascii="Cambria Math" w:eastAsiaTheme="minorEastAsia" w:hAnsi="Cambria Math"/>
            <w:lang w:val="en-US"/>
          </w:rPr>
          <m:t>=</m:t>
        </m:r>
        <m:r>
          <w:rPr>
            <w:rFonts w:ascii="Cambria Math" w:eastAsiaTheme="minorEastAsia" w:hAnsi="Cambria Math"/>
            <w:lang w:val="en-US"/>
          </w:rPr>
          <m:t>π</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equi</m:t>
                        </m:r>
                        <m:r>
                          <w:rPr>
                            <w:rFonts w:ascii="Cambria Math" w:eastAsiaTheme="minorEastAsia" w:hAnsi="Cambria Math"/>
                            <w:lang w:val="en-US"/>
                          </w:rPr>
                          <m:t>,ZC</m:t>
                        </m:r>
                      </m:sub>
                    </m:sSub>
                  </m:num>
                  <m:den>
                    <m:r>
                      <w:rPr>
                        <w:rFonts w:ascii="Cambria Math" w:eastAsiaTheme="minorEastAsia" w:hAnsi="Cambria Math"/>
                        <w:lang w:val="en-US"/>
                      </w:rPr>
                      <m:t>2</m:t>
                    </m:r>
                  </m:den>
                </m:f>
              </m:e>
            </m:d>
          </m:e>
          <m:sup>
            <m:r>
              <w:rPr>
                <w:rFonts w:ascii="Cambria Math" w:eastAsiaTheme="minorEastAsia" w:hAnsi="Cambria Math"/>
                <w:lang w:val="en-US"/>
              </w:rPr>
              <m:t>2</m:t>
            </m:r>
          </m:sup>
        </m:sSup>
        <m:r>
          <w:rPr>
            <w:rFonts w:ascii="Cambria Math" w:eastAsiaTheme="minorEastAsia" w:hAnsi="Cambria Math"/>
            <w:lang w:val="en-US"/>
          </w:rPr>
          <m:t>=ab</m:t>
        </m:r>
      </m:oMath>
    </w:p>
    <w:p w14:paraId="31C67A61" w14:textId="4A2E2628" w:rsidR="00A32085" w:rsidRPr="00B76962" w:rsidRDefault="00A32085" w:rsidP="007D7707">
      <w:pPr>
        <w:pStyle w:val="ListParagraph"/>
        <w:numPr>
          <w:ilvl w:val="1"/>
          <w:numId w:val="1"/>
        </w:numPr>
        <w:rPr>
          <w:rFonts w:eastAsiaTheme="minorEastAsia"/>
          <w:lang w:val="en-US"/>
        </w:rPr>
      </w:pPr>
      <w:r>
        <w:rPr>
          <w:rFonts w:eastAsiaTheme="minorEastAsia"/>
          <w:lang w:val="en-US"/>
        </w:rPr>
        <w:t xml:space="preserve">Zhang’s estimated mass </w:t>
      </w:r>
      <m:oMath>
        <m:r>
          <w:rPr>
            <w:rFonts w:ascii="Cambria Math" w:eastAsiaTheme="minorEastAsia" w:hAnsi="Cambria Math"/>
            <w:lang w:val="en-US"/>
          </w:rPr>
          <m:t>Mas</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mP</m:t>
            </m:r>
          </m:sub>
        </m:sSub>
        <m:r>
          <w:rPr>
            <w:rFonts w:ascii="Cambria Math" w:eastAsiaTheme="minorEastAsia" w:hAnsi="Cambria Math"/>
            <w:lang w:val="en-US"/>
          </w:rPr>
          <m:t>=Vo</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ZC,Est</m:t>
            </m:r>
          </m:sub>
        </m:sSub>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mP</m:t>
            </m:r>
          </m:sub>
        </m:sSub>
      </m:oMath>
    </w:p>
    <w:p w14:paraId="06E5CBE6" w14:textId="06A1EEF9" w:rsidR="007D7707" w:rsidRDefault="00AC33EE" w:rsidP="007D7707">
      <w:pPr>
        <w:pStyle w:val="ListParagraph"/>
        <w:numPr>
          <w:ilvl w:val="0"/>
          <w:numId w:val="1"/>
        </w:numPr>
        <w:rPr>
          <w:lang w:val="en-US"/>
        </w:rPr>
      </w:pPr>
      <w:r>
        <w:rPr>
          <w:lang w:val="en-US"/>
        </w:rPr>
        <w:t>Set initial velocity at t=0.</w:t>
      </w:r>
    </w:p>
    <w:p w14:paraId="7C0EFFA5" w14:textId="1F018125" w:rsidR="00AC33EE" w:rsidRDefault="00AC33EE" w:rsidP="007D7707">
      <w:pPr>
        <w:pStyle w:val="ListParagraph"/>
        <w:numPr>
          <w:ilvl w:val="0"/>
          <w:numId w:val="1"/>
        </w:numPr>
        <w:rPr>
          <w:lang w:val="en-US"/>
        </w:rPr>
      </w:pPr>
      <w:r>
        <w:rPr>
          <w:lang w:val="en-US"/>
        </w:rPr>
        <w:t>For each particle:</w:t>
      </w:r>
    </w:p>
    <w:p w14:paraId="62C64C17" w14:textId="4CB787CD" w:rsidR="00AC33EE" w:rsidRPr="00AC33EE" w:rsidRDefault="00AC33EE" w:rsidP="00AC33EE">
      <w:pPr>
        <w:pStyle w:val="ListParagraph"/>
        <w:numPr>
          <w:ilvl w:val="1"/>
          <w:numId w:val="1"/>
        </w:numPr>
        <w:rPr>
          <w:lang w:val="en-US"/>
        </w:rPr>
      </w:pPr>
      <w:r>
        <w:rPr>
          <w:lang w:val="en-US"/>
        </w:rPr>
        <w:t xml:space="preserve">Calculate the Aschenbrenner shape factor </w:t>
      </w:r>
      <m:oMath>
        <m:r>
          <w:rPr>
            <w:rFonts w:ascii="Cambria Math" w:hAnsi="Cambria Math"/>
            <w:lang w:val="en-US"/>
          </w:rPr>
          <m:t>ASF=</m:t>
        </m:r>
        <m:f>
          <m:fPr>
            <m:ctrlPr>
              <w:rPr>
                <w:rFonts w:ascii="Cambria Math" w:hAnsi="Cambria Math"/>
                <w:i/>
                <w:lang w:val="en-US"/>
              </w:rPr>
            </m:ctrlPr>
          </m:fPr>
          <m:num>
            <m:r>
              <w:rPr>
                <w:rFonts w:ascii="Cambria Math" w:hAnsi="Cambria Math"/>
                <w:lang w:val="en-US"/>
              </w:rPr>
              <m:t>ac</m:t>
            </m:r>
          </m:num>
          <m:den>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2</m:t>
                </m:r>
              </m:sup>
            </m:sSup>
          </m:den>
        </m:f>
      </m:oMath>
      <w:r>
        <w:rPr>
          <w:rFonts w:eastAsiaTheme="minorEastAsia"/>
          <w:lang w:val="en-US"/>
        </w:rPr>
        <w:t>.</w:t>
      </w:r>
    </w:p>
    <w:p w14:paraId="37E1A3E8" w14:textId="12634209" w:rsidR="00AC33EE" w:rsidRPr="00AC33EE" w:rsidRDefault="00AC33EE" w:rsidP="00AC33EE">
      <w:pPr>
        <w:pStyle w:val="ListParagraph"/>
        <w:numPr>
          <w:ilvl w:val="1"/>
          <w:numId w:val="1"/>
        </w:numPr>
        <w:rPr>
          <w:lang w:val="en-US"/>
        </w:rPr>
      </w:pPr>
      <w:r>
        <w:rPr>
          <w:rFonts w:eastAsiaTheme="minorEastAsia"/>
          <w:lang w:val="en-US"/>
        </w:rPr>
        <w:t>For each time step:</w:t>
      </w:r>
    </w:p>
    <w:p w14:paraId="04E91450" w14:textId="25745F0D" w:rsidR="00AC33EE" w:rsidRPr="00AC33EE" w:rsidRDefault="00AC33EE" w:rsidP="00AC33EE">
      <w:pPr>
        <w:pStyle w:val="ListParagraph"/>
        <w:numPr>
          <w:ilvl w:val="2"/>
          <w:numId w:val="1"/>
        </w:numPr>
        <w:rPr>
          <w:lang w:val="en-US"/>
        </w:rPr>
      </w:pPr>
      <w:r>
        <w:rPr>
          <w:rFonts w:eastAsiaTheme="minorEastAsia"/>
          <w:lang w:val="en-US"/>
        </w:rPr>
        <w:t xml:space="preserve">Calculate the Reynolds number </w:t>
      </w:r>
      <m:oMath>
        <m:r>
          <w:rPr>
            <w:rFonts w:ascii="Cambria Math" w:eastAsiaTheme="minorEastAsia" w:hAnsi="Cambria Math"/>
            <w:lang w:val="en-US"/>
          </w:rPr>
          <m:t>Re=</m:t>
        </m:r>
        <m:f>
          <m:fPr>
            <m:ctrlPr>
              <w:rPr>
                <w:rFonts w:ascii="Cambria Math" w:eastAsiaTheme="minorEastAsia" w:hAnsi="Cambria Math"/>
                <w:i/>
                <w:lang w:val="en-US"/>
              </w:rPr>
            </m:ctrlPr>
          </m:fPr>
          <m:num>
            <m:r>
              <w:rPr>
                <w:rFonts w:ascii="Cambria Math" w:eastAsiaTheme="minorEastAsia" w:hAnsi="Cambria Math"/>
                <w:lang w:val="en-US"/>
              </w:rPr>
              <m:t>ρνd</m:t>
            </m:r>
          </m:num>
          <m:den>
            <m:r>
              <w:rPr>
                <w:rFonts w:ascii="Cambria Math" w:eastAsiaTheme="minorEastAsia" w:hAnsi="Cambria Math"/>
                <w:lang w:val="en-US"/>
              </w:rPr>
              <m:t>μ</m:t>
            </m:r>
          </m:den>
        </m:f>
      </m:oMath>
    </w:p>
    <w:p w14:paraId="7C6F4CA3" w14:textId="3866882F" w:rsidR="00AC33EE" w:rsidRPr="00AC33EE" w:rsidRDefault="00AC33EE" w:rsidP="00AC33EE">
      <w:pPr>
        <w:pStyle w:val="ListParagraph"/>
        <w:numPr>
          <w:ilvl w:val="2"/>
          <w:numId w:val="1"/>
        </w:numPr>
        <w:rPr>
          <w:lang w:val="en-US"/>
        </w:rPr>
      </w:pPr>
      <w:r>
        <w:rPr>
          <w:rFonts w:eastAsiaTheme="minorEastAsia"/>
          <w:lang w:val="en-US"/>
        </w:rPr>
        <w:t xml:space="preserve">Calculate the drag coefficient using Zhang’s model </w:t>
      </w:r>
      <m:oMath>
        <m:r>
          <w:rPr>
            <w:rFonts w:ascii="Cambria Math" w:eastAsiaTheme="minorEastAsia" w:hAnsi="Cambria Math"/>
            <w:lang w:val="en-US"/>
          </w:rPr>
          <m:t>Cd=</m:t>
        </m:r>
        <m:f>
          <m:fPr>
            <m:ctrlPr>
              <w:rPr>
                <w:rFonts w:ascii="Cambria Math" w:eastAsiaTheme="minorEastAsia" w:hAnsi="Cambria Math"/>
                <w:i/>
                <w:lang w:val="en-US"/>
              </w:rPr>
            </m:ctrlPr>
          </m:fPr>
          <m:num>
            <m:r>
              <w:rPr>
                <w:rFonts w:ascii="Cambria Math" w:eastAsiaTheme="minorEastAsia" w:hAnsi="Cambria Math"/>
                <w:lang w:val="en-US"/>
              </w:rPr>
              <m:t>58.58AS</m:t>
            </m:r>
            <m:sSup>
              <m:sSupPr>
                <m:ctrlPr>
                  <w:rPr>
                    <w:rFonts w:ascii="Cambria Math" w:eastAsiaTheme="minorEastAsia" w:hAnsi="Cambria Math"/>
                    <w:i/>
                    <w:lang w:val="en-US"/>
                  </w:rPr>
                </m:ctrlPr>
              </m:sSupPr>
              <m:e>
                <m:r>
                  <w:rPr>
                    <w:rFonts w:ascii="Cambria Math" w:eastAsiaTheme="minorEastAsia" w:hAnsi="Cambria Math"/>
                    <w:lang w:val="en-US"/>
                  </w:rPr>
                  <m:t>F</m:t>
                </m:r>
              </m:e>
              <m:sup>
                <m:r>
                  <w:rPr>
                    <w:rFonts w:ascii="Cambria Math" w:eastAsiaTheme="minorEastAsia" w:hAnsi="Cambria Math"/>
                    <w:lang w:val="en-US"/>
                  </w:rPr>
                  <m:t>0.1936</m:t>
                </m:r>
              </m:sup>
            </m:sSup>
          </m:num>
          <m:den>
            <m:r>
              <w:rPr>
                <w:rFonts w:ascii="Cambria Math" w:eastAsiaTheme="minorEastAsia" w:hAnsi="Cambria Math"/>
                <w:lang w:val="en-US"/>
              </w:rPr>
              <m:t>R</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0.8273</m:t>
                </m:r>
              </m:sup>
            </m:sSup>
          </m:den>
        </m:f>
      </m:oMath>
    </w:p>
    <w:p w14:paraId="50834113" w14:textId="6F2F80AB" w:rsidR="00AC33EE" w:rsidRPr="00AC33EE" w:rsidRDefault="00AC33EE" w:rsidP="00AC33EE">
      <w:pPr>
        <w:pStyle w:val="ListParagraph"/>
        <w:numPr>
          <w:ilvl w:val="2"/>
          <w:numId w:val="1"/>
        </w:numPr>
        <w:rPr>
          <w:lang w:val="en-US"/>
        </w:rPr>
      </w:pPr>
      <w:r>
        <w:rPr>
          <w:rFonts w:eastAsiaTheme="minorEastAsia"/>
          <w:lang w:val="en-US"/>
        </w:rPr>
        <w:t xml:space="preserve">Calculate the drag force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w</m:t>
            </m:r>
          </m:sub>
        </m:sSub>
        <m:r>
          <w:rPr>
            <w:rFonts w:ascii="Cambria Math" w:eastAsiaTheme="minorEastAsia" w:hAnsi="Cambria Math"/>
            <w:lang w:val="en-US"/>
          </w:rPr>
          <m:t>S</m:t>
        </m:r>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2</m:t>
            </m:r>
          </m:sup>
        </m:sSup>
        <m:r>
          <w:rPr>
            <w:rFonts w:ascii="Cambria Math" w:eastAsiaTheme="minorEastAsia" w:hAnsi="Cambria Math"/>
            <w:lang w:val="en-US"/>
          </w:rPr>
          <m:t>Cd</m:t>
        </m:r>
      </m:oMath>
    </w:p>
    <w:p w14:paraId="0C6801E8" w14:textId="2CC7E934" w:rsidR="00AC33EE" w:rsidRPr="000C5C52" w:rsidRDefault="00AC33EE" w:rsidP="00AC33EE">
      <w:pPr>
        <w:pStyle w:val="ListParagraph"/>
        <w:numPr>
          <w:ilvl w:val="3"/>
          <w:numId w:val="1"/>
        </w:numPr>
        <w:rPr>
          <w:lang w:val="en-US"/>
        </w:rPr>
      </w:pPr>
      <w:r>
        <w:rPr>
          <w:rFonts w:eastAsiaTheme="minorEastAsia"/>
          <w:lang w:val="en-US"/>
        </w:rPr>
        <w:t xml:space="preserve">Note that two cases are used. In the first, S is taken as the mP surface area, as calculated above. In the second case, S is taken as the </w:t>
      </w:r>
      <w:r w:rsidR="000C5C52">
        <w:rPr>
          <w:rFonts w:eastAsiaTheme="minorEastAsia"/>
          <w:lang w:val="en-US"/>
        </w:rPr>
        <w:t>Zhang’s projected area above.</w:t>
      </w:r>
    </w:p>
    <w:p w14:paraId="0C4A4AA2" w14:textId="06BE0287" w:rsidR="000C5C52" w:rsidRPr="000C5C52" w:rsidRDefault="000C5C52" w:rsidP="000C5C52">
      <w:pPr>
        <w:pStyle w:val="ListParagraph"/>
        <w:numPr>
          <w:ilvl w:val="2"/>
          <w:numId w:val="1"/>
        </w:numPr>
        <w:rPr>
          <w:lang w:val="en-US"/>
        </w:rPr>
      </w:pPr>
      <w:r>
        <w:rPr>
          <w:rFonts w:eastAsiaTheme="minorEastAsia"/>
          <w:lang w:val="en-US"/>
        </w:rPr>
        <w:t xml:space="preserve">Calculate the gravitational force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g</m:t>
            </m:r>
          </m:sub>
        </m:sSub>
        <m:r>
          <w:rPr>
            <w:rFonts w:ascii="Cambria Math" w:eastAsiaTheme="minorEastAsia" w:hAnsi="Cambria Math"/>
            <w:lang w:val="en-US"/>
          </w:rPr>
          <m:t>=Vo</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mP</m:t>
            </m:r>
          </m:sub>
        </m:sSub>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mP</m:t>
            </m:r>
          </m:sub>
        </m:sSub>
        <m:r>
          <w:rPr>
            <w:rFonts w:ascii="Cambria Math" w:eastAsiaTheme="minorEastAsia" w:hAnsi="Cambria Math"/>
            <w:lang w:val="en-US"/>
          </w:rPr>
          <m:t>g</m:t>
        </m:r>
      </m:oMath>
    </w:p>
    <w:p w14:paraId="50C374F6" w14:textId="5DC8B491" w:rsidR="000C5C52" w:rsidRPr="000C5C52" w:rsidRDefault="000C5C52" w:rsidP="000C5C52">
      <w:pPr>
        <w:pStyle w:val="ListParagraph"/>
        <w:numPr>
          <w:ilvl w:val="2"/>
          <w:numId w:val="1"/>
        </w:numPr>
        <w:rPr>
          <w:lang w:val="en-US"/>
        </w:rPr>
      </w:pPr>
      <w:r>
        <w:rPr>
          <w:rFonts w:eastAsiaTheme="minorEastAsia"/>
          <w:lang w:val="en-US"/>
        </w:rPr>
        <w:t xml:space="preserve">Calculate the buoyant force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b</m:t>
            </m:r>
          </m:sub>
        </m:sSub>
        <m:r>
          <w:rPr>
            <w:rFonts w:ascii="Cambria Math" w:eastAsiaTheme="minorEastAsia" w:hAnsi="Cambria Math"/>
            <w:lang w:val="en-US"/>
          </w:rPr>
          <m:t>=Vo</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mP</m:t>
            </m:r>
          </m:sub>
        </m:sSub>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W</m:t>
            </m:r>
          </m:sub>
        </m:sSub>
        <m:r>
          <w:rPr>
            <w:rFonts w:ascii="Cambria Math" w:eastAsiaTheme="minorEastAsia" w:hAnsi="Cambria Math"/>
            <w:lang w:val="en-US"/>
          </w:rPr>
          <m:t>g</m:t>
        </m:r>
      </m:oMath>
    </w:p>
    <w:p w14:paraId="77C4192E" w14:textId="6F20AABF" w:rsidR="000C5C52" w:rsidRPr="009B3A2F" w:rsidRDefault="000C5C52" w:rsidP="000C5C52">
      <w:pPr>
        <w:pStyle w:val="ListParagraph"/>
        <w:numPr>
          <w:ilvl w:val="2"/>
          <w:numId w:val="1"/>
        </w:numPr>
        <w:rPr>
          <w:lang w:val="en-US"/>
        </w:rPr>
      </w:pPr>
      <w:r>
        <w:rPr>
          <w:rFonts w:eastAsiaTheme="minorEastAsia"/>
          <w:lang w:val="en-US"/>
        </w:rPr>
        <w:t xml:space="preserve">Calculate the net force acting on the mP: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net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g</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b</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d</m:t>
            </m:r>
          </m:sub>
        </m:sSub>
      </m:oMath>
    </w:p>
    <w:p w14:paraId="53435706" w14:textId="498C8AE2" w:rsidR="009B3A2F" w:rsidRPr="009B3A2F" w:rsidRDefault="009B3A2F" w:rsidP="000C5C52">
      <w:pPr>
        <w:pStyle w:val="ListParagraph"/>
        <w:numPr>
          <w:ilvl w:val="2"/>
          <w:numId w:val="1"/>
        </w:numPr>
        <w:rPr>
          <w:lang w:val="en-US"/>
        </w:rPr>
      </w:pPr>
      <w:r>
        <w:rPr>
          <w:rFonts w:eastAsiaTheme="minorEastAsia"/>
          <w:lang w:val="en-US"/>
        </w:rPr>
        <w:t xml:space="preserve">Calculate the settling velocity at the next time step </w:t>
      </w:r>
      <m:oMath>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t+1</m:t>
            </m:r>
          </m:sup>
        </m:sSup>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net</m:t>
                    </m:r>
                  </m:sub>
                </m:sSub>
              </m:num>
              <m:den>
                <m:r>
                  <w:rPr>
                    <w:rFonts w:ascii="Cambria Math" w:eastAsiaTheme="minorEastAsia" w:hAnsi="Cambria Math"/>
                    <w:lang w:val="en-US"/>
                  </w:rPr>
                  <m:t>Mas</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mP</m:t>
                    </m:r>
                  </m:sub>
                </m:sSub>
              </m:den>
            </m:f>
            <m:r>
              <m:rPr>
                <m:sty m:val="p"/>
              </m:rPr>
              <w:rPr>
                <w:rFonts w:ascii="Cambria Math" w:eastAsiaTheme="minorEastAsia" w:hAnsi="Cambria Math"/>
                <w:lang w:val="en-US"/>
              </w:rPr>
              <m:t>Δ</m:t>
            </m:r>
            <m:r>
              <w:rPr>
                <w:rFonts w:ascii="Cambria Math" w:eastAsiaTheme="minorEastAsia" w:hAnsi="Cambria Math"/>
                <w:lang w:val="en-US"/>
              </w:rPr>
              <m:t>t</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t</m:t>
            </m:r>
          </m:sup>
        </m:sSup>
      </m:oMath>
    </w:p>
    <w:p w14:paraId="2FB8CE41" w14:textId="0E8E6033" w:rsidR="009B3A2F" w:rsidRPr="00621BD0" w:rsidRDefault="009B3A2F" w:rsidP="000C5C52">
      <w:pPr>
        <w:pStyle w:val="ListParagraph"/>
        <w:numPr>
          <w:ilvl w:val="2"/>
          <w:numId w:val="1"/>
        </w:numPr>
        <w:rPr>
          <w:lang w:val="en-US"/>
        </w:rPr>
      </w:pPr>
      <w:r>
        <w:rPr>
          <w:rFonts w:eastAsiaTheme="minorEastAsia"/>
          <w:lang w:val="en-US"/>
        </w:rPr>
        <w:t>Calculate the distance travelled during the timestep</w:t>
      </w:r>
      <w:r w:rsidR="003E34F7">
        <w:rPr>
          <w:rFonts w:eastAsiaTheme="minorEastAsia"/>
          <w:lang w:val="en-US"/>
        </w:rPr>
        <w:t xml:space="preserve"> </w:t>
      </w:r>
      <m:oMath>
        <m:r>
          <w:rPr>
            <w:rFonts w:ascii="Cambria Math" w:eastAsiaTheme="minorEastAsia" w:hAnsi="Cambria Math"/>
            <w:lang w:val="en-US"/>
          </w:rPr>
          <m:t>Dis</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t</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t</m:t>
            </m:r>
          </m:sup>
        </m:sSup>
        <m:r>
          <m:rPr>
            <m:sty m:val="p"/>
          </m:rPr>
          <w:rPr>
            <w:rFonts w:ascii="Cambria Math" w:eastAsiaTheme="minorEastAsia" w:hAnsi="Cambria Math"/>
            <w:lang w:val="en-US"/>
          </w:rPr>
          <m:t>Δ</m:t>
        </m:r>
        <m:r>
          <w:rPr>
            <w:rFonts w:ascii="Cambria Math" w:eastAsiaTheme="minorEastAsia" w:hAnsi="Cambria Math"/>
            <w:lang w:val="en-US"/>
          </w:rPr>
          <m:t>t</m:t>
        </m:r>
      </m:oMath>
    </w:p>
    <w:p w14:paraId="070D4066" w14:textId="6EA1EC04" w:rsidR="00621BD0" w:rsidRPr="00621BD0" w:rsidRDefault="00621BD0" w:rsidP="000C5C52">
      <w:pPr>
        <w:pStyle w:val="ListParagraph"/>
        <w:numPr>
          <w:ilvl w:val="2"/>
          <w:numId w:val="1"/>
        </w:numPr>
        <w:rPr>
          <w:lang w:val="en-US"/>
        </w:rPr>
      </w:pPr>
      <w:r>
        <w:rPr>
          <w:rFonts w:eastAsiaTheme="minorEastAsia"/>
          <w:lang w:val="en-US"/>
        </w:rPr>
        <w:t xml:space="preserve">Add the distance travelled to the total distance travelled </w:t>
      </w:r>
      <m:oMath>
        <m:r>
          <w:rPr>
            <w:rFonts w:ascii="Cambria Math" w:eastAsiaTheme="minorEastAsia" w:hAnsi="Cambria Math"/>
            <w:lang w:val="en-US"/>
          </w:rPr>
          <m:t>Dis</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tot</m:t>
            </m:r>
          </m:sub>
        </m:sSub>
        <m:r>
          <w:rPr>
            <w:rFonts w:ascii="Cambria Math" w:eastAsiaTheme="minorEastAsia" w:hAnsi="Cambria Math"/>
            <w:lang w:val="en-US"/>
          </w:rPr>
          <m:t>=Dis</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tot</m:t>
            </m:r>
          </m:sub>
        </m:sSub>
        <m:r>
          <w:rPr>
            <w:rFonts w:ascii="Cambria Math" w:eastAsiaTheme="minorEastAsia" w:hAnsi="Cambria Math"/>
            <w:lang w:val="en-US"/>
          </w:rPr>
          <m:t>+Dis</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t</m:t>
            </m:r>
          </m:sup>
        </m:sSup>
      </m:oMath>
    </w:p>
    <w:p w14:paraId="54E85342" w14:textId="74CA0AB5" w:rsidR="00621BD0" w:rsidRPr="00621BD0" w:rsidRDefault="00621BD0" w:rsidP="000C5C52">
      <w:pPr>
        <w:pStyle w:val="ListParagraph"/>
        <w:numPr>
          <w:ilvl w:val="2"/>
          <w:numId w:val="1"/>
        </w:numPr>
        <w:rPr>
          <w:lang w:val="en-US"/>
        </w:rPr>
      </w:pPr>
      <w:r>
        <w:rPr>
          <w:rFonts w:eastAsiaTheme="minorEastAsia"/>
          <w:lang w:val="en-US"/>
        </w:rPr>
        <w:t xml:space="preserve">Calculate the acceleration </w:t>
      </w:r>
      <m:oMath>
        <m:r>
          <w:rPr>
            <w:rFonts w:ascii="Cambria Math" w:eastAsiaTheme="minorEastAsia" w:hAnsi="Cambria Math"/>
            <w:lang w:val="en-US"/>
          </w:rPr>
          <m:t>Acceleration=</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t+1</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t</m:t>
                </m:r>
              </m:sup>
            </m:sSup>
            <m:ctrlPr>
              <w:rPr>
                <w:rFonts w:ascii="Cambria Math" w:eastAsiaTheme="minorEastAsia" w:hAnsi="Cambria Math"/>
                <w:lang w:val="en-US"/>
              </w:rPr>
            </m:ctrlPr>
          </m:num>
          <m:den>
            <m:r>
              <m:rPr>
                <m:sty m:val="p"/>
              </m:rPr>
              <w:rPr>
                <w:rFonts w:ascii="Cambria Math" w:eastAsiaTheme="minorEastAsia" w:hAnsi="Cambria Math"/>
                <w:lang w:val="en-US"/>
              </w:rPr>
              <m:t>Δ</m:t>
            </m:r>
            <m:r>
              <w:rPr>
                <w:rFonts w:ascii="Cambria Math" w:eastAsiaTheme="minorEastAsia" w:hAnsi="Cambria Math"/>
                <w:lang w:val="en-US"/>
              </w:rPr>
              <m:t>t</m:t>
            </m:r>
          </m:den>
        </m:f>
      </m:oMath>
    </w:p>
    <w:p w14:paraId="0609A5C9" w14:textId="3B9AF897" w:rsidR="00621BD0" w:rsidRPr="002C0458" w:rsidRDefault="00621BD0" w:rsidP="00621BD0">
      <w:pPr>
        <w:pStyle w:val="ListParagraph"/>
        <w:numPr>
          <w:ilvl w:val="3"/>
          <w:numId w:val="1"/>
        </w:numPr>
        <w:rPr>
          <w:lang w:val="en-US"/>
        </w:rPr>
      </w:pPr>
      <w:r>
        <w:rPr>
          <w:rFonts w:eastAsiaTheme="minorEastAsia"/>
          <w:lang w:val="en-US"/>
        </w:rPr>
        <w:t xml:space="preserve">If </w:t>
      </w:r>
      <w:r w:rsidR="002C0458">
        <w:rPr>
          <w:rFonts w:eastAsiaTheme="minorEastAsia"/>
          <w:lang w:val="en-US"/>
        </w:rPr>
        <w:t>a</w:t>
      </w:r>
      <w:r>
        <w:rPr>
          <w:rFonts w:eastAsiaTheme="minorEastAsia"/>
          <w:lang w:val="en-US"/>
        </w:rPr>
        <w:t>cceleration</w:t>
      </w:r>
      <w:r w:rsidR="002C0458">
        <w:rPr>
          <w:rFonts w:eastAsiaTheme="minorEastAsia"/>
          <w:lang w:val="en-US"/>
        </w:rPr>
        <w:t>&gt;</w:t>
      </w:r>
      <w:r>
        <w:rPr>
          <w:rFonts w:eastAsiaTheme="minorEastAsia"/>
          <w:lang w:val="en-US"/>
        </w:rPr>
        <w:t>0.01m/s</w:t>
      </w:r>
      <w:r>
        <w:rPr>
          <w:rFonts w:eastAsiaTheme="minorEastAsia"/>
          <w:vertAlign w:val="superscript"/>
          <w:lang w:val="en-US"/>
        </w:rPr>
        <w:t>2</w:t>
      </w:r>
      <w:r w:rsidR="002C0458">
        <w:rPr>
          <w:rFonts w:eastAsiaTheme="minorEastAsia"/>
          <w:lang w:val="en-US"/>
        </w:rPr>
        <w:t>, step forward one timestep and re</w:t>
      </w:r>
      <w:r w:rsidR="007C361F">
        <w:rPr>
          <w:rFonts w:eastAsiaTheme="minorEastAsia"/>
          <w:lang w:val="en-US"/>
        </w:rPr>
        <w:t>start the loop at point b above</w:t>
      </w:r>
      <w:r w:rsidR="002C0458">
        <w:rPr>
          <w:rFonts w:eastAsiaTheme="minorEastAsia"/>
          <w:lang w:val="en-US"/>
        </w:rPr>
        <w:t>.</w:t>
      </w:r>
    </w:p>
    <w:p w14:paraId="41534AA2" w14:textId="1DA927A1" w:rsidR="002C0458" w:rsidRPr="00AC33EE" w:rsidRDefault="002C0458" w:rsidP="00621BD0">
      <w:pPr>
        <w:pStyle w:val="ListParagraph"/>
        <w:numPr>
          <w:ilvl w:val="3"/>
          <w:numId w:val="1"/>
        </w:numPr>
        <w:rPr>
          <w:lang w:val="en-US"/>
        </w:rPr>
      </w:pPr>
      <w:r>
        <w:rPr>
          <w:lang w:val="en-US"/>
        </w:rPr>
        <w:lastRenderedPageBreak/>
        <w:t>If acceler</w:t>
      </w:r>
      <w:r w:rsidR="002607E3">
        <w:rPr>
          <w:lang w:val="en-US"/>
        </w:rPr>
        <w:t>ation&lt;0.01m/</w:t>
      </w:r>
      <w:r w:rsidR="00BD0C2B">
        <w:rPr>
          <w:lang w:val="en-US"/>
        </w:rPr>
        <w:t>s</w:t>
      </w:r>
      <w:r w:rsidR="00BD0C2B">
        <w:rPr>
          <w:vertAlign w:val="superscript"/>
          <w:lang w:val="en-US"/>
        </w:rPr>
        <w:t>2</w:t>
      </w:r>
      <w:r w:rsidR="00BD0C2B">
        <w:rPr>
          <w:lang w:val="en-US"/>
        </w:rPr>
        <w:t xml:space="preserve">, </w:t>
      </w:r>
      <w:r w:rsidR="007C361F">
        <w:rPr>
          <w:lang w:val="en-US"/>
        </w:rPr>
        <w:t>terminal settling velocity has been obtained. S</w:t>
      </w:r>
      <w:r w:rsidR="00BD0C2B">
        <w:rPr>
          <w:lang w:val="en-US"/>
        </w:rPr>
        <w:t xml:space="preserve">top the calculation and save the final values of time, timestep, </w:t>
      </w:r>
      <w:r w:rsidR="007C361F">
        <w:rPr>
          <w:lang w:val="en-US"/>
        </w:rPr>
        <w:t>settling velocity</w:t>
      </w:r>
      <w:r w:rsidR="00BD0C2B">
        <w:rPr>
          <w:lang w:val="en-US"/>
        </w:rPr>
        <w:t>, distance, total distance, Re and Cd.</w:t>
      </w:r>
    </w:p>
    <w:p w14:paraId="43436163" w14:textId="17127808" w:rsidR="00AC33EE" w:rsidRDefault="00BD0C2B" w:rsidP="007D7707">
      <w:pPr>
        <w:pStyle w:val="ListParagraph"/>
        <w:numPr>
          <w:ilvl w:val="0"/>
          <w:numId w:val="1"/>
        </w:numPr>
        <w:rPr>
          <w:lang w:val="en-US"/>
        </w:rPr>
      </w:pPr>
      <w:r>
        <w:rPr>
          <w:lang w:val="en-US"/>
        </w:rPr>
        <w:t>For each output file:</w:t>
      </w:r>
    </w:p>
    <w:p w14:paraId="48B6CE32" w14:textId="5ECD15E9" w:rsidR="00BD0C2B" w:rsidRDefault="00BD0C2B" w:rsidP="00BD0C2B">
      <w:pPr>
        <w:pStyle w:val="ListParagraph"/>
        <w:numPr>
          <w:ilvl w:val="1"/>
          <w:numId w:val="1"/>
        </w:numPr>
        <w:rPr>
          <w:lang w:val="en-US"/>
        </w:rPr>
      </w:pPr>
      <w:r>
        <w:rPr>
          <w:lang w:val="en-US"/>
        </w:rPr>
        <w:t xml:space="preserve">Calculate the average error: </w:t>
      </w:r>
      <m:oMath>
        <m:r>
          <w:rPr>
            <w:rFonts w:ascii="Cambria Math" w:hAnsi="Cambria Math"/>
            <w:lang w:val="en-US"/>
          </w:rPr>
          <m:t>AE=</m:t>
        </m:r>
        <m:f>
          <m:fPr>
            <m:ctrlPr>
              <w:rPr>
                <w:rFonts w:ascii="Cambria Math" w:hAnsi="Cambria Math"/>
                <w:i/>
                <w:lang w:val="en-US"/>
              </w:rPr>
            </m:ctrlPr>
          </m:fPr>
          <m:num>
            <m:nary>
              <m:naryPr>
                <m:chr m:val="∑"/>
                <m:limLoc m:val="undOvr"/>
                <m:ctrlPr>
                  <w:rPr>
                    <w:rFonts w:ascii="Cambria Math" w:hAnsi="Cambria Math"/>
                    <w:lang w:val="en-US"/>
                  </w:rPr>
                </m:ctrlPr>
              </m:naryPr>
              <m:sub>
                <m:r>
                  <w:rPr>
                    <w:rFonts w:ascii="Cambria Math" w:hAnsi="Cambria Math"/>
                    <w:lang w:val="en-US"/>
                  </w:rPr>
                  <m:t>i=1</m:t>
                </m:r>
              </m:sub>
              <m:sup>
                <m:r>
                  <w:rPr>
                    <w:rFonts w:ascii="Cambria Math" w:hAnsi="Cambria Math"/>
                    <w:lang w:val="en-US"/>
                  </w:rPr>
                  <m:t>N</m:t>
                </m:r>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t,calc,i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 meas,i</m:t>
                        </m:r>
                      </m:sub>
                    </m:sSub>
                  </m:num>
                  <m:den>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t,meas,i</m:t>
                        </m:r>
                      </m:sub>
                    </m:sSub>
                  </m:den>
                </m:f>
              </m:e>
            </m:nary>
            <m:r>
              <w:rPr>
                <w:rFonts w:ascii="Cambria Math" w:hAnsi="Cambria Math"/>
                <w:lang w:val="en-US"/>
              </w:rPr>
              <m:t>×100</m:t>
            </m:r>
          </m:num>
          <m:den>
            <m:r>
              <w:rPr>
                <w:rFonts w:ascii="Cambria Math" w:hAnsi="Cambria Math"/>
                <w:lang w:val="en-US"/>
              </w:rPr>
              <m:t>N</m:t>
            </m:r>
          </m:den>
        </m:f>
      </m:oMath>
    </w:p>
    <w:p w14:paraId="51BA163A" w14:textId="323483F9" w:rsidR="00BD0C2B" w:rsidRPr="007D7707" w:rsidRDefault="00BD0C2B" w:rsidP="00BD0C2B">
      <w:pPr>
        <w:pStyle w:val="ListParagraph"/>
        <w:numPr>
          <w:ilvl w:val="1"/>
          <w:numId w:val="1"/>
        </w:numPr>
        <w:rPr>
          <w:lang w:val="en-US"/>
        </w:rPr>
      </w:pPr>
      <w:r>
        <w:rPr>
          <w:lang w:val="en-US"/>
        </w:rPr>
        <w:t xml:space="preserve">Calculate the root mean squared error: </w:t>
      </w:r>
      <m:oMath>
        <m:r>
          <w:rPr>
            <w:rFonts w:ascii="Cambria Math" w:hAnsi="Cambria Math"/>
            <w:lang w:val="en-US"/>
          </w:rPr>
          <m:t>RMSE=</m:t>
        </m:r>
        <m:rad>
          <m:radPr>
            <m:degHide m:val="1"/>
            <m:ctrlPr>
              <w:rPr>
                <w:rFonts w:ascii="Cambria Math" w:hAnsi="Cambria Math"/>
                <w:i/>
                <w:lang w:val="en-US"/>
              </w:rPr>
            </m:ctrlPr>
          </m:radPr>
          <m:deg/>
          <m:e>
            <m:f>
              <m:fPr>
                <m:ctrlPr>
                  <w:rPr>
                    <w:rFonts w:ascii="Cambria Math" w:hAnsi="Cambria Math"/>
                    <w:i/>
                    <w:lang w:val="en-US"/>
                  </w:rPr>
                </m:ctrlPr>
              </m:fPr>
              <m:num>
                <m:sSup>
                  <m:sSupPr>
                    <m:ctrlPr>
                      <w:rPr>
                        <w:rFonts w:ascii="Cambria Math" w:hAnsi="Cambria Math"/>
                        <w:i/>
                        <w:lang w:val="en-US"/>
                      </w:rPr>
                    </m:ctrlPr>
                  </m:sSupPr>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t,calc,i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 meas,i</m:t>
                                    </m:r>
                                  </m:sub>
                                </m:sSub>
                              </m:num>
                              <m:den>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t,meas,i</m:t>
                                    </m:r>
                                  </m:sub>
                                </m:sSub>
                              </m:den>
                            </m:f>
                          </m:e>
                        </m:d>
                      </m:e>
                    </m:nary>
                  </m:e>
                  <m:sup>
                    <m:r>
                      <w:rPr>
                        <w:rFonts w:ascii="Cambria Math" w:hAnsi="Cambria Math"/>
                        <w:lang w:val="en-US"/>
                      </w:rPr>
                      <m:t>2</m:t>
                    </m:r>
                  </m:sup>
                </m:sSup>
                <m:r>
                  <w:rPr>
                    <w:rFonts w:ascii="Cambria Math" w:hAnsi="Cambria Math"/>
                    <w:lang w:val="en-US"/>
                  </w:rPr>
                  <m:t>×100</m:t>
                </m:r>
              </m:num>
              <m:den>
                <m:r>
                  <w:rPr>
                    <w:rFonts w:ascii="Cambria Math" w:hAnsi="Cambria Math"/>
                    <w:lang w:val="en-US"/>
                  </w:rPr>
                  <m:t>N</m:t>
                </m:r>
              </m:den>
            </m:f>
          </m:e>
        </m:rad>
      </m:oMath>
    </w:p>
    <w:p w14:paraId="31A41F37" w14:textId="65B77997" w:rsidR="001713E1" w:rsidRPr="00D4551B" w:rsidRDefault="005A6175">
      <w:pPr>
        <w:rPr>
          <w:b/>
          <w:bCs/>
          <w:lang w:val="en-US"/>
        </w:rPr>
      </w:pPr>
      <w:r>
        <w:rPr>
          <w:noProof/>
        </w:rPr>
        <w:drawing>
          <wp:anchor distT="0" distB="0" distL="114300" distR="114300" simplePos="0" relativeHeight="251662336" behindDoc="0" locked="0" layoutInCell="1" allowOverlap="1" wp14:anchorId="366F3E06" wp14:editId="28375E8B">
            <wp:simplePos x="0" y="0"/>
            <wp:positionH relativeFrom="column">
              <wp:posOffset>0</wp:posOffset>
            </wp:positionH>
            <wp:positionV relativeFrom="paragraph">
              <wp:posOffset>205740</wp:posOffset>
            </wp:positionV>
            <wp:extent cx="5731510" cy="3085465"/>
            <wp:effectExtent l="0" t="0" r="2540" b="635"/>
            <wp:wrapNone/>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085465"/>
                    </a:xfrm>
                    <a:prstGeom prst="rect">
                      <a:avLst/>
                    </a:prstGeom>
                    <a:noFill/>
                    <a:ln>
                      <a:noFill/>
                    </a:ln>
                  </pic:spPr>
                </pic:pic>
              </a:graphicData>
            </a:graphic>
          </wp:anchor>
        </w:drawing>
      </w:r>
      <w:r w:rsidR="001713E1" w:rsidRPr="00D4551B">
        <w:rPr>
          <w:b/>
          <w:bCs/>
          <w:lang w:val="en-US"/>
        </w:rPr>
        <w:t>Results and discussion</w:t>
      </w:r>
    </w:p>
    <w:p w14:paraId="316300AA" w14:textId="27AE531E" w:rsidR="00773B22" w:rsidRDefault="00773B22">
      <w:pPr>
        <w:rPr>
          <w:lang w:val="en-US"/>
        </w:rPr>
      </w:pPr>
    </w:p>
    <w:p w14:paraId="4D184196" w14:textId="71973C37" w:rsidR="00773B22" w:rsidRDefault="00773B22">
      <w:pPr>
        <w:rPr>
          <w:lang w:val="en-US"/>
        </w:rPr>
      </w:pPr>
    </w:p>
    <w:p w14:paraId="228391AB" w14:textId="2994855D" w:rsidR="00773B22" w:rsidRDefault="00773B22">
      <w:pPr>
        <w:rPr>
          <w:lang w:val="en-US"/>
        </w:rPr>
      </w:pPr>
    </w:p>
    <w:p w14:paraId="6CC5771E" w14:textId="617D18F7" w:rsidR="00773B22" w:rsidRDefault="00773B22">
      <w:pPr>
        <w:rPr>
          <w:lang w:val="en-US"/>
        </w:rPr>
      </w:pPr>
    </w:p>
    <w:p w14:paraId="7E3D3674" w14:textId="739B6620" w:rsidR="00773B22" w:rsidRDefault="00773B22">
      <w:pPr>
        <w:rPr>
          <w:lang w:val="en-US"/>
        </w:rPr>
      </w:pPr>
    </w:p>
    <w:p w14:paraId="0F49D0FB" w14:textId="3973CC39" w:rsidR="00773B22" w:rsidRDefault="00773B22">
      <w:pPr>
        <w:rPr>
          <w:lang w:val="en-US"/>
        </w:rPr>
      </w:pPr>
    </w:p>
    <w:p w14:paraId="22EE6F49" w14:textId="1D9C7EB5" w:rsidR="00773B22" w:rsidRDefault="00773B22">
      <w:pPr>
        <w:rPr>
          <w:lang w:val="en-US"/>
        </w:rPr>
      </w:pPr>
    </w:p>
    <w:p w14:paraId="3DDDE6E2" w14:textId="7FBF7D8D" w:rsidR="00773B22" w:rsidRDefault="00773B22">
      <w:pPr>
        <w:rPr>
          <w:lang w:val="en-US"/>
        </w:rPr>
      </w:pPr>
    </w:p>
    <w:p w14:paraId="69B167DA" w14:textId="7F1A6CA6" w:rsidR="00773B22" w:rsidRDefault="00773B22">
      <w:pPr>
        <w:rPr>
          <w:lang w:val="en-US"/>
        </w:rPr>
      </w:pPr>
    </w:p>
    <w:p w14:paraId="5D811E03" w14:textId="11AA0046" w:rsidR="00773B22" w:rsidRDefault="00773B22">
      <w:pPr>
        <w:rPr>
          <w:lang w:val="en-US"/>
        </w:rPr>
      </w:pPr>
    </w:p>
    <w:p w14:paraId="179D7AA5" w14:textId="0F6F7DCE" w:rsidR="00C026F7" w:rsidRDefault="00C026F7">
      <w:pPr>
        <w:rPr>
          <w:lang w:val="en-US"/>
        </w:rPr>
      </w:pPr>
    </w:p>
    <w:p w14:paraId="5AD0AF93" w14:textId="11C1EC99" w:rsidR="00C026F7" w:rsidRDefault="00A82274" w:rsidP="005A6175">
      <w:pPr>
        <w:spacing w:after="0"/>
        <w:rPr>
          <w:lang w:val="en-US"/>
        </w:rPr>
      </w:pPr>
      <w:r>
        <w:rPr>
          <w:lang w:val="en-US"/>
        </w:rPr>
        <w:t>Considering all the datapoints, the model is be</w:t>
      </w:r>
      <w:r w:rsidR="007C361F">
        <w:rPr>
          <w:lang w:val="en-US"/>
        </w:rPr>
        <w:t>tter</w:t>
      </w:r>
      <w:r>
        <w:rPr>
          <w:lang w:val="en-US"/>
        </w:rPr>
        <w:t xml:space="preserve"> at predicting the particle settling velocity when the particle surface area is used as the effective area rather than the projection area estimated from the maximum cross-sectional area.</w:t>
      </w:r>
    </w:p>
    <w:p w14:paraId="33BBF8F6" w14:textId="2AE56D72" w:rsidR="00C026F7" w:rsidRDefault="005A6175">
      <w:pPr>
        <w:rPr>
          <w:lang w:val="en-US"/>
        </w:rPr>
      </w:pPr>
      <w:r>
        <w:rPr>
          <w:noProof/>
        </w:rPr>
        <w:drawing>
          <wp:anchor distT="0" distB="0" distL="114300" distR="114300" simplePos="0" relativeHeight="251660288" behindDoc="0" locked="0" layoutInCell="1" allowOverlap="1" wp14:anchorId="291F346A" wp14:editId="5FECDDF0">
            <wp:simplePos x="0" y="0"/>
            <wp:positionH relativeFrom="margin">
              <wp:posOffset>-1270</wp:posOffset>
            </wp:positionH>
            <wp:positionV relativeFrom="paragraph">
              <wp:posOffset>607060</wp:posOffset>
            </wp:positionV>
            <wp:extent cx="5731510" cy="3085465"/>
            <wp:effectExtent l="0" t="0" r="2540" b="635"/>
            <wp:wrapNone/>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085465"/>
                    </a:xfrm>
                    <a:prstGeom prst="rect">
                      <a:avLst/>
                    </a:prstGeom>
                    <a:noFill/>
                    <a:ln>
                      <a:noFill/>
                    </a:ln>
                  </pic:spPr>
                </pic:pic>
              </a:graphicData>
            </a:graphic>
          </wp:anchor>
        </w:drawing>
      </w:r>
      <w:r w:rsidR="00A82274">
        <w:rPr>
          <w:lang w:val="en-US"/>
        </w:rPr>
        <w:t>When the particle surface area is used, the model tends to underestimate the terminal settling velocity. In contrast, when the projection area is used the model tends to overestimate the terminal settling velocity</w:t>
      </w:r>
    </w:p>
    <w:p w14:paraId="46E2999F" w14:textId="12CF0452" w:rsidR="00C026F7" w:rsidRDefault="00C026F7">
      <w:pPr>
        <w:rPr>
          <w:lang w:val="en-US"/>
        </w:rPr>
      </w:pPr>
    </w:p>
    <w:p w14:paraId="00ED37AD" w14:textId="77777777" w:rsidR="00C026F7" w:rsidRDefault="00C026F7">
      <w:pPr>
        <w:rPr>
          <w:lang w:val="en-US"/>
        </w:rPr>
      </w:pPr>
    </w:p>
    <w:p w14:paraId="188E92E6" w14:textId="77777777" w:rsidR="00C026F7" w:rsidRDefault="00C026F7">
      <w:pPr>
        <w:rPr>
          <w:lang w:val="en-US"/>
        </w:rPr>
      </w:pPr>
    </w:p>
    <w:p w14:paraId="7357551F" w14:textId="77777777" w:rsidR="00C026F7" w:rsidRDefault="00C026F7">
      <w:pPr>
        <w:rPr>
          <w:lang w:val="en-US"/>
        </w:rPr>
      </w:pPr>
    </w:p>
    <w:p w14:paraId="03FD9D95" w14:textId="4E651F94" w:rsidR="00C026F7" w:rsidRDefault="00C026F7">
      <w:pPr>
        <w:rPr>
          <w:lang w:val="en-US"/>
        </w:rPr>
      </w:pPr>
    </w:p>
    <w:p w14:paraId="2C6F564B" w14:textId="2C8DB568" w:rsidR="00C026F7" w:rsidRDefault="00C026F7">
      <w:pPr>
        <w:rPr>
          <w:lang w:val="en-US"/>
        </w:rPr>
      </w:pPr>
    </w:p>
    <w:p w14:paraId="41E46F8D" w14:textId="0F43FD74" w:rsidR="00C026F7" w:rsidRDefault="00C026F7">
      <w:pPr>
        <w:rPr>
          <w:lang w:val="en-US"/>
        </w:rPr>
      </w:pPr>
    </w:p>
    <w:p w14:paraId="7E57D77A" w14:textId="324DC85B" w:rsidR="00C026F7" w:rsidRDefault="00C026F7">
      <w:pPr>
        <w:rPr>
          <w:lang w:val="en-US"/>
        </w:rPr>
      </w:pPr>
    </w:p>
    <w:p w14:paraId="0D17FD81" w14:textId="1C7F428E" w:rsidR="00C026F7" w:rsidRDefault="00A82274">
      <w:pPr>
        <w:rPr>
          <w:lang w:val="en-US"/>
        </w:rPr>
      </w:pPr>
      <w:r>
        <w:rPr>
          <w:lang w:val="en-US"/>
        </w:rPr>
        <w:lastRenderedPageBreak/>
        <w:t>Considering only the mPs with fragment morphology, the model performs better when using the particle surface area as the effective area, rather than the projection area estimated using the maximum cross-sectional area.</w:t>
      </w:r>
    </w:p>
    <w:p w14:paraId="5928FD61" w14:textId="12041E98" w:rsidR="00A82274" w:rsidRDefault="00A82274">
      <w:pPr>
        <w:rPr>
          <w:lang w:val="en-US"/>
        </w:rPr>
      </w:pPr>
      <w:r>
        <w:rPr>
          <w:lang w:val="en-US"/>
        </w:rPr>
        <w:t xml:space="preserve">When the particle surface area is used, the model tends to slightly underestimate the terminal settling velocity. When the projection area estimated from the maximum cross-sectional area </w:t>
      </w:r>
      <w:r w:rsidR="006A6BB6">
        <w:rPr>
          <w:lang w:val="en-US"/>
        </w:rPr>
        <w:t>is used, the model tends to overestimate the terminal settling velocity of fragments.</w:t>
      </w:r>
    </w:p>
    <w:p w14:paraId="7B038695" w14:textId="11623FF6" w:rsidR="00C026F7" w:rsidRDefault="00C026F7">
      <w:pPr>
        <w:rPr>
          <w:lang w:val="en-US"/>
        </w:rPr>
      </w:pPr>
    </w:p>
    <w:p w14:paraId="50DBFD04" w14:textId="18795C97" w:rsidR="00C026F7" w:rsidRDefault="00C026F7">
      <w:pPr>
        <w:rPr>
          <w:lang w:val="en-US"/>
        </w:rPr>
      </w:pPr>
      <w:r>
        <w:rPr>
          <w:noProof/>
        </w:rPr>
        <w:drawing>
          <wp:anchor distT="0" distB="0" distL="114300" distR="114300" simplePos="0" relativeHeight="251659264" behindDoc="0" locked="0" layoutInCell="1" allowOverlap="1" wp14:anchorId="514E6714" wp14:editId="7D3EE54A">
            <wp:simplePos x="0" y="0"/>
            <wp:positionH relativeFrom="margin">
              <wp:align>center</wp:align>
            </wp:positionH>
            <wp:positionV relativeFrom="paragraph">
              <wp:posOffset>-298450</wp:posOffset>
            </wp:positionV>
            <wp:extent cx="5731510" cy="3067685"/>
            <wp:effectExtent l="0" t="0" r="2540" b="0"/>
            <wp:wrapNone/>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067685"/>
                    </a:xfrm>
                    <a:prstGeom prst="rect">
                      <a:avLst/>
                    </a:prstGeom>
                    <a:noFill/>
                    <a:ln>
                      <a:noFill/>
                    </a:ln>
                  </pic:spPr>
                </pic:pic>
              </a:graphicData>
            </a:graphic>
          </wp:anchor>
        </w:drawing>
      </w:r>
    </w:p>
    <w:p w14:paraId="1855D1FF" w14:textId="77777777" w:rsidR="00C026F7" w:rsidRDefault="00C026F7">
      <w:pPr>
        <w:rPr>
          <w:lang w:val="en-US"/>
        </w:rPr>
      </w:pPr>
    </w:p>
    <w:p w14:paraId="744A3F0E" w14:textId="77777777" w:rsidR="00C026F7" w:rsidRDefault="00C026F7">
      <w:pPr>
        <w:rPr>
          <w:lang w:val="en-US"/>
        </w:rPr>
      </w:pPr>
    </w:p>
    <w:p w14:paraId="491082FB" w14:textId="77777777" w:rsidR="00C026F7" w:rsidRDefault="00C026F7">
      <w:pPr>
        <w:rPr>
          <w:lang w:val="en-US"/>
        </w:rPr>
      </w:pPr>
    </w:p>
    <w:p w14:paraId="092A8042" w14:textId="77777777" w:rsidR="00C026F7" w:rsidRDefault="00C026F7">
      <w:pPr>
        <w:rPr>
          <w:lang w:val="en-US"/>
        </w:rPr>
      </w:pPr>
    </w:p>
    <w:p w14:paraId="5D3D0A19" w14:textId="77777777" w:rsidR="00C026F7" w:rsidRDefault="00C026F7">
      <w:pPr>
        <w:rPr>
          <w:lang w:val="en-US"/>
        </w:rPr>
      </w:pPr>
    </w:p>
    <w:p w14:paraId="25D93615" w14:textId="77777777" w:rsidR="00C026F7" w:rsidRDefault="00C026F7">
      <w:pPr>
        <w:rPr>
          <w:lang w:val="en-US"/>
        </w:rPr>
      </w:pPr>
    </w:p>
    <w:p w14:paraId="2E34B623" w14:textId="77777777" w:rsidR="00C026F7" w:rsidRDefault="00C026F7">
      <w:pPr>
        <w:rPr>
          <w:lang w:val="en-US"/>
        </w:rPr>
      </w:pPr>
    </w:p>
    <w:p w14:paraId="1B565F26" w14:textId="77777777" w:rsidR="00C026F7" w:rsidRDefault="00C026F7">
      <w:pPr>
        <w:rPr>
          <w:lang w:val="en-US"/>
        </w:rPr>
      </w:pPr>
    </w:p>
    <w:p w14:paraId="4AD42001" w14:textId="77777777" w:rsidR="00C026F7" w:rsidRDefault="00C026F7">
      <w:pPr>
        <w:rPr>
          <w:lang w:val="en-US"/>
        </w:rPr>
      </w:pPr>
    </w:p>
    <w:p w14:paraId="1A50CD2D" w14:textId="3903B7CC" w:rsidR="00C026F7" w:rsidRDefault="00C62639">
      <w:pPr>
        <w:rPr>
          <w:lang w:val="en-US"/>
        </w:rPr>
      </w:pPr>
      <w:r>
        <w:rPr>
          <w:lang w:val="en-US"/>
        </w:rPr>
        <w:t>Considering only the fibres, the model performs better when using the particle surface area as the effective area, rather than the projection area estimated using the maximum cross-sectional area.</w:t>
      </w:r>
    </w:p>
    <w:p w14:paraId="5EAED51D" w14:textId="2C3C0C94" w:rsidR="00C62639" w:rsidRDefault="00C62639">
      <w:pPr>
        <w:rPr>
          <w:lang w:val="en-US"/>
        </w:rPr>
      </w:pPr>
      <w:r>
        <w:rPr>
          <w:lang w:val="en-US"/>
        </w:rPr>
        <w:t xml:space="preserve">When the particle surface area is used the model tends to slightly underestimate the terminal settling velocity. However, the linear model cannot describe the variance in the data very well, with the points lying far from the line. When projection area estimated from the maximum cross-sectional area is used the model tends to overestimate the terminal settling velocity of the fibres. </w:t>
      </w:r>
    </w:p>
    <w:p w14:paraId="18FA44BF" w14:textId="05D73AD0" w:rsidR="00C026F7" w:rsidRDefault="00C026F7">
      <w:pPr>
        <w:rPr>
          <w:lang w:val="en-US"/>
        </w:rPr>
      </w:pPr>
      <w:r>
        <w:rPr>
          <w:noProof/>
        </w:rPr>
        <w:drawing>
          <wp:anchor distT="0" distB="0" distL="114300" distR="114300" simplePos="0" relativeHeight="251661312" behindDoc="0" locked="0" layoutInCell="1" allowOverlap="1" wp14:anchorId="55163D9B" wp14:editId="523267F9">
            <wp:simplePos x="0" y="0"/>
            <wp:positionH relativeFrom="column">
              <wp:posOffset>0</wp:posOffset>
            </wp:positionH>
            <wp:positionV relativeFrom="paragraph">
              <wp:posOffset>-2540</wp:posOffset>
            </wp:positionV>
            <wp:extent cx="5731510" cy="3067685"/>
            <wp:effectExtent l="0" t="0" r="2540" b="0"/>
            <wp:wrapNone/>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67685"/>
                    </a:xfrm>
                    <a:prstGeom prst="rect">
                      <a:avLst/>
                    </a:prstGeom>
                    <a:noFill/>
                    <a:ln>
                      <a:noFill/>
                    </a:ln>
                  </pic:spPr>
                </pic:pic>
              </a:graphicData>
            </a:graphic>
          </wp:anchor>
        </w:drawing>
      </w:r>
    </w:p>
    <w:p w14:paraId="3C238F03" w14:textId="77777777" w:rsidR="00C026F7" w:rsidRDefault="00C026F7">
      <w:pPr>
        <w:rPr>
          <w:lang w:val="en-US"/>
        </w:rPr>
      </w:pPr>
    </w:p>
    <w:p w14:paraId="11C2BF86" w14:textId="77777777" w:rsidR="00C026F7" w:rsidRDefault="00C026F7">
      <w:pPr>
        <w:rPr>
          <w:lang w:val="en-US"/>
        </w:rPr>
      </w:pPr>
    </w:p>
    <w:p w14:paraId="0F5F7AA5" w14:textId="77777777" w:rsidR="00C026F7" w:rsidRDefault="00C026F7">
      <w:pPr>
        <w:rPr>
          <w:lang w:val="en-US"/>
        </w:rPr>
      </w:pPr>
    </w:p>
    <w:p w14:paraId="1A68037F" w14:textId="77777777" w:rsidR="00C026F7" w:rsidRDefault="00C026F7">
      <w:pPr>
        <w:rPr>
          <w:lang w:val="en-US"/>
        </w:rPr>
      </w:pPr>
    </w:p>
    <w:p w14:paraId="6DE7275C" w14:textId="70EF3833" w:rsidR="00C026F7" w:rsidRDefault="00C026F7">
      <w:pPr>
        <w:rPr>
          <w:lang w:val="en-US"/>
        </w:rPr>
      </w:pPr>
    </w:p>
    <w:p w14:paraId="244BE128" w14:textId="0E099347" w:rsidR="00C026F7" w:rsidRDefault="00C026F7">
      <w:pPr>
        <w:rPr>
          <w:lang w:val="en-US"/>
        </w:rPr>
      </w:pPr>
    </w:p>
    <w:p w14:paraId="2063B2CF" w14:textId="2BCF6287" w:rsidR="00C026F7" w:rsidRDefault="00C026F7">
      <w:pPr>
        <w:rPr>
          <w:lang w:val="en-US"/>
        </w:rPr>
      </w:pPr>
    </w:p>
    <w:p w14:paraId="4E0398C7" w14:textId="77777777" w:rsidR="00C026F7" w:rsidRDefault="00C026F7">
      <w:pPr>
        <w:rPr>
          <w:lang w:val="en-US"/>
        </w:rPr>
      </w:pPr>
    </w:p>
    <w:p w14:paraId="7829B970" w14:textId="77777777" w:rsidR="00C026F7" w:rsidRDefault="00C026F7">
      <w:pPr>
        <w:rPr>
          <w:lang w:val="en-US"/>
        </w:rPr>
      </w:pPr>
    </w:p>
    <w:p w14:paraId="0EB73D9D" w14:textId="77777777" w:rsidR="00C026F7" w:rsidRDefault="00C026F7">
      <w:pPr>
        <w:rPr>
          <w:lang w:val="en-US"/>
        </w:rPr>
      </w:pPr>
    </w:p>
    <w:p w14:paraId="4B717B1F" w14:textId="03768CDA" w:rsidR="00C62639" w:rsidRDefault="00C62639" w:rsidP="00C62639">
      <w:pPr>
        <w:rPr>
          <w:lang w:val="en-US"/>
        </w:rPr>
      </w:pPr>
      <w:r>
        <w:rPr>
          <w:lang w:val="en-US"/>
        </w:rPr>
        <w:lastRenderedPageBreak/>
        <w:t>Considering only the fi</w:t>
      </w:r>
      <w:r>
        <w:rPr>
          <w:lang w:val="en-US"/>
        </w:rPr>
        <w:t>lms</w:t>
      </w:r>
      <w:r>
        <w:rPr>
          <w:lang w:val="en-US"/>
        </w:rPr>
        <w:t>, the model performs better when using the particle surface area as the effective area, rather than the projection area estimated using the maximum cross-sectional area.</w:t>
      </w:r>
    </w:p>
    <w:p w14:paraId="41D9612B" w14:textId="010B41AE" w:rsidR="00C62639" w:rsidRDefault="00C62639">
      <w:pPr>
        <w:rPr>
          <w:lang w:val="en-US"/>
        </w:rPr>
      </w:pPr>
      <w:r>
        <w:rPr>
          <w:lang w:val="en-US"/>
        </w:rPr>
        <w:t>When the particle surface area is used as the effective area, the model tends to slightly underestimate the terminal settling velocity of the film particles. When the projection area is estimated as the maximum cross-sectional area the model tends to overestimate the terminal settling velocity of the particles.</w:t>
      </w:r>
    </w:p>
    <w:p w14:paraId="27E360FE" w14:textId="0695A7F7" w:rsidR="000B6828" w:rsidRDefault="000B6828">
      <w:pPr>
        <w:rPr>
          <w:lang w:val="en-US"/>
        </w:rPr>
      </w:pPr>
      <w:r>
        <w:rPr>
          <w:noProof/>
        </w:rPr>
        <w:drawing>
          <wp:inline distT="0" distB="0" distL="0" distR="0" wp14:anchorId="388DA2ED" wp14:editId="3A6E4F51">
            <wp:extent cx="5731510" cy="3079750"/>
            <wp:effectExtent l="0" t="0" r="2540" b="635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79750"/>
                    </a:xfrm>
                    <a:prstGeom prst="rect">
                      <a:avLst/>
                    </a:prstGeom>
                    <a:noFill/>
                    <a:ln>
                      <a:noFill/>
                    </a:ln>
                  </pic:spPr>
                </pic:pic>
              </a:graphicData>
            </a:graphic>
          </wp:inline>
        </w:drawing>
      </w:r>
    </w:p>
    <w:p w14:paraId="66F35D0D" w14:textId="4EADBD62" w:rsidR="000B6828" w:rsidRDefault="000B6828">
      <w:pPr>
        <w:rPr>
          <w:lang w:val="en-US"/>
        </w:rPr>
      </w:pPr>
      <w:r>
        <w:rPr>
          <w:lang w:val="en-US"/>
        </w:rPr>
        <w:t>The calculated Cd tends to be lower than the measured Cd but follows the same general trend whereby Cd decreases as Re increases.</w:t>
      </w:r>
    </w:p>
    <w:p w14:paraId="7A473BBA" w14:textId="6D227159" w:rsidR="000B6828" w:rsidRDefault="000B6828">
      <w:pPr>
        <w:rPr>
          <w:lang w:val="en-US"/>
        </w:rPr>
      </w:pPr>
      <w:r>
        <w:rPr>
          <w:noProof/>
        </w:rPr>
        <w:drawing>
          <wp:inline distT="0" distB="0" distL="0" distR="0" wp14:anchorId="4AD5197D" wp14:editId="541D6ACB">
            <wp:extent cx="5731510" cy="2886710"/>
            <wp:effectExtent l="0" t="0" r="2540" b="889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86710"/>
                    </a:xfrm>
                    <a:prstGeom prst="rect">
                      <a:avLst/>
                    </a:prstGeom>
                    <a:noFill/>
                    <a:ln>
                      <a:noFill/>
                    </a:ln>
                  </pic:spPr>
                </pic:pic>
              </a:graphicData>
            </a:graphic>
          </wp:inline>
        </w:drawing>
      </w:r>
    </w:p>
    <w:p w14:paraId="3D376564" w14:textId="7B5DB091" w:rsidR="000B6828" w:rsidRDefault="000B6828">
      <w:pPr>
        <w:rPr>
          <w:lang w:val="en-US"/>
        </w:rPr>
      </w:pPr>
      <w:r>
        <w:rPr>
          <w:lang w:val="en-US"/>
        </w:rPr>
        <w:t>The film particles have the lowest drag coefficient at the same Re whilst the fibres have the highest drag coefficient.</w:t>
      </w:r>
    </w:p>
    <w:p w14:paraId="544B97C5" w14:textId="730A4C63" w:rsidR="000B6828" w:rsidRDefault="000B6828">
      <w:pPr>
        <w:rPr>
          <w:lang w:val="en-US"/>
        </w:rPr>
      </w:pPr>
    </w:p>
    <w:p w14:paraId="6D215A6A" w14:textId="72FB9874" w:rsidR="000B6828" w:rsidRDefault="000B6828">
      <w:pPr>
        <w:rPr>
          <w:lang w:val="en-US"/>
        </w:rPr>
      </w:pPr>
      <w:r>
        <w:rPr>
          <w:noProof/>
        </w:rPr>
        <w:lastRenderedPageBreak/>
        <w:drawing>
          <wp:inline distT="0" distB="0" distL="0" distR="0" wp14:anchorId="50262B21" wp14:editId="63E0882F">
            <wp:extent cx="5731510" cy="3063875"/>
            <wp:effectExtent l="0" t="0" r="2540" b="3175"/>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63875"/>
                    </a:xfrm>
                    <a:prstGeom prst="rect">
                      <a:avLst/>
                    </a:prstGeom>
                    <a:noFill/>
                    <a:ln>
                      <a:noFill/>
                    </a:ln>
                  </pic:spPr>
                </pic:pic>
              </a:graphicData>
            </a:graphic>
          </wp:inline>
        </w:drawing>
      </w:r>
    </w:p>
    <w:p w14:paraId="0E86EC94" w14:textId="0C93381A" w:rsidR="000B6828" w:rsidRDefault="000B6828">
      <w:pPr>
        <w:rPr>
          <w:lang w:val="en-US"/>
        </w:rPr>
      </w:pPr>
      <w:r>
        <w:rPr>
          <w:lang w:val="en-US"/>
        </w:rPr>
        <w:t>The particle terminal settling velocity increases as particle size increases. The model appears to predict the terminal settling velocity of the particles more accurately when the particle surface area is used compared to the maximum cross-sectional area.</w:t>
      </w:r>
    </w:p>
    <w:p w14:paraId="32E98B1C" w14:textId="772D8794" w:rsidR="000B6828" w:rsidRDefault="000B6828">
      <w:pPr>
        <w:rPr>
          <w:lang w:val="en-US"/>
        </w:rPr>
      </w:pPr>
      <w:r>
        <w:rPr>
          <w:noProof/>
        </w:rPr>
        <w:drawing>
          <wp:inline distT="0" distB="0" distL="0" distR="0" wp14:anchorId="4FACDB0C" wp14:editId="5E3BC8CD">
            <wp:extent cx="5731510" cy="2876550"/>
            <wp:effectExtent l="0" t="0" r="254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876550"/>
                    </a:xfrm>
                    <a:prstGeom prst="rect">
                      <a:avLst/>
                    </a:prstGeom>
                    <a:noFill/>
                    <a:ln>
                      <a:noFill/>
                    </a:ln>
                  </pic:spPr>
                </pic:pic>
              </a:graphicData>
            </a:graphic>
          </wp:inline>
        </w:drawing>
      </w:r>
    </w:p>
    <w:p w14:paraId="0FCA9D5F" w14:textId="33CCD040" w:rsidR="000B6828" w:rsidRDefault="000B6828">
      <w:pPr>
        <w:rPr>
          <w:lang w:val="en-US"/>
        </w:rPr>
      </w:pPr>
      <w:r>
        <w:rPr>
          <w:lang w:val="en-US"/>
        </w:rPr>
        <w:t>The fragments have the largest equivalent spherical diameter.</w:t>
      </w:r>
    </w:p>
    <w:p w14:paraId="535DF6D3" w14:textId="4A64197A" w:rsidR="00332C21" w:rsidRDefault="00332C21">
      <w:pPr>
        <w:rPr>
          <w:lang w:val="en-US"/>
        </w:rPr>
      </w:pPr>
      <w:r>
        <w:rPr>
          <w:noProof/>
        </w:rPr>
        <w:lastRenderedPageBreak/>
        <w:drawing>
          <wp:inline distT="0" distB="0" distL="0" distR="0" wp14:anchorId="4CD031FF" wp14:editId="149F9D59">
            <wp:extent cx="5731510" cy="2876550"/>
            <wp:effectExtent l="0" t="0" r="254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876550"/>
                    </a:xfrm>
                    <a:prstGeom prst="rect">
                      <a:avLst/>
                    </a:prstGeom>
                    <a:noFill/>
                    <a:ln>
                      <a:noFill/>
                    </a:ln>
                  </pic:spPr>
                </pic:pic>
              </a:graphicData>
            </a:graphic>
          </wp:inline>
        </w:drawing>
      </w:r>
    </w:p>
    <w:p w14:paraId="7D32355C" w14:textId="5B75194A" w:rsidR="00332C21" w:rsidRDefault="00332C21">
      <w:pPr>
        <w:rPr>
          <w:lang w:val="en-US"/>
        </w:rPr>
      </w:pPr>
      <w:r>
        <w:rPr>
          <w:lang w:val="en-US"/>
        </w:rPr>
        <w:t>The fragment mPs have the highest CSF.</w:t>
      </w:r>
    </w:p>
    <w:p w14:paraId="36581E4D" w14:textId="78333DE9" w:rsidR="00EB3635" w:rsidRDefault="00EB3635">
      <w:pPr>
        <w:rPr>
          <w:lang w:val="en-US"/>
        </w:rPr>
      </w:pPr>
      <w:r>
        <w:rPr>
          <w:noProof/>
        </w:rPr>
        <w:drawing>
          <wp:inline distT="0" distB="0" distL="0" distR="0" wp14:anchorId="52353AA2" wp14:editId="623A78A5">
            <wp:extent cx="5731510" cy="2875280"/>
            <wp:effectExtent l="0" t="0" r="2540" b="127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75280"/>
                    </a:xfrm>
                    <a:prstGeom prst="rect">
                      <a:avLst/>
                    </a:prstGeom>
                    <a:noFill/>
                    <a:ln>
                      <a:noFill/>
                    </a:ln>
                  </pic:spPr>
                </pic:pic>
              </a:graphicData>
            </a:graphic>
          </wp:inline>
        </w:drawing>
      </w:r>
    </w:p>
    <w:p w14:paraId="60DB0A08" w14:textId="6FCBE09E" w:rsidR="00EB3635" w:rsidRDefault="00EB3635">
      <w:pPr>
        <w:rPr>
          <w:lang w:val="en-US"/>
        </w:rPr>
      </w:pPr>
      <w:r>
        <w:rPr>
          <w:lang w:val="en-US"/>
        </w:rPr>
        <w:t>The ASF appears to be an appropriate shape factor to distinguish between the mP morphologies, with films having the lowest ASF and fibers having the highest ASF.</w:t>
      </w:r>
    </w:p>
    <w:p w14:paraId="4A8DEBCC" w14:textId="448A7C2D" w:rsidR="00C026F7" w:rsidRDefault="00773B22">
      <w:pPr>
        <w:rPr>
          <w:lang w:val="en-US"/>
        </w:rPr>
      </w:pPr>
      <w:r>
        <w:rPr>
          <w:lang w:val="en-US"/>
        </w:rPr>
        <w:t>Summary table:</w:t>
      </w:r>
    </w:p>
    <w:tbl>
      <w:tblPr>
        <w:tblStyle w:val="TableGrid"/>
        <w:tblW w:w="0" w:type="auto"/>
        <w:tblLook w:val="04A0" w:firstRow="1" w:lastRow="0" w:firstColumn="1" w:lastColumn="0" w:noHBand="0" w:noVBand="1"/>
      </w:tblPr>
      <w:tblGrid>
        <w:gridCol w:w="1555"/>
        <w:gridCol w:w="1382"/>
        <w:gridCol w:w="1504"/>
        <w:gridCol w:w="1483"/>
        <w:gridCol w:w="1516"/>
        <w:gridCol w:w="1576"/>
      </w:tblGrid>
      <w:tr w:rsidR="007C255D" w14:paraId="10B56BDD" w14:textId="77777777" w:rsidTr="00C026F7">
        <w:tc>
          <w:tcPr>
            <w:tcW w:w="1555" w:type="dxa"/>
          </w:tcPr>
          <w:p w14:paraId="01B15658" w14:textId="09442B68" w:rsidR="007C255D" w:rsidRPr="00C026F7" w:rsidRDefault="007C255D">
            <w:pPr>
              <w:rPr>
                <w:b/>
                <w:bCs/>
                <w:lang w:val="en-US"/>
              </w:rPr>
            </w:pPr>
            <w:r w:rsidRPr="00C026F7">
              <w:rPr>
                <w:b/>
                <w:bCs/>
                <w:lang w:val="en-US"/>
              </w:rPr>
              <w:t>Effective Area</w:t>
            </w:r>
          </w:p>
        </w:tc>
        <w:tc>
          <w:tcPr>
            <w:tcW w:w="1382" w:type="dxa"/>
          </w:tcPr>
          <w:p w14:paraId="0FAE7657" w14:textId="5C5F8AFA" w:rsidR="007C255D" w:rsidRPr="00C026F7" w:rsidRDefault="007C255D">
            <w:pPr>
              <w:rPr>
                <w:b/>
                <w:bCs/>
                <w:lang w:val="en-US"/>
              </w:rPr>
            </w:pPr>
            <w:r w:rsidRPr="00C026F7">
              <w:rPr>
                <w:b/>
                <w:bCs/>
                <w:lang w:val="en-US"/>
              </w:rPr>
              <w:t>Shape</w:t>
            </w:r>
          </w:p>
        </w:tc>
        <w:tc>
          <w:tcPr>
            <w:tcW w:w="1504" w:type="dxa"/>
          </w:tcPr>
          <w:p w14:paraId="32FE8F8B" w14:textId="2A71A79E" w:rsidR="007C255D" w:rsidRPr="00C026F7" w:rsidRDefault="007C255D">
            <w:pPr>
              <w:rPr>
                <w:b/>
                <w:bCs/>
                <w:lang w:val="en-US"/>
              </w:rPr>
            </w:pPr>
            <w:r w:rsidRPr="00C026F7">
              <w:rPr>
                <w:b/>
                <w:bCs/>
                <w:lang w:val="en-US"/>
              </w:rPr>
              <w:t>m</w:t>
            </w:r>
          </w:p>
        </w:tc>
        <w:tc>
          <w:tcPr>
            <w:tcW w:w="1483" w:type="dxa"/>
          </w:tcPr>
          <w:p w14:paraId="3340A50B" w14:textId="5336220E" w:rsidR="007C255D" w:rsidRPr="00C026F7" w:rsidRDefault="00773B22">
            <w:pPr>
              <w:rPr>
                <w:b/>
                <w:bCs/>
                <w:lang w:val="en-US"/>
              </w:rPr>
            </w:pPr>
            <w:r w:rsidRPr="00C026F7">
              <w:rPr>
                <w:b/>
                <w:bCs/>
                <w:lang w:val="en-US"/>
              </w:rPr>
              <w:t>R</w:t>
            </w:r>
            <w:r w:rsidRPr="00C026F7">
              <w:rPr>
                <w:b/>
                <w:bCs/>
                <w:vertAlign w:val="superscript"/>
                <w:lang w:val="en-US"/>
              </w:rPr>
              <w:t>2</w:t>
            </w:r>
          </w:p>
        </w:tc>
        <w:tc>
          <w:tcPr>
            <w:tcW w:w="1516" w:type="dxa"/>
          </w:tcPr>
          <w:p w14:paraId="6AD59A37" w14:textId="758C6399" w:rsidR="007C255D" w:rsidRPr="00C026F7" w:rsidRDefault="007C255D">
            <w:pPr>
              <w:rPr>
                <w:b/>
                <w:bCs/>
                <w:lang w:val="en-US"/>
              </w:rPr>
            </w:pPr>
            <w:r w:rsidRPr="00C026F7">
              <w:rPr>
                <w:b/>
                <w:bCs/>
                <w:lang w:val="en-US"/>
              </w:rPr>
              <w:t>AE</w:t>
            </w:r>
            <w:r w:rsidR="00D9730C">
              <w:rPr>
                <w:b/>
                <w:bCs/>
                <w:lang w:val="en-US"/>
              </w:rPr>
              <w:t xml:space="preserve"> (%)</w:t>
            </w:r>
          </w:p>
        </w:tc>
        <w:tc>
          <w:tcPr>
            <w:tcW w:w="1576" w:type="dxa"/>
          </w:tcPr>
          <w:p w14:paraId="1F8A1E34" w14:textId="7BE55458" w:rsidR="007C255D" w:rsidRPr="00C026F7" w:rsidRDefault="007C255D">
            <w:pPr>
              <w:rPr>
                <w:b/>
                <w:bCs/>
                <w:lang w:val="en-US"/>
              </w:rPr>
            </w:pPr>
            <w:r w:rsidRPr="00C026F7">
              <w:rPr>
                <w:b/>
                <w:bCs/>
                <w:lang w:val="en-US"/>
              </w:rPr>
              <w:t>RMSE</w:t>
            </w:r>
            <w:r w:rsidR="00D9730C">
              <w:rPr>
                <w:b/>
                <w:bCs/>
                <w:lang w:val="en-US"/>
              </w:rPr>
              <w:t xml:space="preserve"> (%)</w:t>
            </w:r>
          </w:p>
        </w:tc>
      </w:tr>
      <w:tr w:rsidR="007C255D" w14:paraId="68D50AAC" w14:textId="77777777" w:rsidTr="00C026F7">
        <w:tc>
          <w:tcPr>
            <w:tcW w:w="1555" w:type="dxa"/>
          </w:tcPr>
          <w:p w14:paraId="34D550E4" w14:textId="796F17DB" w:rsidR="007C255D" w:rsidRDefault="007C255D">
            <w:pPr>
              <w:rPr>
                <w:lang w:val="en-US"/>
              </w:rPr>
            </w:pPr>
            <w:r>
              <w:rPr>
                <w:lang w:val="en-US"/>
              </w:rPr>
              <w:t>SA</w:t>
            </w:r>
          </w:p>
        </w:tc>
        <w:tc>
          <w:tcPr>
            <w:tcW w:w="1382" w:type="dxa"/>
          </w:tcPr>
          <w:p w14:paraId="1AF7AEE4" w14:textId="4807C5A9" w:rsidR="007C255D" w:rsidRDefault="007C255D">
            <w:pPr>
              <w:rPr>
                <w:lang w:val="en-US"/>
              </w:rPr>
            </w:pPr>
            <w:r>
              <w:rPr>
                <w:lang w:val="en-US"/>
              </w:rPr>
              <w:t>All</w:t>
            </w:r>
          </w:p>
        </w:tc>
        <w:tc>
          <w:tcPr>
            <w:tcW w:w="1504" w:type="dxa"/>
          </w:tcPr>
          <w:p w14:paraId="2AFD1DBF" w14:textId="2AFCB2AE" w:rsidR="007C255D" w:rsidRDefault="00773B22">
            <w:pPr>
              <w:rPr>
                <w:lang w:val="en-US"/>
              </w:rPr>
            </w:pPr>
            <w:r>
              <w:rPr>
                <w:lang w:val="en-US"/>
              </w:rPr>
              <w:t>0.8613</w:t>
            </w:r>
          </w:p>
        </w:tc>
        <w:tc>
          <w:tcPr>
            <w:tcW w:w="1483" w:type="dxa"/>
          </w:tcPr>
          <w:p w14:paraId="2611D39E" w14:textId="4AF6DB2D" w:rsidR="007C255D" w:rsidRDefault="00773B22">
            <w:pPr>
              <w:rPr>
                <w:lang w:val="en-US"/>
              </w:rPr>
            </w:pPr>
            <w:r>
              <w:rPr>
                <w:lang w:val="en-US"/>
              </w:rPr>
              <w:t>0.8905</w:t>
            </w:r>
          </w:p>
        </w:tc>
        <w:tc>
          <w:tcPr>
            <w:tcW w:w="1516" w:type="dxa"/>
          </w:tcPr>
          <w:p w14:paraId="4B6AF5B6" w14:textId="5B2D305D" w:rsidR="007C255D" w:rsidRDefault="00773B22">
            <w:pPr>
              <w:rPr>
                <w:lang w:val="en-US"/>
              </w:rPr>
            </w:pPr>
            <w:r>
              <w:rPr>
                <w:lang w:val="en-US"/>
              </w:rPr>
              <w:t>23.48</w:t>
            </w:r>
          </w:p>
        </w:tc>
        <w:tc>
          <w:tcPr>
            <w:tcW w:w="1576" w:type="dxa"/>
          </w:tcPr>
          <w:p w14:paraId="61613256" w14:textId="2ECFF9FC" w:rsidR="007C255D" w:rsidRDefault="00773B22">
            <w:pPr>
              <w:rPr>
                <w:lang w:val="en-US"/>
              </w:rPr>
            </w:pPr>
            <w:r>
              <w:rPr>
                <w:lang w:val="en-US"/>
              </w:rPr>
              <w:t>2.78</w:t>
            </w:r>
          </w:p>
        </w:tc>
      </w:tr>
      <w:tr w:rsidR="007C255D" w14:paraId="7F2D7400" w14:textId="77777777" w:rsidTr="00C026F7">
        <w:tc>
          <w:tcPr>
            <w:tcW w:w="1555" w:type="dxa"/>
          </w:tcPr>
          <w:p w14:paraId="1EA60B14" w14:textId="4EB83330" w:rsidR="007C255D" w:rsidRDefault="007C255D">
            <w:pPr>
              <w:rPr>
                <w:lang w:val="en-US"/>
              </w:rPr>
            </w:pPr>
            <w:r>
              <w:rPr>
                <w:lang w:val="en-US"/>
              </w:rPr>
              <w:t>SA</w:t>
            </w:r>
          </w:p>
        </w:tc>
        <w:tc>
          <w:tcPr>
            <w:tcW w:w="1382" w:type="dxa"/>
          </w:tcPr>
          <w:p w14:paraId="500744DF" w14:textId="7E0CF003" w:rsidR="007C255D" w:rsidRDefault="007C255D">
            <w:pPr>
              <w:rPr>
                <w:lang w:val="en-US"/>
              </w:rPr>
            </w:pPr>
            <w:r>
              <w:rPr>
                <w:lang w:val="en-US"/>
              </w:rPr>
              <w:t>Fragment</w:t>
            </w:r>
          </w:p>
        </w:tc>
        <w:tc>
          <w:tcPr>
            <w:tcW w:w="1504" w:type="dxa"/>
          </w:tcPr>
          <w:p w14:paraId="41E9F76D" w14:textId="3832836D" w:rsidR="007C255D" w:rsidRDefault="00C026F7">
            <w:pPr>
              <w:rPr>
                <w:lang w:val="en-US"/>
              </w:rPr>
            </w:pPr>
            <w:r>
              <w:rPr>
                <w:lang w:val="en-US"/>
              </w:rPr>
              <w:t>0.8603</w:t>
            </w:r>
          </w:p>
        </w:tc>
        <w:tc>
          <w:tcPr>
            <w:tcW w:w="1483" w:type="dxa"/>
          </w:tcPr>
          <w:p w14:paraId="5BA69D4A" w14:textId="36941746" w:rsidR="007C255D" w:rsidRDefault="00C026F7">
            <w:pPr>
              <w:rPr>
                <w:lang w:val="en-US"/>
              </w:rPr>
            </w:pPr>
            <w:r>
              <w:rPr>
                <w:lang w:val="en-US"/>
              </w:rPr>
              <w:t>0.8572</w:t>
            </w:r>
          </w:p>
        </w:tc>
        <w:tc>
          <w:tcPr>
            <w:tcW w:w="1516" w:type="dxa"/>
          </w:tcPr>
          <w:p w14:paraId="47C5F753" w14:textId="15C7C56A" w:rsidR="007C255D" w:rsidRDefault="00773B22">
            <w:pPr>
              <w:rPr>
                <w:lang w:val="en-US"/>
              </w:rPr>
            </w:pPr>
            <w:r>
              <w:rPr>
                <w:lang w:val="en-US"/>
              </w:rPr>
              <w:t>26.11</w:t>
            </w:r>
          </w:p>
        </w:tc>
        <w:tc>
          <w:tcPr>
            <w:tcW w:w="1576" w:type="dxa"/>
          </w:tcPr>
          <w:p w14:paraId="10AE061E" w14:textId="58C7C2B7" w:rsidR="007C255D" w:rsidRDefault="00773B22">
            <w:pPr>
              <w:rPr>
                <w:lang w:val="en-US"/>
              </w:rPr>
            </w:pPr>
            <w:r>
              <w:rPr>
                <w:lang w:val="en-US"/>
              </w:rPr>
              <w:t>3.02</w:t>
            </w:r>
          </w:p>
        </w:tc>
      </w:tr>
      <w:tr w:rsidR="007C255D" w14:paraId="670D275D" w14:textId="77777777" w:rsidTr="00C026F7">
        <w:tc>
          <w:tcPr>
            <w:tcW w:w="1555" w:type="dxa"/>
          </w:tcPr>
          <w:p w14:paraId="21648513" w14:textId="449BDBB7" w:rsidR="007C255D" w:rsidRDefault="007C255D">
            <w:pPr>
              <w:rPr>
                <w:lang w:val="en-US"/>
              </w:rPr>
            </w:pPr>
            <w:r>
              <w:rPr>
                <w:lang w:val="en-US"/>
              </w:rPr>
              <w:t>SA</w:t>
            </w:r>
          </w:p>
        </w:tc>
        <w:tc>
          <w:tcPr>
            <w:tcW w:w="1382" w:type="dxa"/>
          </w:tcPr>
          <w:p w14:paraId="0DC832AB" w14:textId="4C9E63AD" w:rsidR="007C255D" w:rsidRDefault="007C255D">
            <w:pPr>
              <w:rPr>
                <w:lang w:val="en-US"/>
              </w:rPr>
            </w:pPr>
            <w:r>
              <w:rPr>
                <w:lang w:val="en-US"/>
              </w:rPr>
              <w:t>Fibre</w:t>
            </w:r>
          </w:p>
        </w:tc>
        <w:tc>
          <w:tcPr>
            <w:tcW w:w="1504" w:type="dxa"/>
          </w:tcPr>
          <w:p w14:paraId="544C779A" w14:textId="31C1AFBE" w:rsidR="007C255D" w:rsidRDefault="00C026F7">
            <w:pPr>
              <w:rPr>
                <w:lang w:val="en-US"/>
              </w:rPr>
            </w:pPr>
            <w:r>
              <w:rPr>
                <w:lang w:val="en-US"/>
              </w:rPr>
              <w:t>0.8674</w:t>
            </w:r>
          </w:p>
        </w:tc>
        <w:tc>
          <w:tcPr>
            <w:tcW w:w="1483" w:type="dxa"/>
          </w:tcPr>
          <w:p w14:paraId="1E067F6C" w14:textId="7A190B82" w:rsidR="007C255D" w:rsidRDefault="00C026F7">
            <w:pPr>
              <w:rPr>
                <w:lang w:val="en-US"/>
              </w:rPr>
            </w:pPr>
            <w:r>
              <w:rPr>
                <w:lang w:val="en-US"/>
              </w:rPr>
              <w:t>0.6044</w:t>
            </w:r>
          </w:p>
        </w:tc>
        <w:tc>
          <w:tcPr>
            <w:tcW w:w="1516" w:type="dxa"/>
          </w:tcPr>
          <w:p w14:paraId="1495329A" w14:textId="2EEE0496" w:rsidR="007C255D" w:rsidRDefault="00773B22">
            <w:pPr>
              <w:rPr>
                <w:lang w:val="en-US"/>
              </w:rPr>
            </w:pPr>
            <w:r w:rsidRPr="00332C21">
              <w:rPr>
                <w:highlight w:val="yellow"/>
                <w:lang w:val="en-US"/>
              </w:rPr>
              <w:t>19.14</w:t>
            </w:r>
          </w:p>
        </w:tc>
        <w:tc>
          <w:tcPr>
            <w:tcW w:w="1576" w:type="dxa"/>
          </w:tcPr>
          <w:p w14:paraId="3AC307C0" w14:textId="6DAE8557" w:rsidR="007C255D" w:rsidRDefault="00773B22">
            <w:pPr>
              <w:rPr>
                <w:lang w:val="en-US"/>
              </w:rPr>
            </w:pPr>
            <w:r w:rsidRPr="00332C21">
              <w:rPr>
                <w:highlight w:val="yellow"/>
                <w:lang w:val="en-US"/>
              </w:rPr>
              <w:t>2.39</w:t>
            </w:r>
          </w:p>
        </w:tc>
      </w:tr>
      <w:tr w:rsidR="007C255D" w14:paraId="6CD4DD99" w14:textId="77777777" w:rsidTr="00C026F7">
        <w:tc>
          <w:tcPr>
            <w:tcW w:w="1555" w:type="dxa"/>
          </w:tcPr>
          <w:p w14:paraId="6AA34182" w14:textId="4671A4DE" w:rsidR="007C255D" w:rsidRDefault="007C255D">
            <w:pPr>
              <w:rPr>
                <w:lang w:val="en-US"/>
              </w:rPr>
            </w:pPr>
            <w:r>
              <w:rPr>
                <w:lang w:val="en-US"/>
              </w:rPr>
              <w:t>SA</w:t>
            </w:r>
          </w:p>
        </w:tc>
        <w:tc>
          <w:tcPr>
            <w:tcW w:w="1382" w:type="dxa"/>
          </w:tcPr>
          <w:p w14:paraId="7EAC1A16" w14:textId="204FBBBA" w:rsidR="007C255D" w:rsidRDefault="007C255D">
            <w:pPr>
              <w:rPr>
                <w:lang w:val="en-US"/>
              </w:rPr>
            </w:pPr>
            <w:r>
              <w:rPr>
                <w:lang w:val="en-US"/>
              </w:rPr>
              <w:t>Film</w:t>
            </w:r>
          </w:p>
        </w:tc>
        <w:tc>
          <w:tcPr>
            <w:tcW w:w="1504" w:type="dxa"/>
          </w:tcPr>
          <w:p w14:paraId="2B71AF23" w14:textId="2BC6AFFB" w:rsidR="007C255D" w:rsidRDefault="00C026F7">
            <w:pPr>
              <w:rPr>
                <w:lang w:val="en-US"/>
              </w:rPr>
            </w:pPr>
            <w:r w:rsidRPr="00332C21">
              <w:rPr>
                <w:highlight w:val="yellow"/>
                <w:lang w:val="en-US"/>
              </w:rPr>
              <w:t>0.8837</w:t>
            </w:r>
          </w:p>
        </w:tc>
        <w:tc>
          <w:tcPr>
            <w:tcW w:w="1483" w:type="dxa"/>
          </w:tcPr>
          <w:p w14:paraId="5E34471B" w14:textId="75CFE74E" w:rsidR="007C255D" w:rsidRDefault="00C026F7">
            <w:pPr>
              <w:rPr>
                <w:lang w:val="en-US"/>
              </w:rPr>
            </w:pPr>
            <w:r>
              <w:rPr>
                <w:lang w:val="en-US"/>
              </w:rPr>
              <w:t>0.7890</w:t>
            </w:r>
          </w:p>
        </w:tc>
        <w:tc>
          <w:tcPr>
            <w:tcW w:w="1516" w:type="dxa"/>
          </w:tcPr>
          <w:p w14:paraId="43588FFB" w14:textId="1E8A8C44" w:rsidR="007C255D" w:rsidRDefault="00773B22">
            <w:pPr>
              <w:rPr>
                <w:lang w:val="en-US"/>
              </w:rPr>
            </w:pPr>
            <w:r>
              <w:rPr>
                <w:lang w:val="en-US"/>
              </w:rPr>
              <w:t>20.40</w:t>
            </w:r>
          </w:p>
        </w:tc>
        <w:tc>
          <w:tcPr>
            <w:tcW w:w="1576" w:type="dxa"/>
          </w:tcPr>
          <w:p w14:paraId="379867DA" w14:textId="676EB1FC" w:rsidR="007C255D" w:rsidRDefault="00773B22">
            <w:pPr>
              <w:rPr>
                <w:lang w:val="en-US"/>
              </w:rPr>
            </w:pPr>
            <w:r>
              <w:rPr>
                <w:lang w:val="en-US"/>
              </w:rPr>
              <w:t>2.42</w:t>
            </w:r>
          </w:p>
        </w:tc>
      </w:tr>
      <w:tr w:rsidR="007C255D" w14:paraId="5B9E7E5A" w14:textId="77777777" w:rsidTr="00C026F7">
        <w:tc>
          <w:tcPr>
            <w:tcW w:w="1555" w:type="dxa"/>
          </w:tcPr>
          <w:p w14:paraId="04F8AC6F" w14:textId="0F72E46E" w:rsidR="007C255D" w:rsidRDefault="007C255D" w:rsidP="007C255D">
            <w:pPr>
              <w:rPr>
                <w:lang w:val="en-US"/>
              </w:rPr>
            </w:pPr>
            <w:r>
              <w:rPr>
                <w:lang w:val="en-US"/>
              </w:rPr>
              <w:t>Proj</w:t>
            </w:r>
            <w:r w:rsidR="00C026F7">
              <w:rPr>
                <w:lang w:val="en-US"/>
              </w:rPr>
              <w:t>ected area</w:t>
            </w:r>
          </w:p>
        </w:tc>
        <w:tc>
          <w:tcPr>
            <w:tcW w:w="1382" w:type="dxa"/>
          </w:tcPr>
          <w:p w14:paraId="3D463AC2" w14:textId="534867B7" w:rsidR="007C255D" w:rsidRDefault="007C255D" w:rsidP="007C255D">
            <w:pPr>
              <w:rPr>
                <w:lang w:val="en-US"/>
              </w:rPr>
            </w:pPr>
            <w:r>
              <w:rPr>
                <w:lang w:val="en-US"/>
              </w:rPr>
              <w:t>All</w:t>
            </w:r>
          </w:p>
        </w:tc>
        <w:tc>
          <w:tcPr>
            <w:tcW w:w="1504" w:type="dxa"/>
          </w:tcPr>
          <w:p w14:paraId="4A48E7D6" w14:textId="73C1798F" w:rsidR="007C255D" w:rsidRDefault="00C026F7" w:rsidP="00C026F7">
            <w:pPr>
              <w:rPr>
                <w:lang w:val="en-US"/>
              </w:rPr>
            </w:pPr>
            <w:r>
              <w:rPr>
                <w:lang w:val="en-US"/>
              </w:rPr>
              <w:t>1.5461</w:t>
            </w:r>
          </w:p>
        </w:tc>
        <w:tc>
          <w:tcPr>
            <w:tcW w:w="1483" w:type="dxa"/>
          </w:tcPr>
          <w:p w14:paraId="7E277AA8" w14:textId="39DF0249" w:rsidR="007C255D" w:rsidRDefault="00C026F7" w:rsidP="007C255D">
            <w:pPr>
              <w:rPr>
                <w:lang w:val="en-US"/>
              </w:rPr>
            </w:pPr>
            <w:r>
              <w:rPr>
                <w:lang w:val="en-US"/>
              </w:rPr>
              <w:t>0.9004</w:t>
            </w:r>
          </w:p>
        </w:tc>
        <w:tc>
          <w:tcPr>
            <w:tcW w:w="1516" w:type="dxa"/>
          </w:tcPr>
          <w:p w14:paraId="69F2E1E5" w14:textId="5ACF3CD8" w:rsidR="007C255D" w:rsidRDefault="0099574C" w:rsidP="007C255D">
            <w:pPr>
              <w:rPr>
                <w:lang w:val="en-US"/>
              </w:rPr>
            </w:pPr>
            <w:r>
              <w:rPr>
                <w:lang w:val="en-US"/>
              </w:rPr>
              <w:t>33.80</w:t>
            </w:r>
          </w:p>
        </w:tc>
        <w:tc>
          <w:tcPr>
            <w:tcW w:w="1576" w:type="dxa"/>
          </w:tcPr>
          <w:p w14:paraId="25D0F046" w14:textId="0A7E9DFA" w:rsidR="007C255D" w:rsidRDefault="00773B22" w:rsidP="007C255D">
            <w:pPr>
              <w:rPr>
                <w:lang w:val="en-US"/>
              </w:rPr>
            </w:pPr>
            <w:r>
              <w:rPr>
                <w:lang w:val="en-US"/>
              </w:rPr>
              <w:t>4.38</w:t>
            </w:r>
          </w:p>
        </w:tc>
      </w:tr>
      <w:tr w:rsidR="007C255D" w14:paraId="68D2C204" w14:textId="77777777" w:rsidTr="00C026F7">
        <w:tc>
          <w:tcPr>
            <w:tcW w:w="1555" w:type="dxa"/>
          </w:tcPr>
          <w:p w14:paraId="22E8A8EC" w14:textId="72F874C9" w:rsidR="007C255D" w:rsidRDefault="007C255D" w:rsidP="007C255D">
            <w:pPr>
              <w:rPr>
                <w:lang w:val="en-US"/>
              </w:rPr>
            </w:pPr>
            <w:r>
              <w:rPr>
                <w:lang w:val="en-US"/>
              </w:rPr>
              <w:t>Proj</w:t>
            </w:r>
            <w:r w:rsidR="00C026F7">
              <w:rPr>
                <w:lang w:val="en-US"/>
              </w:rPr>
              <w:t>ected area</w:t>
            </w:r>
          </w:p>
        </w:tc>
        <w:tc>
          <w:tcPr>
            <w:tcW w:w="1382" w:type="dxa"/>
          </w:tcPr>
          <w:p w14:paraId="6A622320" w14:textId="1BBFC747" w:rsidR="007C255D" w:rsidRDefault="007C255D" w:rsidP="007C255D">
            <w:pPr>
              <w:rPr>
                <w:lang w:val="en-US"/>
              </w:rPr>
            </w:pPr>
            <w:r>
              <w:rPr>
                <w:lang w:val="en-US"/>
              </w:rPr>
              <w:t>Fragment</w:t>
            </w:r>
          </w:p>
        </w:tc>
        <w:tc>
          <w:tcPr>
            <w:tcW w:w="1504" w:type="dxa"/>
          </w:tcPr>
          <w:p w14:paraId="51EA7A0F" w14:textId="422CB10C" w:rsidR="007C255D" w:rsidRDefault="00C026F7" w:rsidP="007C255D">
            <w:pPr>
              <w:rPr>
                <w:lang w:val="en-US"/>
              </w:rPr>
            </w:pPr>
            <w:r>
              <w:rPr>
                <w:lang w:val="en-US"/>
              </w:rPr>
              <w:t>1.5635</w:t>
            </w:r>
          </w:p>
        </w:tc>
        <w:tc>
          <w:tcPr>
            <w:tcW w:w="1483" w:type="dxa"/>
          </w:tcPr>
          <w:p w14:paraId="5C9B9C8F" w14:textId="0F429B15" w:rsidR="007C255D" w:rsidRDefault="00C026F7" w:rsidP="007C255D">
            <w:pPr>
              <w:rPr>
                <w:lang w:val="en-US"/>
              </w:rPr>
            </w:pPr>
            <w:r>
              <w:rPr>
                <w:lang w:val="en-US"/>
              </w:rPr>
              <w:t>0.8787</w:t>
            </w:r>
          </w:p>
        </w:tc>
        <w:tc>
          <w:tcPr>
            <w:tcW w:w="1516" w:type="dxa"/>
          </w:tcPr>
          <w:p w14:paraId="2B597FD2" w14:textId="67618147" w:rsidR="007C255D" w:rsidRDefault="00773B22" w:rsidP="007C255D">
            <w:pPr>
              <w:rPr>
                <w:lang w:val="en-US"/>
              </w:rPr>
            </w:pPr>
            <w:r>
              <w:rPr>
                <w:lang w:val="en-US"/>
              </w:rPr>
              <w:t>35.00</w:t>
            </w:r>
          </w:p>
        </w:tc>
        <w:tc>
          <w:tcPr>
            <w:tcW w:w="1576" w:type="dxa"/>
          </w:tcPr>
          <w:p w14:paraId="2389641F" w14:textId="5C8F8AC4" w:rsidR="007C255D" w:rsidRDefault="00773B22" w:rsidP="007C255D">
            <w:pPr>
              <w:rPr>
                <w:lang w:val="en-US"/>
              </w:rPr>
            </w:pPr>
            <w:r>
              <w:rPr>
                <w:lang w:val="en-US"/>
              </w:rPr>
              <w:t>4.65</w:t>
            </w:r>
          </w:p>
        </w:tc>
      </w:tr>
      <w:tr w:rsidR="007C255D" w14:paraId="446F4F4C" w14:textId="77777777" w:rsidTr="00C026F7">
        <w:tc>
          <w:tcPr>
            <w:tcW w:w="1555" w:type="dxa"/>
          </w:tcPr>
          <w:p w14:paraId="23C1F2E9" w14:textId="2ADA8D46" w:rsidR="007C255D" w:rsidRDefault="007C255D" w:rsidP="007C255D">
            <w:pPr>
              <w:rPr>
                <w:lang w:val="en-US"/>
              </w:rPr>
            </w:pPr>
            <w:r>
              <w:rPr>
                <w:lang w:val="en-US"/>
              </w:rPr>
              <w:t>Proj</w:t>
            </w:r>
            <w:r w:rsidR="00C026F7">
              <w:rPr>
                <w:lang w:val="en-US"/>
              </w:rPr>
              <w:t>ected area</w:t>
            </w:r>
          </w:p>
        </w:tc>
        <w:tc>
          <w:tcPr>
            <w:tcW w:w="1382" w:type="dxa"/>
          </w:tcPr>
          <w:p w14:paraId="7869FB9A" w14:textId="274CA292" w:rsidR="007C255D" w:rsidRDefault="007C255D" w:rsidP="007C255D">
            <w:pPr>
              <w:rPr>
                <w:lang w:val="en-US"/>
              </w:rPr>
            </w:pPr>
            <w:r>
              <w:rPr>
                <w:lang w:val="en-US"/>
              </w:rPr>
              <w:t>Fibre</w:t>
            </w:r>
          </w:p>
        </w:tc>
        <w:tc>
          <w:tcPr>
            <w:tcW w:w="1504" w:type="dxa"/>
          </w:tcPr>
          <w:p w14:paraId="14E62F38" w14:textId="68FCEB1B" w:rsidR="007C255D" w:rsidRDefault="00C026F7" w:rsidP="007C255D">
            <w:pPr>
              <w:rPr>
                <w:lang w:val="en-US"/>
              </w:rPr>
            </w:pPr>
            <w:r>
              <w:rPr>
                <w:lang w:val="en-US"/>
              </w:rPr>
              <w:t>1.3692</w:t>
            </w:r>
          </w:p>
        </w:tc>
        <w:tc>
          <w:tcPr>
            <w:tcW w:w="1483" w:type="dxa"/>
          </w:tcPr>
          <w:p w14:paraId="08FB4423" w14:textId="395E7667" w:rsidR="007C255D" w:rsidRDefault="00C026F7" w:rsidP="007C255D">
            <w:pPr>
              <w:rPr>
                <w:lang w:val="en-US"/>
              </w:rPr>
            </w:pPr>
            <w:r>
              <w:rPr>
                <w:lang w:val="en-US"/>
              </w:rPr>
              <w:t>0.6413</w:t>
            </w:r>
          </w:p>
        </w:tc>
        <w:tc>
          <w:tcPr>
            <w:tcW w:w="1516" w:type="dxa"/>
          </w:tcPr>
          <w:p w14:paraId="5DAE3CF3" w14:textId="2D55241E" w:rsidR="007C255D" w:rsidRDefault="00773B22" w:rsidP="007C255D">
            <w:pPr>
              <w:rPr>
                <w:lang w:val="en-US"/>
              </w:rPr>
            </w:pPr>
            <w:r>
              <w:rPr>
                <w:lang w:val="en-US"/>
              </w:rPr>
              <w:t>39.26</w:t>
            </w:r>
          </w:p>
        </w:tc>
        <w:tc>
          <w:tcPr>
            <w:tcW w:w="1576" w:type="dxa"/>
          </w:tcPr>
          <w:p w14:paraId="00652CAB" w14:textId="1AD32214" w:rsidR="007C255D" w:rsidRDefault="00773B22" w:rsidP="007C255D">
            <w:pPr>
              <w:rPr>
                <w:lang w:val="en-US"/>
              </w:rPr>
            </w:pPr>
            <w:r>
              <w:rPr>
                <w:lang w:val="en-US"/>
              </w:rPr>
              <w:t>4.51</w:t>
            </w:r>
          </w:p>
        </w:tc>
      </w:tr>
      <w:tr w:rsidR="007C255D" w14:paraId="08F1D2FC" w14:textId="77777777" w:rsidTr="00C026F7">
        <w:tc>
          <w:tcPr>
            <w:tcW w:w="1555" w:type="dxa"/>
          </w:tcPr>
          <w:p w14:paraId="1F399EA3" w14:textId="55650F1B" w:rsidR="007C255D" w:rsidRDefault="007C255D" w:rsidP="007C255D">
            <w:pPr>
              <w:rPr>
                <w:lang w:val="en-US"/>
              </w:rPr>
            </w:pPr>
            <w:r>
              <w:rPr>
                <w:lang w:val="en-US"/>
              </w:rPr>
              <w:t>Proj</w:t>
            </w:r>
            <w:r w:rsidR="00C026F7">
              <w:rPr>
                <w:lang w:val="en-US"/>
              </w:rPr>
              <w:t>ected area</w:t>
            </w:r>
          </w:p>
        </w:tc>
        <w:tc>
          <w:tcPr>
            <w:tcW w:w="1382" w:type="dxa"/>
          </w:tcPr>
          <w:p w14:paraId="00878EDD" w14:textId="42058239" w:rsidR="007C255D" w:rsidRDefault="007C255D" w:rsidP="007C255D">
            <w:pPr>
              <w:rPr>
                <w:lang w:val="en-US"/>
              </w:rPr>
            </w:pPr>
            <w:r>
              <w:rPr>
                <w:lang w:val="en-US"/>
              </w:rPr>
              <w:t>Film</w:t>
            </w:r>
          </w:p>
        </w:tc>
        <w:tc>
          <w:tcPr>
            <w:tcW w:w="1504" w:type="dxa"/>
          </w:tcPr>
          <w:p w14:paraId="6B8057E0" w14:textId="1B46F78F" w:rsidR="007C255D" w:rsidRDefault="00C026F7" w:rsidP="007C255D">
            <w:pPr>
              <w:rPr>
                <w:lang w:val="en-US"/>
              </w:rPr>
            </w:pPr>
            <w:r w:rsidRPr="00332C21">
              <w:rPr>
                <w:highlight w:val="yellow"/>
                <w:lang w:val="en-US"/>
              </w:rPr>
              <w:t>1.3139</w:t>
            </w:r>
          </w:p>
        </w:tc>
        <w:tc>
          <w:tcPr>
            <w:tcW w:w="1483" w:type="dxa"/>
          </w:tcPr>
          <w:p w14:paraId="35B810EE" w14:textId="7B8C1487" w:rsidR="007C255D" w:rsidRDefault="00C026F7" w:rsidP="007C255D">
            <w:pPr>
              <w:rPr>
                <w:lang w:val="en-US"/>
              </w:rPr>
            </w:pPr>
            <w:r>
              <w:rPr>
                <w:lang w:val="en-US"/>
              </w:rPr>
              <w:t>0.7919</w:t>
            </w:r>
          </w:p>
        </w:tc>
        <w:tc>
          <w:tcPr>
            <w:tcW w:w="1516" w:type="dxa"/>
          </w:tcPr>
          <w:p w14:paraId="716E56B2" w14:textId="7D4D3C7F" w:rsidR="007C255D" w:rsidRDefault="00773B22" w:rsidP="007C255D">
            <w:pPr>
              <w:rPr>
                <w:lang w:val="en-US"/>
              </w:rPr>
            </w:pPr>
            <w:r w:rsidRPr="00332C21">
              <w:rPr>
                <w:highlight w:val="yellow"/>
                <w:lang w:val="en-US"/>
              </w:rPr>
              <w:t>28.66</w:t>
            </w:r>
          </w:p>
        </w:tc>
        <w:tc>
          <w:tcPr>
            <w:tcW w:w="1576" w:type="dxa"/>
          </w:tcPr>
          <w:p w14:paraId="3100DB82" w14:textId="352C78EA" w:rsidR="007C255D" w:rsidRDefault="00773B22" w:rsidP="007C255D">
            <w:pPr>
              <w:rPr>
                <w:lang w:val="en-US"/>
              </w:rPr>
            </w:pPr>
            <w:r w:rsidRPr="00332C21">
              <w:rPr>
                <w:highlight w:val="yellow"/>
                <w:lang w:val="en-US"/>
              </w:rPr>
              <w:t>3.72</w:t>
            </w:r>
          </w:p>
        </w:tc>
      </w:tr>
    </w:tbl>
    <w:p w14:paraId="3D51CD3C" w14:textId="77A42772" w:rsidR="00332C21" w:rsidRPr="00332C21" w:rsidRDefault="00332C21">
      <w:pPr>
        <w:rPr>
          <w:lang w:val="en-US"/>
        </w:rPr>
      </w:pPr>
      <w:r>
        <w:rPr>
          <w:lang w:val="en-US"/>
        </w:rPr>
        <w:lastRenderedPageBreak/>
        <w:t>Based on the values of m, the model performs best when the particle surface area is used. It also is most accurate at predicting the settling velocity of films, which is unexpected since it is formulated primarily for fibres. The smallest average error occurs for fibres when the particle surface area is used.</w:t>
      </w:r>
    </w:p>
    <w:p w14:paraId="39E0D168" w14:textId="598779A0" w:rsidR="001713E1" w:rsidRPr="00A82274" w:rsidRDefault="001713E1">
      <w:pPr>
        <w:rPr>
          <w:b/>
          <w:bCs/>
          <w:lang w:val="en-US"/>
        </w:rPr>
      </w:pPr>
      <w:r w:rsidRPr="00A82274">
        <w:rPr>
          <w:b/>
          <w:bCs/>
          <w:lang w:val="en-US"/>
        </w:rPr>
        <w:t>Conclusion</w:t>
      </w:r>
    </w:p>
    <w:p w14:paraId="4F6B1D24" w14:textId="3A05CF0B" w:rsidR="001713E1" w:rsidRDefault="0009783C" w:rsidP="0009783C">
      <w:pPr>
        <w:pStyle w:val="ListParagraph"/>
        <w:numPr>
          <w:ilvl w:val="0"/>
          <w:numId w:val="2"/>
        </w:numPr>
        <w:rPr>
          <w:lang w:val="en-US"/>
        </w:rPr>
      </w:pPr>
      <w:r>
        <w:rPr>
          <w:lang w:val="en-US"/>
        </w:rPr>
        <w:t>Model performs best for films.</w:t>
      </w:r>
    </w:p>
    <w:p w14:paraId="0BE4BCBB" w14:textId="7B74FD43" w:rsidR="0009783C" w:rsidRDefault="0009783C" w:rsidP="0009783C">
      <w:pPr>
        <w:pStyle w:val="ListParagraph"/>
        <w:numPr>
          <w:ilvl w:val="0"/>
          <w:numId w:val="2"/>
        </w:numPr>
        <w:rPr>
          <w:lang w:val="en-US"/>
        </w:rPr>
      </w:pPr>
      <w:r>
        <w:rPr>
          <w:lang w:val="en-US"/>
        </w:rPr>
        <w:t>Model performs better when the particle surface area is used.</w:t>
      </w:r>
    </w:p>
    <w:p w14:paraId="5224FAE2" w14:textId="2DD6AAB0" w:rsidR="00EB3635" w:rsidRPr="0009783C" w:rsidRDefault="00EB3635" w:rsidP="0009783C">
      <w:pPr>
        <w:pStyle w:val="ListParagraph"/>
        <w:numPr>
          <w:ilvl w:val="0"/>
          <w:numId w:val="2"/>
        </w:numPr>
        <w:rPr>
          <w:lang w:val="en-US"/>
        </w:rPr>
      </w:pPr>
      <w:r>
        <w:rPr>
          <w:lang w:val="en-US"/>
        </w:rPr>
        <w:t>ASF is an appropriate shape factor to differentiate between fragments, films and fibres.</w:t>
      </w:r>
    </w:p>
    <w:sectPr w:rsidR="00EB3635" w:rsidRPr="0009783C" w:rsidSect="000E278C">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0348A8"/>
    <w:multiLevelType w:val="hybridMultilevel"/>
    <w:tmpl w:val="495A5A42"/>
    <w:lvl w:ilvl="0" w:tplc="FDE2736A">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2B30C16"/>
    <w:multiLevelType w:val="hybridMultilevel"/>
    <w:tmpl w:val="D7E068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58035035">
    <w:abstractNumId w:val="0"/>
  </w:num>
  <w:num w:numId="2" w16cid:durableId="901244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F99"/>
    <w:rsid w:val="0009783C"/>
    <w:rsid w:val="000B6828"/>
    <w:rsid w:val="000C5C52"/>
    <w:rsid w:val="000E278C"/>
    <w:rsid w:val="001713E1"/>
    <w:rsid w:val="0022183F"/>
    <w:rsid w:val="002607E3"/>
    <w:rsid w:val="002C0458"/>
    <w:rsid w:val="00332C21"/>
    <w:rsid w:val="0038547F"/>
    <w:rsid w:val="003E34F7"/>
    <w:rsid w:val="004E25EB"/>
    <w:rsid w:val="005A6175"/>
    <w:rsid w:val="00621BD0"/>
    <w:rsid w:val="006A6BB6"/>
    <w:rsid w:val="00773B22"/>
    <w:rsid w:val="007C255D"/>
    <w:rsid w:val="007C361F"/>
    <w:rsid w:val="007D7707"/>
    <w:rsid w:val="00944548"/>
    <w:rsid w:val="0099574C"/>
    <w:rsid w:val="009B1F99"/>
    <w:rsid w:val="009B3A2F"/>
    <w:rsid w:val="00A32085"/>
    <w:rsid w:val="00A82274"/>
    <w:rsid w:val="00A86112"/>
    <w:rsid w:val="00AC33EE"/>
    <w:rsid w:val="00B76962"/>
    <w:rsid w:val="00BD0C2B"/>
    <w:rsid w:val="00C026F7"/>
    <w:rsid w:val="00C62639"/>
    <w:rsid w:val="00D42A95"/>
    <w:rsid w:val="00D4551B"/>
    <w:rsid w:val="00D9730C"/>
    <w:rsid w:val="00EB3635"/>
    <w:rsid w:val="00EB677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162D4"/>
  <w15:chartTrackingRefBased/>
  <w15:docId w15:val="{0AA44598-FF77-4127-B038-6753AB145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7707"/>
    <w:pPr>
      <w:ind w:left="720"/>
      <w:contextualSpacing/>
    </w:pPr>
  </w:style>
  <w:style w:type="character" w:styleId="PlaceholderText">
    <w:name w:val="Placeholder Text"/>
    <w:basedOn w:val="DefaultParagraphFont"/>
    <w:uiPriority w:val="99"/>
    <w:semiHidden/>
    <w:rsid w:val="007D7707"/>
    <w:rPr>
      <w:color w:val="808080"/>
    </w:rPr>
  </w:style>
  <w:style w:type="table" w:styleId="TableGrid">
    <w:name w:val="Table Grid"/>
    <w:basedOn w:val="TableNormal"/>
    <w:uiPriority w:val="39"/>
    <w:rsid w:val="007C25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1178</TotalTime>
  <Pages>7</Pages>
  <Words>945</Words>
  <Characters>5390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Róisín Coyle</dc:creator>
  <cp:keywords/>
  <dc:description/>
  <cp:lastModifiedBy>Róisín Coyle</cp:lastModifiedBy>
  <cp:revision>6</cp:revision>
  <dcterms:created xsi:type="dcterms:W3CDTF">2022-06-21T16:12:00Z</dcterms:created>
  <dcterms:modified xsi:type="dcterms:W3CDTF">2022-06-22T11:49:00Z</dcterms:modified>
</cp:coreProperties>
</file>