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CDA0" w14:textId="77777777" w:rsidR="00496A32" w:rsidRPr="00C02DB7" w:rsidRDefault="00BE666E" w:rsidP="00331D66">
      <w:pPr>
        <w:pStyle w:val="Title"/>
        <w:jc w:val="center"/>
        <w:rPr>
          <w:rFonts w:ascii="Arial" w:hAnsi="Arial" w:cs="Arial"/>
        </w:rPr>
      </w:pPr>
      <w:r w:rsidRPr="00C02DB7">
        <w:rPr>
          <w:rFonts w:ascii="Arial" w:hAnsi="Arial" w:cs="Arial"/>
        </w:rPr>
        <w:t>Optus Data Breach Report</w:t>
      </w:r>
    </w:p>
    <w:p w14:paraId="014C345D" w14:textId="1E88FC05" w:rsidR="00C02DB7" w:rsidRPr="00C02DB7" w:rsidRDefault="00C02DB7" w:rsidP="00331D66">
      <w:pPr>
        <w:jc w:val="center"/>
        <w:rPr>
          <w:rFonts w:ascii="Arial" w:hAnsi="Arial" w:cs="Arial"/>
          <w:i/>
          <w:color w:val="FF0000"/>
        </w:rPr>
      </w:pPr>
      <w:r w:rsidRPr="00C02DB7">
        <w:rPr>
          <w:rFonts w:ascii="Arial" w:hAnsi="Arial" w:cs="Arial"/>
          <w:i/>
          <w:color w:val="FF0000"/>
        </w:rPr>
        <w:t>Reference list is not included in the word count</w:t>
      </w:r>
    </w:p>
    <w:p w14:paraId="0209B6CB" w14:textId="62F94E90" w:rsidR="00331D66" w:rsidRPr="00C02DB7" w:rsidRDefault="00331D66" w:rsidP="00331D66">
      <w:pPr>
        <w:jc w:val="center"/>
        <w:rPr>
          <w:rFonts w:ascii="Arial" w:hAnsi="Arial" w:cs="Arial"/>
        </w:rPr>
      </w:pPr>
      <w:r w:rsidRPr="00C02DB7">
        <w:rPr>
          <w:rFonts w:ascii="Arial" w:hAnsi="Arial" w:cs="Arial"/>
        </w:rPr>
        <w:t xml:space="preserve">Student Name: </w:t>
      </w:r>
      <w:r w:rsidR="004315B6">
        <w:rPr>
          <w:rFonts w:ascii="Arial" w:hAnsi="Arial" w:cs="Arial"/>
        </w:rPr>
        <w:t>Rojan Chandra Poudel</w:t>
      </w:r>
    </w:p>
    <w:p w14:paraId="6AB609DB" w14:textId="3DD82103" w:rsidR="00331D66" w:rsidRPr="00C02DB7" w:rsidRDefault="00331D66" w:rsidP="00331D66">
      <w:pPr>
        <w:jc w:val="both"/>
        <w:rPr>
          <w:rFonts w:ascii="Arial" w:hAnsi="Arial" w:cs="Arial"/>
        </w:rPr>
      </w:pPr>
    </w:p>
    <w:p w14:paraId="2777430A" w14:textId="2A1A22F3" w:rsidR="00331D66" w:rsidRPr="00C02DB7" w:rsidRDefault="00331D66" w:rsidP="00331D66">
      <w:pPr>
        <w:jc w:val="both"/>
        <w:rPr>
          <w:rFonts w:ascii="Arial" w:hAnsi="Arial" w:cs="Arial"/>
        </w:rPr>
      </w:pPr>
    </w:p>
    <w:p w14:paraId="47BB926D" w14:textId="09B0B5B1" w:rsidR="00331D66" w:rsidRPr="00C02DB7" w:rsidRDefault="00331D66" w:rsidP="00331D66">
      <w:pPr>
        <w:jc w:val="both"/>
        <w:rPr>
          <w:rFonts w:ascii="Arial" w:hAnsi="Arial" w:cs="Arial"/>
        </w:rPr>
      </w:pPr>
    </w:p>
    <w:p w14:paraId="5B36F049" w14:textId="11C1AC56" w:rsidR="00331D66" w:rsidRPr="00C02DB7" w:rsidRDefault="00331D66" w:rsidP="00331D66">
      <w:pPr>
        <w:jc w:val="both"/>
        <w:rPr>
          <w:rFonts w:ascii="Arial" w:hAnsi="Arial" w:cs="Arial"/>
        </w:rPr>
      </w:pPr>
    </w:p>
    <w:p w14:paraId="4DFD2034" w14:textId="46CEB369" w:rsidR="00331D66" w:rsidRPr="00C02DB7" w:rsidRDefault="00331D66" w:rsidP="00331D66">
      <w:pPr>
        <w:jc w:val="both"/>
        <w:rPr>
          <w:rFonts w:ascii="Arial" w:hAnsi="Arial" w:cs="Arial"/>
        </w:rPr>
      </w:pPr>
    </w:p>
    <w:p w14:paraId="02C59785" w14:textId="446DC373" w:rsidR="00331D66" w:rsidRPr="00C02DB7" w:rsidRDefault="00331D66" w:rsidP="00331D66">
      <w:pPr>
        <w:jc w:val="both"/>
        <w:rPr>
          <w:rFonts w:ascii="Arial" w:hAnsi="Arial" w:cs="Arial"/>
        </w:rPr>
      </w:pPr>
    </w:p>
    <w:p w14:paraId="41EFEC51" w14:textId="6A08FFBA" w:rsidR="00331D66" w:rsidRPr="00C02DB7" w:rsidRDefault="00331D66" w:rsidP="00331D66">
      <w:pPr>
        <w:jc w:val="both"/>
        <w:rPr>
          <w:rFonts w:ascii="Arial" w:hAnsi="Arial" w:cs="Arial"/>
        </w:rPr>
      </w:pPr>
    </w:p>
    <w:p w14:paraId="764762ED" w14:textId="5BB4AB46" w:rsidR="00331D66" w:rsidRPr="00C02DB7" w:rsidRDefault="00331D66" w:rsidP="00331D66">
      <w:pPr>
        <w:jc w:val="both"/>
        <w:rPr>
          <w:rFonts w:ascii="Arial" w:hAnsi="Arial" w:cs="Arial"/>
        </w:rPr>
      </w:pPr>
    </w:p>
    <w:p w14:paraId="3D1B834F" w14:textId="380A98AE" w:rsidR="00331D66" w:rsidRPr="00C02DB7" w:rsidRDefault="00331D66" w:rsidP="00331D66">
      <w:pPr>
        <w:jc w:val="both"/>
        <w:rPr>
          <w:rFonts w:ascii="Arial" w:hAnsi="Arial" w:cs="Arial"/>
        </w:rPr>
      </w:pPr>
    </w:p>
    <w:p w14:paraId="09901FCF" w14:textId="38427504" w:rsidR="00331D66" w:rsidRPr="00C02DB7" w:rsidRDefault="00331D66" w:rsidP="00331D66">
      <w:pPr>
        <w:jc w:val="both"/>
        <w:rPr>
          <w:rFonts w:ascii="Arial" w:hAnsi="Arial" w:cs="Arial"/>
        </w:rPr>
      </w:pPr>
    </w:p>
    <w:p w14:paraId="688FDE30" w14:textId="68B82D66" w:rsidR="00C02DB7" w:rsidRPr="00C02DB7" w:rsidRDefault="00C02DB7" w:rsidP="00331D66">
      <w:pPr>
        <w:jc w:val="both"/>
        <w:rPr>
          <w:rFonts w:ascii="Arial" w:hAnsi="Arial" w:cs="Arial"/>
        </w:rPr>
      </w:pPr>
    </w:p>
    <w:p w14:paraId="7CB27ED0" w14:textId="66B7ECD1" w:rsidR="00C02DB7" w:rsidRPr="00C02DB7" w:rsidRDefault="00C02DB7" w:rsidP="00331D66">
      <w:pPr>
        <w:jc w:val="both"/>
        <w:rPr>
          <w:rFonts w:ascii="Arial" w:hAnsi="Arial" w:cs="Arial"/>
        </w:rPr>
      </w:pPr>
    </w:p>
    <w:p w14:paraId="3905067C" w14:textId="10D6A6DB" w:rsidR="00C02DB7" w:rsidRPr="00C02DB7" w:rsidRDefault="00C02DB7" w:rsidP="00331D66">
      <w:pPr>
        <w:jc w:val="both"/>
        <w:rPr>
          <w:rFonts w:ascii="Arial" w:hAnsi="Arial" w:cs="Arial"/>
        </w:rPr>
      </w:pPr>
    </w:p>
    <w:p w14:paraId="15CBD0F0" w14:textId="471B5590" w:rsidR="00C02DB7" w:rsidRPr="00C02DB7" w:rsidRDefault="00C02DB7" w:rsidP="00331D66">
      <w:pPr>
        <w:jc w:val="both"/>
        <w:rPr>
          <w:rFonts w:ascii="Arial" w:hAnsi="Arial" w:cs="Arial"/>
        </w:rPr>
      </w:pPr>
    </w:p>
    <w:p w14:paraId="7EAE4F00" w14:textId="00199D1A" w:rsidR="00C02DB7" w:rsidRPr="00C02DB7" w:rsidRDefault="00C02DB7" w:rsidP="00331D66">
      <w:pPr>
        <w:jc w:val="both"/>
        <w:rPr>
          <w:rFonts w:ascii="Arial" w:hAnsi="Arial" w:cs="Arial"/>
        </w:rPr>
      </w:pPr>
    </w:p>
    <w:p w14:paraId="71ACA9B6" w14:textId="77777777" w:rsidR="00C02DB7" w:rsidRPr="00C02DB7" w:rsidRDefault="00C02DB7" w:rsidP="00331D66">
      <w:pPr>
        <w:jc w:val="both"/>
        <w:rPr>
          <w:rFonts w:ascii="Arial" w:hAnsi="Arial" w:cs="Arial"/>
        </w:rPr>
      </w:pPr>
    </w:p>
    <w:p w14:paraId="33D47434" w14:textId="3EB95821" w:rsidR="00331D66" w:rsidRPr="00C02DB7" w:rsidRDefault="00331D66" w:rsidP="00331D66">
      <w:pPr>
        <w:jc w:val="both"/>
        <w:rPr>
          <w:rFonts w:ascii="Arial" w:hAnsi="Arial" w:cs="Arial"/>
        </w:rPr>
      </w:pPr>
    </w:p>
    <w:p w14:paraId="6776B72A" w14:textId="00B4C516" w:rsidR="00331D66" w:rsidRPr="00C02DB7" w:rsidRDefault="00331D66" w:rsidP="00331D66">
      <w:pPr>
        <w:jc w:val="both"/>
        <w:rPr>
          <w:rFonts w:ascii="Arial" w:hAnsi="Arial" w:cs="Arial"/>
        </w:rPr>
      </w:pPr>
    </w:p>
    <w:sdt>
      <w:sdtPr>
        <w:rPr>
          <w:rFonts w:ascii="Arial" w:eastAsia="Times New Roman" w:hAnsi="Arial" w:cs="Arial"/>
          <w:b w:val="0"/>
          <w:bCs w:val="0"/>
          <w:color w:val="auto"/>
          <w:sz w:val="24"/>
          <w:szCs w:val="22"/>
        </w:rPr>
        <w:id w:val="-603959122"/>
        <w:docPartObj>
          <w:docPartGallery w:val="Table of Contents"/>
          <w:docPartUnique/>
        </w:docPartObj>
      </w:sdtPr>
      <w:sdtEndPr>
        <w:rPr>
          <w:noProof/>
        </w:rPr>
      </w:sdtEndPr>
      <w:sdtContent>
        <w:p w14:paraId="5A9CC3B7" w14:textId="3BF2D5CB" w:rsidR="00C02DB7" w:rsidRPr="00C02DB7" w:rsidRDefault="00C02DB7">
          <w:pPr>
            <w:pStyle w:val="TOCHeading"/>
            <w:rPr>
              <w:rFonts w:ascii="Arial" w:hAnsi="Arial" w:cs="Arial"/>
            </w:rPr>
          </w:pPr>
          <w:r w:rsidRPr="00C02DB7">
            <w:rPr>
              <w:rFonts w:ascii="Arial" w:hAnsi="Arial" w:cs="Arial"/>
            </w:rPr>
            <w:t>Table of Contents</w:t>
          </w:r>
        </w:p>
        <w:p w14:paraId="0783D5FC" w14:textId="6B3EF4B2" w:rsidR="00144971" w:rsidRDefault="00C02DB7">
          <w:pPr>
            <w:pStyle w:val="TOC1"/>
            <w:tabs>
              <w:tab w:val="right" w:leader="dot" w:pos="8656"/>
            </w:tabs>
            <w:rPr>
              <w:rFonts w:asciiTheme="minorHAnsi" w:eastAsiaTheme="minorEastAsia" w:hAnsiTheme="minorHAnsi"/>
              <w:noProof/>
              <w:sz w:val="22"/>
            </w:rPr>
          </w:pPr>
          <w:r w:rsidRPr="00C02DB7">
            <w:rPr>
              <w:rFonts w:ascii="Arial" w:hAnsi="Arial" w:cs="Arial"/>
            </w:rPr>
            <w:fldChar w:fldCharType="begin"/>
          </w:r>
          <w:r w:rsidRPr="00C02DB7">
            <w:rPr>
              <w:rFonts w:ascii="Arial" w:hAnsi="Arial" w:cs="Arial"/>
            </w:rPr>
            <w:instrText xml:space="preserve"> TOC \o "1-3" \h \z \u </w:instrText>
          </w:r>
          <w:r w:rsidRPr="00C02DB7">
            <w:rPr>
              <w:rFonts w:ascii="Arial" w:hAnsi="Arial" w:cs="Arial"/>
            </w:rPr>
            <w:fldChar w:fldCharType="separate"/>
          </w:r>
          <w:hyperlink w:anchor="_Toc226969839" w:history="1">
            <w:r w:rsidR="00144971" w:rsidRPr="00C15302">
              <w:rPr>
                <w:rStyle w:val="Hyperlink"/>
                <w:rFonts w:ascii="Arial" w:eastAsiaTheme="majorEastAsia" w:hAnsi="Arial" w:cs="Arial"/>
                <w:noProof/>
              </w:rPr>
              <w:t>1. Introduction</w:t>
            </w:r>
            <w:r w:rsidR="00144971">
              <w:rPr>
                <w:noProof/>
                <w:webHidden/>
              </w:rPr>
              <w:tab/>
            </w:r>
            <w:r w:rsidR="00144971">
              <w:rPr>
                <w:noProof/>
                <w:webHidden/>
              </w:rPr>
              <w:fldChar w:fldCharType="begin"/>
            </w:r>
            <w:r w:rsidR="00144971">
              <w:rPr>
                <w:noProof/>
                <w:webHidden/>
              </w:rPr>
              <w:instrText xml:space="preserve"> PAGEREF _Toc226969839 \h </w:instrText>
            </w:r>
            <w:r w:rsidR="00144971">
              <w:rPr>
                <w:noProof/>
                <w:webHidden/>
              </w:rPr>
            </w:r>
            <w:r w:rsidR="00144971">
              <w:rPr>
                <w:noProof/>
                <w:webHidden/>
              </w:rPr>
              <w:fldChar w:fldCharType="separate"/>
            </w:r>
            <w:r w:rsidR="00144971">
              <w:rPr>
                <w:noProof/>
                <w:webHidden/>
              </w:rPr>
              <w:t>1</w:t>
            </w:r>
            <w:r w:rsidR="00144971">
              <w:rPr>
                <w:noProof/>
                <w:webHidden/>
              </w:rPr>
              <w:fldChar w:fldCharType="end"/>
            </w:r>
          </w:hyperlink>
        </w:p>
        <w:p w14:paraId="67B4C836" w14:textId="6F723169" w:rsidR="00144971" w:rsidRDefault="00144971">
          <w:pPr>
            <w:pStyle w:val="TOC1"/>
            <w:tabs>
              <w:tab w:val="right" w:leader="dot" w:pos="8656"/>
            </w:tabs>
            <w:rPr>
              <w:rFonts w:asciiTheme="minorHAnsi" w:eastAsiaTheme="minorEastAsia" w:hAnsiTheme="minorHAnsi"/>
              <w:noProof/>
              <w:sz w:val="22"/>
            </w:rPr>
          </w:pPr>
          <w:hyperlink w:anchor="_Toc226969840" w:history="1">
            <w:r w:rsidRPr="00C15302">
              <w:rPr>
                <w:rStyle w:val="Hyperlink"/>
                <w:rFonts w:ascii="Arial" w:eastAsiaTheme="majorEastAsia" w:hAnsi="Arial" w:cs="Arial"/>
                <w:noProof/>
              </w:rPr>
              <w:t>2. Threat Analysis and Defence Strategies</w:t>
            </w:r>
            <w:r>
              <w:rPr>
                <w:noProof/>
                <w:webHidden/>
              </w:rPr>
              <w:tab/>
            </w:r>
            <w:r>
              <w:rPr>
                <w:noProof/>
                <w:webHidden/>
              </w:rPr>
              <w:fldChar w:fldCharType="begin"/>
            </w:r>
            <w:r>
              <w:rPr>
                <w:noProof/>
                <w:webHidden/>
              </w:rPr>
              <w:instrText xml:space="preserve"> PAGEREF _Toc226969840 \h </w:instrText>
            </w:r>
            <w:r>
              <w:rPr>
                <w:noProof/>
                <w:webHidden/>
              </w:rPr>
            </w:r>
            <w:r>
              <w:rPr>
                <w:noProof/>
                <w:webHidden/>
              </w:rPr>
              <w:fldChar w:fldCharType="separate"/>
            </w:r>
            <w:r>
              <w:rPr>
                <w:noProof/>
                <w:webHidden/>
              </w:rPr>
              <w:t>1</w:t>
            </w:r>
            <w:r>
              <w:rPr>
                <w:noProof/>
                <w:webHidden/>
              </w:rPr>
              <w:fldChar w:fldCharType="end"/>
            </w:r>
          </w:hyperlink>
        </w:p>
        <w:p w14:paraId="1D71AB24" w14:textId="55D3563B" w:rsidR="00144971" w:rsidRDefault="00144971">
          <w:pPr>
            <w:pStyle w:val="TOC1"/>
            <w:tabs>
              <w:tab w:val="right" w:leader="dot" w:pos="8656"/>
            </w:tabs>
            <w:rPr>
              <w:rFonts w:asciiTheme="minorHAnsi" w:eastAsiaTheme="minorEastAsia" w:hAnsiTheme="minorHAnsi"/>
              <w:noProof/>
              <w:sz w:val="22"/>
            </w:rPr>
          </w:pPr>
          <w:hyperlink w:anchor="_Toc226969841" w:history="1">
            <w:r w:rsidRPr="00C15302">
              <w:rPr>
                <w:rStyle w:val="Hyperlink"/>
                <w:rFonts w:ascii="Arial" w:eastAsiaTheme="majorEastAsia" w:hAnsi="Arial" w:cs="Arial"/>
                <w:noProof/>
              </w:rPr>
              <w:t>3. Security Implementations</w:t>
            </w:r>
            <w:r>
              <w:rPr>
                <w:noProof/>
                <w:webHidden/>
              </w:rPr>
              <w:tab/>
            </w:r>
            <w:r>
              <w:rPr>
                <w:noProof/>
                <w:webHidden/>
              </w:rPr>
              <w:fldChar w:fldCharType="begin"/>
            </w:r>
            <w:r>
              <w:rPr>
                <w:noProof/>
                <w:webHidden/>
              </w:rPr>
              <w:instrText xml:space="preserve"> PAGEREF _Toc226969841 \h </w:instrText>
            </w:r>
            <w:r>
              <w:rPr>
                <w:noProof/>
                <w:webHidden/>
              </w:rPr>
            </w:r>
            <w:r>
              <w:rPr>
                <w:noProof/>
                <w:webHidden/>
              </w:rPr>
              <w:fldChar w:fldCharType="separate"/>
            </w:r>
            <w:r>
              <w:rPr>
                <w:noProof/>
                <w:webHidden/>
              </w:rPr>
              <w:t>2</w:t>
            </w:r>
            <w:r>
              <w:rPr>
                <w:noProof/>
                <w:webHidden/>
              </w:rPr>
              <w:fldChar w:fldCharType="end"/>
            </w:r>
          </w:hyperlink>
        </w:p>
        <w:p w14:paraId="2CBF50A8" w14:textId="411AADAF" w:rsidR="00144971" w:rsidRDefault="00144971">
          <w:pPr>
            <w:pStyle w:val="TOC1"/>
            <w:tabs>
              <w:tab w:val="right" w:leader="dot" w:pos="8656"/>
            </w:tabs>
            <w:rPr>
              <w:rFonts w:asciiTheme="minorHAnsi" w:eastAsiaTheme="minorEastAsia" w:hAnsiTheme="minorHAnsi"/>
              <w:noProof/>
              <w:sz w:val="22"/>
            </w:rPr>
          </w:pPr>
          <w:hyperlink w:anchor="_Toc226969842" w:history="1">
            <w:r w:rsidRPr="00C15302">
              <w:rPr>
                <w:rStyle w:val="Hyperlink"/>
                <w:rFonts w:ascii="Arial" w:eastAsiaTheme="majorEastAsia" w:hAnsi="Arial" w:cs="Arial"/>
                <w:noProof/>
              </w:rPr>
              <w:t>4. Ethical Compliance in ICT Practices</w:t>
            </w:r>
            <w:r>
              <w:rPr>
                <w:noProof/>
                <w:webHidden/>
              </w:rPr>
              <w:tab/>
            </w:r>
            <w:r>
              <w:rPr>
                <w:noProof/>
                <w:webHidden/>
              </w:rPr>
              <w:fldChar w:fldCharType="begin"/>
            </w:r>
            <w:r>
              <w:rPr>
                <w:noProof/>
                <w:webHidden/>
              </w:rPr>
              <w:instrText xml:space="preserve"> PAGEREF _Toc226969842 \h </w:instrText>
            </w:r>
            <w:r>
              <w:rPr>
                <w:noProof/>
                <w:webHidden/>
              </w:rPr>
            </w:r>
            <w:r>
              <w:rPr>
                <w:noProof/>
                <w:webHidden/>
              </w:rPr>
              <w:fldChar w:fldCharType="separate"/>
            </w:r>
            <w:r>
              <w:rPr>
                <w:noProof/>
                <w:webHidden/>
              </w:rPr>
              <w:t>2</w:t>
            </w:r>
            <w:r>
              <w:rPr>
                <w:noProof/>
                <w:webHidden/>
              </w:rPr>
              <w:fldChar w:fldCharType="end"/>
            </w:r>
          </w:hyperlink>
        </w:p>
        <w:p w14:paraId="428608EF" w14:textId="3CE14501" w:rsidR="00144971" w:rsidRDefault="00144971">
          <w:pPr>
            <w:pStyle w:val="TOC1"/>
            <w:tabs>
              <w:tab w:val="right" w:leader="dot" w:pos="8656"/>
            </w:tabs>
            <w:rPr>
              <w:rFonts w:asciiTheme="minorHAnsi" w:eastAsiaTheme="minorEastAsia" w:hAnsiTheme="minorHAnsi"/>
              <w:noProof/>
              <w:sz w:val="22"/>
            </w:rPr>
          </w:pPr>
          <w:hyperlink w:anchor="_Toc226969843" w:history="1">
            <w:r w:rsidRPr="00C15302">
              <w:rPr>
                <w:rStyle w:val="Hyperlink"/>
                <w:rFonts w:ascii="Arial" w:eastAsiaTheme="majorEastAsia" w:hAnsi="Arial" w:cs="Arial"/>
                <w:noProof/>
              </w:rPr>
              <w:t>5. Recommendations</w:t>
            </w:r>
            <w:r>
              <w:rPr>
                <w:noProof/>
                <w:webHidden/>
              </w:rPr>
              <w:tab/>
            </w:r>
            <w:r>
              <w:rPr>
                <w:noProof/>
                <w:webHidden/>
              </w:rPr>
              <w:fldChar w:fldCharType="begin"/>
            </w:r>
            <w:r>
              <w:rPr>
                <w:noProof/>
                <w:webHidden/>
              </w:rPr>
              <w:instrText xml:space="preserve"> PAGEREF _Toc226969843 \h </w:instrText>
            </w:r>
            <w:r>
              <w:rPr>
                <w:noProof/>
                <w:webHidden/>
              </w:rPr>
            </w:r>
            <w:r>
              <w:rPr>
                <w:noProof/>
                <w:webHidden/>
              </w:rPr>
              <w:fldChar w:fldCharType="separate"/>
            </w:r>
            <w:r>
              <w:rPr>
                <w:noProof/>
                <w:webHidden/>
              </w:rPr>
              <w:t>3</w:t>
            </w:r>
            <w:r>
              <w:rPr>
                <w:noProof/>
                <w:webHidden/>
              </w:rPr>
              <w:fldChar w:fldCharType="end"/>
            </w:r>
          </w:hyperlink>
        </w:p>
        <w:p w14:paraId="2B1192BD" w14:textId="68B9CC49" w:rsidR="00144971" w:rsidRDefault="00144971">
          <w:pPr>
            <w:pStyle w:val="TOC1"/>
            <w:tabs>
              <w:tab w:val="right" w:leader="dot" w:pos="8656"/>
            </w:tabs>
            <w:rPr>
              <w:rFonts w:asciiTheme="minorHAnsi" w:eastAsiaTheme="minorEastAsia" w:hAnsiTheme="minorHAnsi"/>
              <w:noProof/>
              <w:sz w:val="22"/>
            </w:rPr>
          </w:pPr>
          <w:hyperlink w:anchor="_Toc226969844" w:history="1">
            <w:r w:rsidRPr="00C15302">
              <w:rPr>
                <w:rStyle w:val="Hyperlink"/>
                <w:rFonts w:ascii="Arial" w:eastAsiaTheme="majorEastAsia" w:hAnsi="Arial" w:cs="Arial"/>
                <w:noProof/>
              </w:rPr>
              <w:t>6. Conclusion</w:t>
            </w:r>
            <w:r>
              <w:rPr>
                <w:noProof/>
                <w:webHidden/>
              </w:rPr>
              <w:tab/>
            </w:r>
            <w:r>
              <w:rPr>
                <w:noProof/>
                <w:webHidden/>
              </w:rPr>
              <w:fldChar w:fldCharType="begin"/>
            </w:r>
            <w:r>
              <w:rPr>
                <w:noProof/>
                <w:webHidden/>
              </w:rPr>
              <w:instrText xml:space="preserve"> PAGEREF _Toc226969844 \h </w:instrText>
            </w:r>
            <w:r>
              <w:rPr>
                <w:noProof/>
                <w:webHidden/>
              </w:rPr>
            </w:r>
            <w:r>
              <w:rPr>
                <w:noProof/>
                <w:webHidden/>
              </w:rPr>
              <w:fldChar w:fldCharType="separate"/>
            </w:r>
            <w:r>
              <w:rPr>
                <w:noProof/>
                <w:webHidden/>
              </w:rPr>
              <w:t>3</w:t>
            </w:r>
            <w:r>
              <w:rPr>
                <w:noProof/>
                <w:webHidden/>
              </w:rPr>
              <w:fldChar w:fldCharType="end"/>
            </w:r>
          </w:hyperlink>
        </w:p>
        <w:p w14:paraId="5C37354D" w14:textId="1A365914" w:rsidR="00144971" w:rsidRDefault="00144971">
          <w:pPr>
            <w:pStyle w:val="TOC1"/>
            <w:tabs>
              <w:tab w:val="right" w:leader="dot" w:pos="8656"/>
            </w:tabs>
            <w:rPr>
              <w:rFonts w:asciiTheme="minorHAnsi" w:eastAsiaTheme="minorEastAsia" w:hAnsiTheme="minorHAnsi"/>
              <w:noProof/>
              <w:sz w:val="22"/>
            </w:rPr>
          </w:pPr>
          <w:hyperlink w:anchor="_Toc226969845" w:history="1">
            <w:r w:rsidRPr="00C15302">
              <w:rPr>
                <w:rStyle w:val="Hyperlink"/>
                <w:rFonts w:ascii="Arial" w:eastAsiaTheme="majorEastAsia" w:hAnsi="Arial" w:cs="Arial"/>
                <w:noProof/>
              </w:rPr>
              <w:t>7. References</w:t>
            </w:r>
            <w:r>
              <w:rPr>
                <w:noProof/>
                <w:webHidden/>
              </w:rPr>
              <w:tab/>
            </w:r>
            <w:r>
              <w:rPr>
                <w:noProof/>
                <w:webHidden/>
              </w:rPr>
              <w:fldChar w:fldCharType="begin"/>
            </w:r>
            <w:r>
              <w:rPr>
                <w:noProof/>
                <w:webHidden/>
              </w:rPr>
              <w:instrText xml:space="preserve"> PAGEREF _Toc226969845 \h </w:instrText>
            </w:r>
            <w:r>
              <w:rPr>
                <w:noProof/>
                <w:webHidden/>
              </w:rPr>
            </w:r>
            <w:r>
              <w:rPr>
                <w:noProof/>
                <w:webHidden/>
              </w:rPr>
              <w:fldChar w:fldCharType="separate"/>
            </w:r>
            <w:r>
              <w:rPr>
                <w:noProof/>
                <w:webHidden/>
              </w:rPr>
              <w:t>4</w:t>
            </w:r>
            <w:r>
              <w:rPr>
                <w:noProof/>
                <w:webHidden/>
              </w:rPr>
              <w:fldChar w:fldCharType="end"/>
            </w:r>
          </w:hyperlink>
        </w:p>
        <w:p w14:paraId="4B0D3AC4" w14:textId="4A78633C" w:rsidR="00C02DB7" w:rsidRPr="00C02DB7" w:rsidRDefault="00C02DB7">
          <w:pPr>
            <w:rPr>
              <w:rFonts w:ascii="Arial" w:hAnsi="Arial" w:cs="Arial"/>
            </w:rPr>
          </w:pPr>
          <w:r w:rsidRPr="00C02DB7">
            <w:rPr>
              <w:rFonts w:ascii="Arial" w:hAnsi="Arial" w:cs="Arial"/>
              <w:b/>
              <w:bCs/>
              <w:noProof/>
            </w:rPr>
            <w:fldChar w:fldCharType="end"/>
          </w:r>
        </w:p>
      </w:sdtContent>
    </w:sdt>
    <w:p w14:paraId="31F98DD9" w14:textId="2E32908E" w:rsidR="00331D66" w:rsidRPr="00C02DB7" w:rsidRDefault="00331D66" w:rsidP="00331D66">
      <w:pPr>
        <w:jc w:val="both"/>
        <w:rPr>
          <w:rFonts w:ascii="Arial" w:hAnsi="Arial" w:cs="Arial"/>
        </w:rPr>
      </w:pPr>
    </w:p>
    <w:p w14:paraId="64E05999" w14:textId="6A7FE6AA" w:rsidR="00331D66" w:rsidRPr="00C02DB7" w:rsidRDefault="00331D66" w:rsidP="00331D66">
      <w:pPr>
        <w:jc w:val="both"/>
        <w:rPr>
          <w:rFonts w:ascii="Arial" w:hAnsi="Arial" w:cs="Arial"/>
        </w:rPr>
      </w:pPr>
    </w:p>
    <w:p w14:paraId="47C0FAC6" w14:textId="25CEFC37" w:rsidR="00331D66" w:rsidRPr="00C02DB7" w:rsidRDefault="00331D66" w:rsidP="00331D66">
      <w:pPr>
        <w:jc w:val="both"/>
        <w:rPr>
          <w:rFonts w:ascii="Arial" w:hAnsi="Arial" w:cs="Arial"/>
        </w:rPr>
      </w:pPr>
    </w:p>
    <w:p w14:paraId="10AE9416" w14:textId="07F79EF6" w:rsidR="00331D66" w:rsidRPr="00C02DB7" w:rsidRDefault="00331D66" w:rsidP="00331D66">
      <w:pPr>
        <w:jc w:val="both"/>
        <w:rPr>
          <w:rFonts w:ascii="Arial" w:hAnsi="Arial" w:cs="Arial"/>
        </w:rPr>
      </w:pPr>
    </w:p>
    <w:p w14:paraId="4199FD96" w14:textId="4BA24280" w:rsidR="00C02DB7" w:rsidRPr="00C02DB7" w:rsidRDefault="00C02DB7" w:rsidP="00331D66">
      <w:pPr>
        <w:jc w:val="both"/>
        <w:rPr>
          <w:rFonts w:ascii="Arial" w:hAnsi="Arial" w:cs="Arial"/>
        </w:rPr>
      </w:pPr>
    </w:p>
    <w:p w14:paraId="2ADE0EA1" w14:textId="23E40012" w:rsidR="00C02DB7" w:rsidRPr="00C02DB7" w:rsidRDefault="00C02DB7" w:rsidP="00331D66">
      <w:pPr>
        <w:jc w:val="both"/>
        <w:rPr>
          <w:rFonts w:ascii="Arial" w:hAnsi="Arial" w:cs="Arial"/>
        </w:rPr>
      </w:pPr>
    </w:p>
    <w:p w14:paraId="7CE3743F" w14:textId="3CEFA08E" w:rsidR="00C02DB7" w:rsidRPr="00C02DB7" w:rsidRDefault="00C02DB7" w:rsidP="00331D66">
      <w:pPr>
        <w:jc w:val="both"/>
        <w:rPr>
          <w:rFonts w:ascii="Arial" w:hAnsi="Arial" w:cs="Arial"/>
        </w:rPr>
      </w:pPr>
    </w:p>
    <w:p w14:paraId="6D3FFDF3" w14:textId="67D4B683" w:rsidR="00331D66" w:rsidRPr="00C02DB7" w:rsidRDefault="00331D66" w:rsidP="00331D66">
      <w:pPr>
        <w:jc w:val="both"/>
        <w:rPr>
          <w:rFonts w:ascii="Arial" w:hAnsi="Arial" w:cs="Arial"/>
        </w:rPr>
      </w:pPr>
    </w:p>
    <w:p w14:paraId="666AADA8" w14:textId="2594FFB7" w:rsidR="00C02DB7" w:rsidRPr="00C02DB7" w:rsidRDefault="00C02DB7" w:rsidP="00331D66">
      <w:pPr>
        <w:jc w:val="both"/>
        <w:rPr>
          <w:rFonts w:ascii="Arial" w:hAnsi="Arial" w:cs="Arial"/>
        </w:rPr>
      </w:pPr>
    </w:p>
    <w:p w14:paraId="6022E8B8" w14:textId="3646C17F" w:rsidR="00C02DB7" w:rsidRPr="00C02DB7" w:rsidRDefault="00C02DB7" w:rsidP="00331D66">
      <w:pPr>
        <w:jc w:val="both"/>
        <w:rPr>
          <w:rFonts w:ascii="Arial" w:hAnsi="Arial" w:cs="Arial"/>
        </w:rPr>
      </w:pPr>
    </w:p>
    <w:p w14:paraId="5379F921" w14:textId="09575895" w:rsidR="00C02DB7" w:rsidRPr="00C02DB7" w:rsidRDefault="00C02DB7" w:rsidP="00331D66">
      <w:pPr>
        <w:jc w:val="both"/>
        <w:rPr>
          <w:rFonts w:ascii="Arial" w:hAnsi="Arial" w:cs="Arial"/>
        </w:rPr>
      </w:pPr>
    </w:p>
    <w:p w14:paraId="76EE0DB0" w14:textId="259016AB" w:rsidR="00C02DB7" w:rsidRPr="00C02DB7" w:rsidRDefault="00C02DB7" w:rsidP="00331D66">
      <w:pPr>
        <w:jc w:val="both"/>
        <w:rPr>
          <w:rFonts w:ascii="Arial" w:hAnsi="Arial" w:cs="Arial"/>
        </w:rPr>
      </w:pPr>
    </w:p>
    <w:p w14:paraId="23C2702B" w14:textId="7555F77C" w:rsidR="00C02DB7" w:rsidRPr="00C02DB7" w:rsidRDefault="00C02DB7" w:rsidP="00331D66">
      <w:pPr>
        <w:jc w:val="both"/>
        <w:rPr>
          <w:rFonts w:ascii="Arial" w:hAnsi="Arial" w:cs="Arial"/>
        </w:rPr>
      </w:pPr>
    </w:p>
    <w:p w14:paraId="7E045664" w14:textId="07732E65" w:rsidR="00C02DB7" w:rsidRPr="00C02DB7" w:rsidRDefault="00C02DB7" w:rsidP="00331D66">
      <w:pPr>
        <w:jc w:val="both"/>
        <w:rPr>
          <w:rFonts w:ascii="Arial" w:hAnsi="Arial" w:cs="Arial"/>
        </w:rPr>
      </w:pPr>
    </w:p>
    <w:p w14:paraId="68C79A1A" w14:textId="4C6FC73D" w:rsidR="00C02DB7" w:rsidRPr="00C02DB7" w:rsidRDefault="00C02DB7" w:rsidP="00331D66">
      <w:pPr>
        <w:jc w:val="both"/>
        <w:rPr>
          <w:rFonts w:ascii="Arial" w:hAnsi="Arial" w:cs="Arial"/>
        </w:rPr>
      </w:pPr>
    </w:p>
    <w:p w14:paraId="773B494C" w14:textId="3877D628" w:rsidR="00C02DB7" w:rsidRPr="00C02DB7" w:rsidRDefault="00C02DB7" w:rsidP="00331D66">
      <w:pPr>
        <w:jc w:val="both"/>
        <w:rPr>
          <w:rFonts w:ascii="Arial" w:hAnsi="Arial" w:cs="Arial"/>
        </w:rPr>
      </w:pPr>
    </w:p>
    <w:p w14:paraId="685F8596" w14:textId="77777777" w:rsidR="00C02DB7" w:rsidRPr="00C02DB7" w:rsidRDefault="00C02DB7" w:rsidP="00331D66">
      <w:pPr>
        <w:jc w:val="both"/>
        <w:rPr>
          <w:rFonts w:ascii="Arial" w:hAnsi="Arial" w:cs="Arial"/>
        </w:rPr>
      </w:pPr>
    </w:p>
    <w:p w14:paraId="2F100752" w14:textId="77777777" w:rsidR="00331D66" w:rsidRPr="00C02DB7" w:rsidRDefault="00331D66" w:rsidP="00331D66">
      <w:pPr>
        <w:jc w:val="both"/>
        <w:rPr>
          <w:rFonts w:ascii="Arial" w:hAnsi="Arial" w:cs="Arial"/>
        </w:rPr>
      </w:pPr>
    </w:p>
    <w:p w14:paraId="229B9D9C" w14:textId="77777777" w:rsidR="00144971" w:rsidRDefault="00144971" w:rsidP="003138DE">
      <w:pPr>
        <w:pStyle w:val="Heading1"/>
        <w:spacing w:before="200"/>
        <w:jc w:val="both"/>
        <w:rPr>
          <w:rFonts w:ascii="Arial" w:hAnsi="Arial" w:cs="Arial"/>
        </w:rPr>
        <w:sectPr w:rsidR="00144971" w:rsidSect="00144971">
          <w:footerReference w:type="default" r:id="rId8"/>
          <w:pgSz w:w="11906" w:h="16838" w:code="9"/>
          <w:pgMar w:top="1440" w:right="1440" w:bottom="1440" w:left="1800" w:header="720" w:footer="720" w:gutter="0"/>
          <w:pgNumType w:fmt="lowerRoman" w:start="1"/>
          <w:cols w:space="720"/>
          <w:docGrid w:linePitch="360"/>
        </w:sectPr>
      </w:pPr>
    </w:p>
    <w:p w14:paraId="0335CCAE" w14:textId="3FBF2282" w:rsidR="00496A32" w:rsidRPr="00C02DB7" w:rsidRDefault="00BE666E" w:rsidP="003138DE">
      <w:pPr>
        <w:pStyle w:val="Heading1"/>
        <w:spacing w:before="200"/>
        <w:jc w:val="both"/>
        <w:rPr>
          <w:rFonts w:ascii="Arial" w:hAnsi="Arial" w:cs="Arial"/>
        </w:rPr>
      </w:pPr>
      <w:bookmarkStart w:id="0" w:name="_Toc226969839"/>
      <w:r w:rsidRPr="00C02DB7">
        <w:rPr>
          <w:rFonts w:ascii="Arial" w:hAnsi="Arial" w:cs="Arial"/>
        </w:rPr>
        <w:lastRenderedPageBreak/>
        <w:t>1. Introduction</w:t>
      </w:r>
      <w:bookmarkEnd w:id="0"/>
    </w:p>
    <w:p w14:paraId="41F9CEC2" w14:textId="27AE3B53" w:rsidR="00496A32" w:rsidRPr="00C02DB7" w:rsidRDefault="00BE666E" w:rsidP="003138DE">
      <w:pPr>
        <w:pStyle w:val="NormalWeb"/>
        <w:spacing w:before="0" w:beforeAutospacing="0"/>
        <w:jc w:val="both"/>
        <w:rPr>
          <w:rFonts w:ascii="Arial" w:hAnsi="Arial" w:cs="Arial"/>
        </w:rPr>
      </w:pPr>
      <w:r w:rsidRPr="00C02DB7">
        <w:rPr>
          <w:rFonts w:ascii="Arial" w:hAnsi="Arial" w:cs="Arial"/>
        </w:rPr>
        <w:t xml:space="preserve">The Optus data breach was one of the most serious </w:t>
      </w:r>
      <w:r w:rsidR="003138DE" w:rsidRPr="00C02DB7">
        <w:rPr>
          <w:rFonts w:ascii="Arial" w:hAnsi="Arial" w:cs="Arial"/>
        </w:rPr>
        <w:t>failure in terms of privacy and cybersecurity in Australia. The Optus data breach came out on 22nd September 2022 and resulted in the disclosure of personal details of millions of customers who currently or in the future may use the services provided by the company. The data that got exposed consisted of people's names, dates of birth, phone numbers, emails, and identity data including passport, Medicare, and driver licence numbers. According to Queensland Government summaries, the number of affected people grew from an initial estimated 150,000 individuals to 2.5 million up to 9.7 million records, respectively, within the first days after the breach happened. It became an extremely urgent issue due to the potential risks the stolen data might pose for people – their identity could have been stolen, they would face fraud, phishing or other malicious attempts. Moreover, the problem also made one think if large corporations collect too much customer data for them and do not provide enough security for it. Thus, in addition to the technical mistake, the breach undermined trust towards the company. The following report will focus on its analysis and evaluation along with recommendations to address further possible risks associated with using personal data.</w:t>
      </w:r>
    </w:p>
    <w:p w14:paraId="277DAE04" w14:textId="32398927" w:rsidR="00496A32" w:rsidRPr="00C02DB7" w:rsidRDefault="00BE666E" w:rsidP="003138DE">
      <w:pPr>
        <w:pStyle w:val="Heading1"/>
        <w:spacing w:before="0"/>
        <w:jc w:val="both"/>
        <w:rPr>
          <w:rFonts w:ascii="Arial" w:hAnsi="Arial" w:cs="Arial"/>
        </w:rPr>
      </w:pPr>
      <w:bookmarkStart w:id="1" w:name="_Toc226969840"/>
      <w:r w:rsidRPr="00C02DB7">
        <w:rPr>
          <w:rFonts w:ascii="Arial" w:hAnsi="Arial" w:cs="Arial"/>
        </w:rPr>
        <w:t xml:space="preserve">2. Threat Analysis and </w:t>
      </w:r>
      <w:r w:rsidR="003138DE" w:rsidRPr="00C02DB7">
        <w:rPr>
          <w:rFonts w:ascii="Arial" w:hAnsi="Arial" w:cs="Arial"/>
        </w:rPr>
        <w:t>Defence</w:t>
      </w:r>
      <w:r w:rsidRPr="00C02DB7">
        <w:rPr>
          <w:rFonts w:ascii="Arial" w:hAnsi="Arial" w:cs="Arial"/>
        </w:rPr>
        <w:t xml:space="preserve"> Strategies</w:t>
      </w:r>
      <w:bookmarkEnd w:id="1"/>
    </w:p>
    <w:p w14:paraId="3155EFA8" w14:textId="77777777" w:rsidR="003138DE" w:rsidRPr="00C02DB7" w:rsidRDefault="003138DE" w:rsidP="003138DE">
      <w:pPr>
        <w:pStyle w:val="NormalWeb"/>
        <w:spacing w:before="0" w:beforeAutospacing="0"/>
        <w:jc w:val="both"/>
        <w:rPr>
          <w:rFonts w:ascii="Arial" w:hAnsi="Arial" w:cs="Arial"/>
        </w:rPr>
      </w:pPr>
      <w:r w:rsidRPr="00C02DB7">
        <w:rPr>
          <w:rFonts w:ascii="Arial" w:hAnsi="Arial" w:cs="Arial"/>
        </w:rPr>
        <w:t>According to reports available, this data breach was facilitated by an exposed API on the internet with insufficient security. It seems that this endpoint could provide customer information to anyone who discovered it without requiring a proper authentication process. Consequently, anyone who knew how to reach the API could access personal customer data without authenticating themselves. Furthermore, it seems that sensitive personal information was provided, not merely accounts with relatively minor risks associated with it. UpGuard also mentioned that the exposed records could be accessed through an incremental identifier pattern, which makes automation possible when reaching those records.</w:t>
      </w:r>
    </w:p>
    <w:p w14:paraId="48D7DFB7" w14:textId="77777777" w:rsidR="003138DE" w:rsidRPr="00C02DB7" w:rsidRDefault="003138DE" w:rsidP="003138DE">
      <w:pPr>
        <w:pStyle w:val="NormalWeb"/>
        <w:jc w:val="both"/>
        <w:rPr>
          <w:rFonts w:ascii="Arial" w:hAnsi="Arial" w:cs="Arial"/>
        </w:rPr>
      </w:pPr>
      <w:r w:rsidRPr="00C02DB7">
        <w:rPr>
          <w:rFonts w:ascii="Arial" w:hAnsi="Arial" w:cs="Arial"/>
        </w:rPr>
        <w:t>This situation highlights fundamental weaknesses in cybersecurity and demonstrates what happens when even very basic practices are absent. For example, an API can expose critical data if authentication processes are either weak or entirely absent. Similarly, weak or entirely missing object-level authorizations make any data accessible by definition. Exposing a backend is yet another significant mistake, while insecure data design means that identifiers used can be predicted by hackers.</w:t>
      </w:r>
    </w:p>
    <w:p w14:paraId="1CAE4799" w14:textId="77777777" w:rsidR="003138DE" w:rsidRPr="00C02DB7" w:rsidRDefault="003138DE" w:rsidP="003138DE">
      <w:pPr>
        <w:pStyle w:val="NormalWeb"/>
        <w:jc w:val="both"/>
        <w:rPr>
          <w:rFonts w:ascii="Arial" w:hAnsi="Arial" w:cs="Arial"/>
        </w:rPr>
      </w:pPr>
      <w:r w:rsidRPr="00C02DB7">
        <w:rPr>
          <w:rFonts w:ascii="Arial" w:hAnsi="Arial" w:cs="Arial"/>
        </w:rPr>
        <w:t>A number of defensive mechanisms could help avoid the breach or at least reduce the amount of leaked data. First, the API in question should be secured with an API gateway that ensures proper authentication and authorization. Every single request should confirm identity and authorize access to a particular record. Second, it would be wise to separate public services from internal systems that store data and protect them adequately. Third, the use of predictable identifiers should be substituted with unique random identifiers such as UUID. Fourth, anomaly detection and monitoring could identify any attempts to download multiple files using a script. Finally, regular pen tests would reveal all insecure API endpoints.</w:t>
      </w:r>
    </w:p>
    <w:p w14:paraId="720EBB13" w14:textId="49B300D4" w:rsidR="00496A32" w:rsidRPr="00C02DB7" w:rsidRDefault="003138DE" w:rsidP="003138DE">
      <w:pPr>
        <w:pStyle w:val="NormalWeb"/>
        <w:jc w:val="both"/>
        <w:rPr>
          <w:rFonts w:ascii="Arial" w:hAnsi="Arial" w:cs="Arial"/>
        </w:rPr>
      </w:pPr>
      <w:r w:rsidRPr="00C02DB7">
        <w:rPr>
          <w:rFonts w:ascii="Arial" w:hAnsi="Arial" w:cs="Arial"/>
        </w:rPr>
        <w:lastRenderedPageBreak/>
        <w:t>Furthermore, this case emphasizes that APIs have to be regarded as an integral part of security architecture because of the central role they play. APIs serve as bridges for communication between backend and frontend, mobile applications and web services. Therefore, it would be sensible to treat APIs as an inseparable component of security strategy and conduct regular threat modelling to avoid similar situations.</w:t>
      </w:r>
    </w:p>
    <w:p w14:paraId="3A2BC8A1" w14:textId="77777777" w:rsidR="00496A32" w:rsidRPr="00C02DB7" w:rsidRDefault="00BE666E" w:rsidP="003138DE">
      <w:pPr>
        <w:pStyle w:val="Heading1"/>
        <w:spacing w:before="200"/>
        <w:jc w:val="both"/>
        <w:rPr>
          <w:rFonts w:ascii="Arial" w:hAnsi="Arial" w:cs="Arial"/>
        </w:rPr>
      </w:pPr>
      <w:bookmarkStart w:id="2" w:name="_Toc226969841"/>
      <w:r w:rsidRPr="00C02DB7">
        <w:rPr>
          <w:rFonts w:ascii="Arial" w:hAnsi="Arial" w:cs="Arial"/>
        </w:rPr>
        <w:t>3. Security Implementations</w:t>
      </w:r>
      <w:bookmarkEnd w:id="2"/>
    </w:p>
    <w:p w14:paraId="19A0FDF6" w14:textId="77777777" w:rsidR="003138DE" w:rsidRPr="00C02DB7" w:rsidRDefault="003138DE" w:rsidP="003138DE">
      <w:pPr>
        <w:pStyle w:val="NormalWeb"/>
        <w:spacing w:before="0" w:beforeAutospacing="0"/>
        <w:jc w:val="both"/>
        <w:rPr>
          <w:rFonts w:ascii="Arial" w:hAnsi="Arial" w:cs="Arial"/>
        </w:rPr>
      </w:pPr>
      <w:r w:rsidRPr="00C02DB7">
        <w:rPr>
          <w:rFonts w:ascii="Arial" w:hAnsi="Arial" w:cs="Arial"/>
        </w:rPr>
        <w:t>The Optus incident indicates a need for multilayered security controls to prevent breaches. On an architectural level, it was important to ensure separation of public access from sensitive internal information. On an application level, API controls must have implemented authentication, authorization, schema verification and object-level access control mechanisms. From the data level perspective, sensitive records had to be classified, segmented and accessed via internal service only. With respect to governance, Optus required greater awareness about the nature and scope of internet-exposed assets and their data exposure.</w:t>
      </w:r>
    </w:p>
    <w:p w14:paraId="503B82E9" w14:textId="77777777" w:rsidR="003138DE" w:rsidRPr="00C02DB7" w:rsidRDefault="003138DE" w:rsidP="003138DE">
      <w:pPr>
        <w:pStyle w:val="NormalWeb"/>
        <w:jc w:val="both"/>
        <w:rPr>
          <w:rFonts w:ascii="Arial" w:hAnsi="Arial" w:cs="Arial"/>
        </w:rPr>
      </w:pPr>
      <w:r w:rsidRPr="00C02DB7">
        <w:rPr>
          <w:rFonts w:ascii="Arial" w:hAnsi="Arial" w:cs="Arial"/>
        </w:rPr>
        <w:t>Modern standards dictate implementing a secure software development process. Code review, automation of scanning and testing, logging, change control and regular pen-tests will ensure detection of vulnerabilities in advance. Logging and centralised monitoring are also critical because they provide the means of detecting suspicious access activity patterns. The necessity of encrypting information both at-rest and in-transit is also obvious, though the lack of such control does not mean that the app itself does not verify data authenticity and validity. Least privilege, privileged account monitoring and multi-factor authentication must be used.</w:t>
      </w:r>
    </w:p>
    <w:p w14:paraId="1619F57F" w14:textId="77777777" w:rsidR="003138DE" w:rsidRPr="00C02DB7" w:rsidRDefault="003138DE" w:rsidP="003138DE">
      <w:pPr>
        <w:pStyle w:val="NormalWeb"/>
        <w:jc w:val="both"/>
        <w:rPr>
          <w:rFonts w:ascii="Arial" w:hAnsi="Arial" w:cs="Arial"/>
        </w:rPr>
      </w:pPr>
      <w:r w:rsidRPr="00C02DB7">
        <w:rPr>
          <w:rFonts w:ascii="Arial" w:hAnsi="Arial" w:cs="Arial"/>
        </w:rPr>
        <w:t>It is important to be prepared for any eventualities with incident management controls. Every company has a potential of a breach no matter how hard it works to avoid that. Breach detection and rapid response including notification of relevant parties are crucial aspects to consider. In this case, Optus made considerable efforts in this field, yet its failure proved that reactive controls cannot overcome the impact of a poor design choice.</w:t>
      </w:r>
    </w:p>
    <w:p w14:paraId="09740DBC" w14:textId="1491ACA9" w:rsidR="00496A32" w:rsidRPr="00C02DB7" w:rsidRDefault="003138DE" w:rsidP="003138DE">
      <w:pPr>
        <w:pStyle w:val="NormalWeb"/>
        <w:jc w:val="both"/>
        <w:rPr>
          <w:rFonts w:ascii="Arial" w:hAnsi="Arial" w:cs="Arial"/>
        </w:rPr>
      </w:pPr>
      <w:r w:rsidRPr="00C02DB7">
        <w:rPr>
          <w:rFonts w:ascii="Arial" w:hAnsi="Arial" w:cs="Arial"/>
        </w:rPr>
        <w:t>Secure configuration management is another control that may help prevent breaches. Configurations must be hard-coded by default with all unnecessary services turned off. External exposure and approval are also critical aspects to consider.</w:t>
      </w:r>
    </w:p>
    <w:p w14:paraId="443F8D15" w14:textId="77777777" w:rsidR="00496A32" w:rsidRPr="00C02DB7" w:rsidRDefault="00BE666E" w:rsidP="003138DE">
      <w:pPr>
        <w:pStyle w:val="Heading1"/>
        <w:spacing w:before="200"/>
        <w:jc w:val="both"/>
        <w:rPr>
          <w:rFonts w:ascii="Arial" w:hAnsi="Arial" w:cs="Arial"/>
        </w:rPr>
      </w:pPr>
      <w:bookmarkStart w:id="3" w:name="_Toc226969842"/>
      <w:r w:rsidRPr="00C02DB7">
        <w:rPr>
          <w:rFonts w:ascii="Arial" w:hAnsi="Arial" w:cs="Arial"/>
        </w:rPr>
        <w:t>4. Ethical Compliance in ICT Practices</w:t>
      </w:r>
      <w:bookmarkEnd w:id="3"/>
    </w:p>
    <w:p w14:paraId="0A9A7760" w14:textId="77777777" w:rsidR="003138DE" w:rsidRPr="00C02DB7" w:rsidRDefault="003138DE" w:rsidP="003138DE">
      <w:pPr>
        <w:pStyle w:val="NormalWeb"/>
        <w:spacing w:before="0" w:beforeAutospacing="0"/>
        <w:jc w:val="both"/>
        <w:rPr>
          <w:rFonts w:ascii="Arial" w:hAnsi="Arial" w:cs="Arial"/>
        </w:rPr>
      </w:pPr>
      <w:r w:rsidRPr="00C02DB7">
        <w:rPr>
          <w:rFonts w:ascii="Arial" w:hAnsi="Arial" w:cs="Arial"/>
        </w:rPr>
        <w:t>This particular data leak incident presented many ethical challenges since telecoms have personal information in a state of confidentiality. People disclose their identity details due to the necessity of using critical services rather than because they voluntarily want to give their personal details to organisations. Hence, ethical ICT operations imply obtaining only that information which is needed, protecting it adequately and storing it as long as it is necessary. A person suffers from losing sensitive personal details as he or she might be exposed to fraud, financial damages, psychological stress and a lack of trust in the digital environment.</w:t>
      </w:r>
    </w:p>
    <w:p w14:paraId="62E26368" w14:textId="5204185E" w:rsidR="003138DE" w:rsidRPr="00C02DB7" w:rsidRDefault="003138DE" w:rsidP="003138DE">
      <w:pPr>
        <w:pStyle w:val="NormalWeb"/>
        <w:spacing w:before="0" w:beforeAutospacing="0"/>
        <w:jc w:val="both"/>
        <w:rPr>
          <w:rFonts w:ascii="Arial" w:hAnsi="Arial" w:cs="Arial"/>
        </w:rPr>
      </w:pPr>
      <w:r w:rsidRPr="00C02DB7">
        <w:rPr>
          <w:rFonts w:ascii="Arial" w:hAnsi="Arial" w:cs="Arial"/>
        </w:rPr>
        <w:lastRenderedPageBreak/>
        <w:t>Firstly, a key aspect of ethical information practice is data minimization. The basic lesson from the public discussion of the incident relates to minimisation of storage. It means that the company would not have suffered from such data breach if it did not store unnecessary details. This approach matches the principles outlined in the Australian privacy legislation. Namely, according to the Privacy Act 1988 and the Australian Privacy Principles, the organization is supposed to collect only information that is needed. Also, it is required to destroy or anonymise the information which is not needed. In this regard, any additional information about people collected by Optus is not legal and unethical.</w:t>
      </w:r>
    </w:p>
    <w:p w14:paraId="220C7C34" w14:textId="77777777" w:rsidR="003138DE" w:rsidRPr="00C02DB7" w:rsidRDefault="003138DE" w:rsidP="003138DE">
      <w:pPr>
        <w:pStyle w:val="NormalWeb"/>
        <w:spacing w:before="0" w:beforeAutospacing="0"/>
        <w:jc w:val="both"/>
        <w:rPr>
          <w:rFonts w:ascii="Arial" w:hAnsi="Arial" w:cs="Arial"/>
        </w:rPr>
      </w:pPr>
      <w:r w:rsidRPr="00C02DB7">
        <w:rPr>
          <w:rFonts w:ascii="Arial" w:hAnsi="Arial" w:cs="Arial"/>
        </w:rPr>
        <w:t>Accountability is another important aspect of the situation. It means not just the apology and compensation after the data breach but also the proof that measures were taken to minimise the possible risks before the actual breach. This refers to the role of board in privacy management, data retention policy, privacy impact assessments, security standards of exposed systems and analysis of information handling practices regularly. In fact, Optus contacted relevant governmental agencies during the process and after it, which is essential. Nevertheless, the question arises as to whether the company has managed privacy and cyber risks proportionally to the amount of sensitive information.</w:t>
      </w:r>
    </w:p>
    <w:p w14:paraId="707474C8" w14:textId="395FC0DC" w:rsidR="00496A32" w:rsidRPr="00C02DB7" w:rsidRDefault="003138DE" w:rsidP="003138DE">
      <w:pPr>
        <w:pStyle w:val="NormalWeb"/>
        <w:spacing w:before="0" w:beforeAutospacing="0"/>
        <w:jc w:val="both"/>
        <w:rPr>
          <w:rFonts w:ascii="Arial" w:hAnsi="Arial" w:cs="Arial"/>
        </w:rPr>
      </w:pPr>
      <w:r w:rsidRPr="00C02DB7">
        <w:rPr>
          <w:rFonts w:ascii="Arial" w:hAnsi="Arial" w:cs="Arial"/>
        </w:rPr>
        <w:t>Finally, the case revealed the fact that improper handling of information may also cause harm not to direct customers but also to public sector bodies and other organisations with which the company cooperates.</w:t>
      </w:r>
    </w:p>
    <w:p w14:paraId="3EB106E8" w14:textId="77777777" w:rsidR="00496A32" w:rsidRPr="00C02DB7" w:rsidRDefault="00BE666E" w:rsidP="00C02DB7">
      <w:pPr>
        <w:pStyle w:val="Heading1"/>
        <w:spacing w:before="200"/>
        <w:jc w:val="both"/>
        <w:rPr>
          <w:rFonts w:ascii="Arial" w:hAnsi="Arial" w:cs="Arial"/>
        </w:rPr>
      </w:pPr>
      <w:bookmarkStart w:id="4" w:name="_Toc226969843"/>
      <w:r w:rsidRPr="00C02DB7">
        <w:rPr>
          <w:rFonts w:ascii="Arial" w:hAnsi="Arial" w:cs="Arial"/>
        </w:rPr>
        <w:t>5. Recommendations</w:t>
      </w:r>
      <w:bookmarkEnd w:id="4"/>
    </w:p>
    <w:p w14:paraId="2862BBA3" w14:textId="0B1371CC" w:rsidR="00496A32" w:rsidRPr="00C02DB7" w:rsidRDefault="00C02DB7" w:rsidP="00C02DB7">
      <w:pPr>
        <w:pStyle w:val="NormalWeb"/>
        <w:spacing w:before="0" w:beforeAutospacing="0"/>
        <w:jc w:val="both"/>
        <w:rPr>
          <w:rFonts w:ascii="Arial" w:hAnsi="Arial" w:cs="Arial"/>
        </w:rPr>
      </w:pPr>
      <w:r w:rsidRPr="00C02DB7">
        <w:rPr>
          <w:rFonts w:ascii="Arial" w:hAnsi="Arial" w:cs="Arial"/>
        </w:rPr>
        <w:t>Several number of actionable suggestions can be made based on this case study. Firstly, enhance API security by implementing authentication gateways, strict object level authorization, input validation, rate limiting, and ongoing endpoint discovery. Secondly, implement a systematic data minimization strategy that will enable the secure disposal or anonymization of identity documents and inactive customer accounts once they have been removed from regulatory scope. Thirdly, isolate sensitive identity data from regular account information and confine its storage to a limited number of secure systems. Fourthly, increase visibility through periodic penetration testing, misconfiguration detection, and the monitoring of abnormal access patterns. Fifthly, define responsibilities for executives and boards for issues surrounding privacy, cybersecurity, and data retention policies. Lastly, ensure that security and privacy protocols comply with relevant guidelines such as OAIC Privacy Requirements and OWASP API Security Top 10. These measures will help to mitigate both the likelihood and consequences of a data breach.</w:t>
      </w:r>
    </w:p>
    <w:p w14:paraId="6EC52F62" w14:textId="77777777" w:rsidR="00496A32" w:rsidRPr="00C02DB7" w:rsidRDefault="00BE666E" w:rsidP="00331D66">
      <w:pPr>
        <w:pStyle w:val="Heading1"/>
        <w:spacing w:before="200" w:after="80"/>
        <w:jc w:val="both"/>
        <w:rPr>
          <w:rFonts w:ascii="Arial" w:hAnsi="Arial" w:cs="Arial"/>
        </w:rPr>
      </w:pPr>
      <w:bookmarkStart w:id="5" w:name="_Toc226969844"/>
      <w:r w:rsidRPr="00C02DB7">
        <w:rPr>
          <w:rFonts w:ascii="Arial" w:hAnsi="Arial" w:cs="Arial"/>
        </w:rPr>
        <w:t>6. Conclusion</w:t>
      </w:r>
      <w:bookmarkEnd w:id="5"/>
    </w:p>
    <w:p w14:paraId="4D661DE9" w14:textId="77777777" w:rsidR="00C02DB7" w:rsidRPr="00C02DB7" w:rsidRDefault="00C02DB7" w:rsidP="00C02DB7">
      <w:pPr>
        <w:pStyle w:val="NormalWeb"/>
        <w:rPr>
          <w:rFonts w:ascii="Arial" w:hAnsi="Arial" w:cs="Arial"/>
        </w:rPr>
      </w:pPr>
      <w:r w:rsidRPr="00C02DB7">
        <w:rPr>
          <w:rFonts w:ascii="Arial" w:hAnsi="Arial" w:cs="Arial"/>
        </w:rPr>
        <w:t>The Optus data breach highlights how a simple security problem becomes a massive ethical failure when personal data is involved. From what we have found out thus far, the problems that led to the breach include an insecure API, poor access management, and predictability of unique IDs used to protect sensitive customer data. These issues were instrumental in enabling automation, leading to the mass exposure of millions of individuals.</w:t>
      </w:r>
    </w:p>
    <w:p w14:paraId="61964B16" w14:textId="1238ABAC" w:rsidR="00C02DB7" w:rsidRPr="00C02DB7" w:rsidRDefault="00C02DB7" w:rsidP="00C02DB7">
      <w:pPr>
        <w:pStyle w:val="NormalWeb"/>
        <w:rPr>
          <w:rFonts w:ascii="Arial" w:hAnsi="Arial" w:cs="Arial"/>
        </w:rPr>
      </w:pPr>
      <w:r w:rsidRPr="00C02DB7">
        <w:rPr>
          <w:rFonts w:ascii="Arial" w:hAnsi="Arial" w:cs="Arial"/>
        </w:rPr>
        <w:lastRenderedPageBreak/>
        <w:t xml:space="preserve">This incident has illustrated that cybersecurity must go hand-in-hand with ethical governance. An organization must limit the amount of personal data collected, secure the data proportionally, and dispose of it properly. According to Australian privacy laws and good ICT practice, personal data should be collected and stored when absolutely essential and then disposed of once the process is completed. </w:t>
      </w:r>
    </w:p>
    <w:p w14:paraId="224737B3" w14:textId="5DCB63DB" w:rsidR="00496A32" w:rsidRPr="00C02DB7" w:rsidRDefault="00C02DB7" w:rsidP="00C02DB7">
      <w:pPr>
        <w:pStyle w:val="Heading1"/>
        <w:spacing w:before="200" w:after="80"/>
        <w:jc w:val="both"/>
        <w:rPr>
          <w:rFonts w:ascii="Arial" w:hAnsi="Arial" w:cs="Arial"/>
        </w:rPr>
      </w:pPr>
      <w:r w:rsidRPr="00C02DB7">
        <w:rPr>
          <w:rFonts w:ascii="Arial" w:hAnsi="Arial" w:cs="Arial"/>
        </w:rPr>
        <w:t xml:space="preserve"> </w:t>
      </w:r>
      <w:bookmarkStart w:id="6" w:name="_Toc226969845"/>
      <w:r w:rsidR="00BE666E" w:rsidRPr="00C02DB7">
        <w:rPr>
          <w:rFonts w:ascii="Arial" w:hAnsi="Arial" w:cs="Arial"/>
        </w:rPr>
        <w:t>7. References</w:t>
      </w:r>
      <w:bookmarkEnd w:id="6"/>
    </w:p>
    <w:p w14:paraId="21309C2E" w14:textId="5E767075"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Queensland Governm</w:t>
      </w:r>
      <w:r w:rsidR="00331D66" w:rsidRPr="00C02DB7">
        <w:rPr>
          <w:rFonts w:ascii="Arial" w:hAnsi="Arial" w:cs="Arial"/>
        </w:rPr>
        <w:t xml:space="preserve">ent. (n.d.). Optus data breach. </w:t>
      </w:r>
      <w:r w:rsidRPr="00C02DB7">
        <w:rPr>
          <w:rFonts w:ascii="Arial" w:hAnsi="Arial" w:cs="Arial"/>
        </w:rPr>
        <w:t>https://www.qld.gov.au/community/your-home-community/cyber-security/cyber-security-for-queenslanders/case-studies/optus-data-breach</w:t>
      </w:r>
    </w:p>
    <w:p w14:paraId="60E4557E" w14:textId="77777777"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Office of the Australian Information Commissioner. (n.d.). About the Notifiable Data Breaches scheme. https://www.oaic.gov.au/privacy/notifiable-data-breaches/about-the-notifiable-data-breaches-scheme</w:t>
      </w:r>
    </w:p>
    <w:p w14:paraId="32B0B93C" w14:textId="19C918B2" w:rsidR="00496A32" w:rsidRPr="00C02DB7" w:rsidRDefault="00BE666E" w:rsidP="003138DE">
      <w:pPr>
        <w:pStyle w:val="ListParagraph"/>
        <w:numPr>
          <w:ilvl w:val="0"/>
          <w:numId w:val="10"/>
        </w:numPr>
        <w:spacing w:after="80" w:line="240" w:lineRule="auto"/>
        <w:jc w:val="both"/>
        <w:rPr>
          <w:rFonts w:ascii="Arial" w:hAnsi="Arial" w:cs="Arial"/>
        </w:rPr>
      </w:pPr>
      <w:r w:rsidRPr="00C02DB7">
        <w:rPr>
          <w:rFonts w:ascii="Arial" w:hAnsi="Arial" w:cs="Arial"/>
        </w:rPr>
        <w:t>Office of the Australian Information Commissioner. (2019, July 22). Chapter 3: APP 3 collection of solicited personal information. https://www.oaic.gov.au/privacy/australian-privacy-principles/australian-privacy-principles-guidelines/chapter-3-app-3-collection-of-solicited-personal-information</w:t>
      </w:r>
    </w:p>
    <w:p w14:paraId="40BF134E" w14:textId="77777777"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Office of the Australian Information Commissioner. (2025, October 3). Chapter 11: APP 11 security of personal information. https://www.oaic.gov.au/privacy/australian-privacy-principles/australian-privacy-principles-guidelines/chapter-11-app-11-security-of-personal-information</w:t>
      </w:r>
    </w:p>
    <w:p w14:paraId="7D546F60" w14:textId="77777777"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Office of the Australian Information Commissioner. (2025, August 8). Australian Information Commissioner takes civil penalty action against Optus. https://www.oaic.gov.au/news/media-centre/australian-information-commissioner-takes-civil-penalty-action-against-optus</w:t>
      </w:r>
    </w:p>
    <w:p w14:paraId="2B41A020" w14:textId="77777777"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OWASP Foundation. (2023). OWASP API Security Top 10 – 2023. https://owasp.org/API-Security/editions/2023/en/0x11-t10/</w:t>
      </w:r>
    </w:p>
    <w:p w14:paraId="0FA8B4FC" w14:textId="77777777" w:rsidR="00496A32" w:rsidRPr="00C02DB7" w:rsidRDefault="00BE666E" w:rsidP="00331D66">
      <w:pPr>
        <w:pStyle w:val="ListParagraph"/>
        <w:numPr>
          <w:ilvl w:val="0"/>
          <w:numId w:val="10"/>
        </w:numPr>
        <w:spacing w:after="80" w:line="240" w:lineRule="auto"/>
        <w:jc w:val="both"/>
        <w:rPr>
          <w:rFonts w:ascii="Arial" w:hAnsi="Arial" w:cs="Arial"/>
        </w:rPr>
      </w:pPr>
      <w:r w:rsidRPr="00C02DB7">
        <w:rPr>
          <w:rFonts w:ascii="Arial" w:hAnsi="Arial" w:cs="Arial"/>
        </w:rPr>
        <w:t>UpGuard. (2025, December 1). How did the Optus data breach happen? https://www.upguard.com/blog/how-did-the-optus-data-breach-happen</w:t>
      </w:r>
    </w:p>
    <w:p w14:paraId="6377B4B5" w14:textId="77777777" w:rsidR="00C02DB7" w:rsidRPr="00C02DB7" w:rsidRDefault="00C02DB7">
      <w:pPr>
        <w:pStyle w:val="ListParagraph"/>
        <w:numPr>
          <w:ilvl w:val="0"/>
          <w:numId w:val="10"/>
        </w:numPr>
        <w:spacing w:after="80" w:line="240" w:lineRule="auto"/>
        <w:jc w:val="both"/>
        <w:rPr>
          <w:rFonts w:ascii="Arial" w:hAnsi="Arial" w:cs="Arial"/>
        </w:rPr>
      </w:pPr>
    </w:p>
    <w:sectPr w:rsidR="00C02DB7" w:rsidRPr="00C02DB7" w:rsidSect="00144971">
      <w:footerReference w:type="default" r:id="rId9"/>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2371" w14:textId="77777777" w:rsidR="00D93710" w:rsidRDefault="00D93710" w:rsidP="00144971">
      <w:pPr>
        <w:spacing w:after="0" w:line="240" w:lineRule="auto"/>
      </w:pPr>
      <w:r>
        <w:separator/>
      </w:r>
    </w:p>
  </w:endnote>
  <w:endnote w:type="continuationSeparator" w:id="0">
    <w:p w14:paraId="556AEEC2" w14:textId="77777777" w:rsidR="00D93710" w:rsidRDefault="00D93710" w:rsidP="001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842719"/>
      <w:docPartObj>
        <w:docPartGallery w:val="Page Numbers (Bottom of Page)"/>
        <w:docPartUnique/>
      </w:docPartObj>
    </w:sdtPr>
    <w:sdtEndPr>
      <w:rPr>
        <w:noProof/>
      </w:rPr>
    </w:sdtEndPr>
    <w:sdtContent>
      <w:p w14:paraId="51F3736C" w14:textId="5A34EEA1" w:rsidR="00144971" w:rsidRDefault="0014497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5249B32C" w14:textId="77777777" w:rsidR="00144971" w:rsidRDefault="00144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927387"/>
      <w:docPartObj>
        <w:docPartGallery w:val="Page Numbers (Bottom of Page)"/>
        <w:docPartUnique/>
      </w:docPartObj>
    </w:sdtPr>
    <w:sdtEndPr>
      <w:rPr>
        <w:noProof/>
      </w:rPr>
    </w:sdtEndPr>
    <w:sdtContent>
      <w:p w14:paraId="0CC00E97" w14:textId="0AD1CFC8" w:rsidR="00144971" w:rsidRDefault="00144971">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3EFC6F80" w14:textId="77777777" w:rsidR="00144971" w:rsidRDefault="00144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C57E" w14:textId="77777777" w:rsidR="00D93710" w:rsidRDefault="00D93710" w:rsidP="00144971">
      <w:pPr>
        <w:spacing w:after="0" w:line="240" w:lineRule="auto"/>
      </w:pPr>
      <w:r>
        <w:separator/>
      </w:r>
    </w:p>
  </w:footnote>
  <w:footnote w:type="continuationSeparator" w:id="0">
    <w:p w14:paraId="44B048A0" w14:textId="77777777" w:rsidR="00D93710" w:rsidRDefault="00D93710" w:rsidP="00144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52651"/>
    <w:multiLevelType w:val="hybridMultilevel"/>
    <w:tmpl w:val="4232E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18803980">
    <w:abstractNumId w:val="8"/>
  </w:num>
  <w:num w:numId="2" w16cid:durableId="382677112">
    <w:abstractNumId w:val="6"/>
  </w:num>
  <w:num w:numId="3" w16cid:durableId="482239702">
    <w:abstractNumId w:val="5"/>
  </w:num>
  <w:num w:numId="4" w16cid:durableId="511920010">
    <w:abstractNumId w:val="4"/>
  </w:num>
  <w:num w:numId="5" w16cid:durableId="237978409">
    <w:abstractNumId w:val="7"/>
  </w:num>
  <w:num w:numId="6" w16cid:durableId="579296096">
    <w:abstractNumId w:val="3"/>
  </w:num>
  <w:num w:numId="7" w16cid:durableId="1555431830">
    <w:abstractNumId w:val="2"/>
  </w:num>
  <w:num w:numId="8" w16cid:durableId="1758673340">
    <w:abstractNumId w:val="1"/>
  </w:num>
  <w:num w:numId="9" w16cid:durableId="1616012952">
    <w:abstractNumId w:val="0"/>
  </w:num>
  <w:num w:numId="10" w16cid:durableId="9605787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4971"/>
    <w:rsid w:val="0015074B"/>
    <w:rsid w:val="0029639D"/>
    <w:rsid w:val="003138DE"/>
    <w:rsid w:val="00326F90"/>
    <w:rsid w:val="00331D66"/>
    <w:rsid w:val="003E01A3"/>
    <w:rsid w:val="004315B6"/>
    <w:rsid w:val="00496A32"/>
    <w:rsid w:val="007F1F64"/>
    <w:rsid w:val="00AA1D8D"/>
    <w:rsid w:val="00B00E9B"/>
    <w:rsid w:val="00B47730"/>
    <w:rsid w:val="00BE666E"/>
    <w:rsid w:val="00C02DB7"/>
    <w:rsid w:val="00CB0664"/>
    <w:rsid w:val="00D93710"/>
    <w:rsid w:val="00E43ABA"/>
    <w:rsid w:val="00F13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F270C3-4BB9-4340-ADEC-F5B04447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138DE"/>
    <w:pPr>
      <w:spacing w:before="100" w:beforeAutospacing="1" w:after="100" w:afterAutospacing="1" w:line="240" w:lineRule="auto"/>
    </w:pPr>
    <w:rPr>
      <w:rFonts w:cs="Times New Roman"/>
      <w:szCs w:val="24"/>
    </w:rPr>
  </w:style>
  <w:style w:type="paragraph" w:styleId="TOC1">
    <w:name w:val="toc 1"/>
    <w:basedOn w:val="Normal"/>
    <w:next w:val="Normal"/>
    <w:autoRedefine/>
    <w:uiPriority w:val="39"/>
    <w:unhideWhenUsed/>
    <w:rsid w:val="00C02DB7"/>
    <w:pPr>
      <w:spacing w:after="100"/>
    </w:pPr>
  </w:style>
  <w:style w:type="character" w:styleId="Hyperlink">
    <w:name w:val="Hyperlink"/>
    <w:basedOn w:val="DefaultParagraphFont"/>
    <w:uiPriority w:val="99"/>
    <w:unhideWhenUsed/>
    <w:rsid w:val="00C02D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36190">
      <w:bodyDiv w:val="1"/>
      <w:marLeft w:val="0"/>
      <w:marRight w:val="0"/>
      <w:marTop w:val="0"/>
      <w:marBottom w:val="0"/>
      <w:divBdr>
        <w:top w:val="none" w:sz="0" w:space="0" w:color="auto"/>
        <w:left w:val="none" w:sz="0" w:space="0" w:color="auto"/>
        <w:bottom w:val="none" w:sz="0" w:space="0" w:color="auto"/>
        <w:right w:val="none" w:sz="0" w:space="0" w:color="auto"/>
      </w:divBdr>
    </w:div>
    <w:div w:id="423377928">
      <w:bodyDiv w:val="1"/>
      <w:marLeft w:val="0"/>
      <w:marRight w:val="0"/>
      <w:marTop w:val="0"/>
      <w:marBottom w:val="0"/>
      <w:divBdr>
        <w:top w:val="none" w:sz="0" w:space="0" w:color="auto"/>
        <w:left w:val="none" w:sz="0" w:space="0" w:color="auto"/>
        <w:bottom w:val="none" w:sz="0" w:space="0" w:color="auto"/>
        <w:right w:val="none" w:sz="0" w:space="0" w:color="auto"/>
      </w:divBdr>
    </w:div>
    <w:div w:id="477723490">
      <w:bodyDiv w:val="1"/>
      <w:marLeft w:val="0"/>
      <w:marRight w:val="0"/>
      <w:marTop w:val="0"/>
      <w:marBottom w:val="0"/>
      <w:divBdr>
        <w:top w:val="none" w:sz="0" w:space="0" w:color="auto"/>
        <w:left w:val="none" w:sz="0" w:space="0" w:color="auto"/>
        <w:bottom w:val="none" w:sz="0" w:space="0" w:color="auto"/>
        <w:right w:val="none" w:sz="0" w:space="0" w:color="auto"/>
      </w:divBdr>
    </w:div>
    <w:div w:id="1149636916">
      <w:bodyDiv w:val="1"/>
      <w:marLeft w:val="0"/>
      <w:marRight w:val="0"/>
      <w:marTop w:val="0"/>
      <w:marBottom w:val="0"/>
      <w:divBdr>
        <w:top w:val="none" w:sz="0" w:space="0" w:color="auto"/>
        <w:left w:val="none" w:sz="0" w:space="0" w:color="auto"/>
        <w:bottom w:val="none" w:sz="0" w:space="0" w:color="auto"/>
        <w:right w:val="none" w:sz="0" w:space="0" w:color="auto"/>
      </w:divBdr>
    </w:div>
    <w:div w:id="1463187458">
      <w:bodyDiv w:val="1"/>
      <w:marLeft w:val="0"/>
      <w:marRight w:val="0"/>
      <w:marTop w:val="0"/>
      <w:marBottom w:val="0"/>
      <w:divBdr>
        <w:top w:val="none" w:sz="0" w:space="0" w:color="auto"/>
        <w:left w:val="none" w:sz="0" w:space="0" w:color="auto"/>
        <w:bottom w:val="none" w:sz="0" w:space="0" w:color="auto"/>
        <w:right w:val="none" w:sz="0" w:space="0" w:color="auto"/>
      </w:divBdr>
    </w:div>
    <w:div w:id="1551727800">
      <w:bodyDiv w:val="1"/>
      <w:marLeft w:val="0"/>
      <w:marRight w:val="0"/>
      <w:marTop w:val="0"/>
      <w:marBottom w:val="0"/>
      <w:divBdr>
        <w:top w:val="none" w:sz="0" w:space="0" w:color="auto"/>
        <w:left w:val="none" w:sz="0" w:space="0" w:color="auto"/>
        <w:bottom w:val="none" w:sz="0" w:space="0" w:color="auto"/>
        <w:right w:val="none" w:sz="0" w:space="0" w:color="auto"/>
      </w:divBdr>
    </w:div>
    <w:div w:id="20496412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FA5B2-1C6F-4904-8BC5-B7C1CDDFF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4</cp:revision>
  <dcterms:created xsi:type="dcterms:W3CDTF">2026-04-13T05:01:00Z</dcterms:created>
  <dcterms:modified xsi:type="dcterms:W3CDTF">2026-10-26T17:04:00Z</dcterms:modified>
  <cp:category/>
</cp:coreProperties>
</file>