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Global E-Commerce Sales Dashboard</w:t>
      </w:r>
    </w:p>
    <w:p>
      <w:pPr>
        <w:spacing w:after="240"/>
      </w:pPr>
      <w:r>
        <w:rPr>
          <w:color w:val="5B6573"/>
          <w:sz w:val="24"/>
        </w:rPr>
        <w:t>Project notes, formulas and findings | 2023–2025</w:t>
      </w:r>
    </w:p>
    <w:p>
      <w:pPr>
        <w:pStyle w:val="Heading1"/>
      </w:pPr>
      <w:r>
        <w:t>Project summary</w:t>
      </w:r>
    </w:p>
    <w:p>
      <w:r>
        <w:t>I used Excel to turn 2,000 e-commerce order records into an interactive dashboard. The main result is that sales and profit do not tell the whole story on their own: North America had the strongest regional margin, Clothing &amp; Accessories had the strongest category margin, and margins were lower in the higher discount bands. I checked the source data, added a small set of analysis fields, built PivotTables, and connected the dashboard to slicers so a viewer can explore the results.</w:t>
      </w:r>
    </w:p>
    <w:tbl>
      <w:tblPr>
        <w:tblW w:type="auto" w:w="0"/>
        <w:jc w:val="center"/>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5083"/>
        <w:gridCol w:w="5083"/>
      </w:tblGrid>
      <w:tr>
        <w:trPr>
          <w:tblHeader w:val="true"/>
        </w:trPr>
        <w:tc>
          <w:tcPr>
            <w:tcW w:type="dxa" w:w="3600"/>
            <w:vAlign w:val="center"/>
            <w:tcMar>
              <w:top w:w="90" w:type="dxa"/>
              <w:start w:w="110" w:type="dxa"/>
              <w:bottom w:w="90" w:type="dxa"/>
              <w:end w:w="110" w:type="dxa"/>
            </w:tcMar>
            <w:shd w:fill="17365D"/>
          </w:tcPr>
          <w:p>
            <w:pPr>
              <w:spacing w:after="0" w:before="0" w:line="252" w:lineRule="auto"/>
            </w:pPr>
            <w:r>
              <w:rPr>
                <w:b/>
                <w:color w:val="FFFFFF"/>
                <w:sz w:val="18"/>
              </w:rPr>
            </w:r>
            <w:r>
              <w:rPr>
                <w:rFonts w:ascii="Aptos" w:hAnsi="Aptos"/>
                <w:b/>
                <w:color w:val="FFFFFF"/>
                <w:sz w:val="18"/>
              </w:rPr>
              <w:t>Dashboard measure</w:t>
            </w:r>
          </w:p>
        </w:tc>
        <w:tc>
          <w:tcPr>
            <w:tcW w:type="dxa" w:w="5904"/>
            <w:vAlign w:val="center"/>
            <w:tcMar>
              <w:top w:w="90" w:type="dxa"/>
              <w:start w:w="110" w:type="dxa"/>
              <w:bottom w:w="90" w:type="dxa"/>
              <w:end w:w="110" w:type="dxa"/>
            </w:tcMar>
            <w:shd w:fill="17365D"/>
          </w:tcPr>
          <w:p>
            <w:pPr>
              <w:spacing w:after="0" w:before="0" w:line="252" w:lineRule="auto"/>
            </w:pPr>
            <w:r>
              <w:rPr>
                <w:b/>
                <w:color w:val="FFFFFF"/>
                <w:sz w:val="18"/>
              </w:rPr>
            </w:r>
            <w:r>
              <w:rPr>
                <w:rFonts w:ascii="Aptos" w:hAnsi="Aptos"/>
                <w:b/>
                <w:color w:val="FFFFFF"/>
                <w:sz w:val="18"/>
              </w:rPr>
              <w:t>Result</w:t>
            </w:r>
          </w:p>
        </w:tc>
      </w:tr>
      <w:tr>
        <w:tc>
          <w:tcPr>
            <w:tcW w:type="dxa" w:w="3600"/>
            <w:vAlign w:val="center"/>
            <w:tcMar>
              <w:top w:w="90" w:type="dxa"/>
              <w:start w:w="110" w:type="dxa"/>
              <w:bottom w:w="90" w:type="dxa"/>
              <w:end w:w="110" w:type="dxa"/>
            </w:tcMar>
          </w:tcPr>
          <w:p>
            <w:pPr>
              <w:spacing w:after="0" w:before="0" w:line="252" w:lineRule="auto"/>
            </w:pPr>
            <w:r>
              <w:rPr>
                <w:sz w:val="18"/>
              </w:rPr>
            </w:r>
            <w:r>
              <w:rPr>
                <w:rFonts w:ascii="Aptos" w:hAnsi="Aptos"/>
                <w:b w:val="0"/>
                <w:color w:val="202A35"/>
                <w:sz w:val="18"/>
              </w:rPr>
              <w:t>Total sales</w:t>
            </w:r>
          </w:p>
        </w:tc>
        <w:tc>
          <w:tcPr>
            <w:tcW w:type="dxa" w:w="5904"/>
            <w:vAlign w:val="center"/>
            <w:tcMar>
              <w:top w:w="90" w:type="dxa"/>
              <w:start w:w="110" w:type="dxa"/>
              <w:bottom w:w="90" w:type="dxa"/>
              <w:end w:w="110" w:type="dxa"/>
            </w:tcMar>
          </w:tcPr>
          <w:p>
            <w:pPr>
              <w:spacing w:after="0" w:before="0" w:line="252" w:lineRule="auto"/>
            </w:pPr>
            <w:r>
              <w:rPr>
                <w:sz w:val="18"/>
              </w:rPr>
            </w:r>
            <w:r>
              <w:rPr>
                <w:rFonts w:ascii="Aptos" w:hAnsi="Aptos"/>
                <w:b w:val="0"/>
                <w:color w:val="202A35"/>
                <w:sz w:val="18"/>
              </w:rPr>
              <w:t>$484,559.34</w:t>
            </w:r>
          </w:p>
        </w:tc>
      </w:tr>
      <w:tr>
        <w:tc>
          <w:tcPr>
            <w:tcW w:type="dxa" w:w="3600"/>
            <w:vAlign w:val="center"/>
            <w:tcMar>
              <w:top w:w="90" w:type="dxa"/>
              <w:start w:w="110" w:type="dxa"/>
              <w:bottom w:w="90" w:type="dxa"/>
              <w:end w:w="110" w:type="dxa"/>
            </w:tcMar>
            <w:shd w:fill="F3F6FA"/>
          </w:tcPr>
          <w:p>
            <w:pPr>
              <w:spacing w:after="0" w:before="0" w:line="252" w:lineRule="auto"/>
            </w:pPr>
            <w:r>
              <w:rPr>
                <w:sz w:val="18"/>
              </w:rPr>
            </w:r>
            <w:r>
              <w:rPr>
                <w:rFonts w:ascii="Aptos" w:hAnsi="Aptos"/>
                <w:b w:val="0"/>
                <w:color w:val="202A35"/>
                <w:sz w:val="18"/>
              </w:rPr>
              <w:t>Total profit</w:t>
            </w:r>
          </w:p>
        </w:tc>
        <w:tc>
          <w:tcPr>
            <w:tcW w:type="dxa" w:w="5904"/>
            <w:vAlign w:val="center"/>
            <w:tcMar>
              <w:top w:w="90" w:type="dxa"/>
              <w:start w:w="110" w:type="dxa"/>
              <w:bottom w:w="90" w:type="dxa"/>
              <w:end w:w="110" w:type="dxa"/>
            </w:tcMar>
            <w:shd w:fill="F3F6FA"/>
          </w:tcPr>
          <w:p>
            <w:pPr>
              <w:spacing w:after="0" w:before="0" w:line="252" w:lineRule="auto"/>
            </w:pPr>
            <w:r>
              <w:rPr>
                <w:sz w:val="18"/>
              </w:rPr>
            </w:r>
            <w:r>
              <w:rPr>
                <w:rFonts w:ascii="Aptos" w:hAnsi="Aptos"/>
                <w:b w:val="0"/>
                <w:color w:val="202A35"/>
                <w:sz w:val="18"/>
              </w:rPr>
              <w:t>$158,872.32</w:t>
            </w:r>
          </w:p>
        </w:tc>
      </w:tr>
      <w:tr>
        <w:tc>
          <w:tcPr>
            <w:tcW w:type="dxa" w:w="3600"/>
            <w:vAlign w:val="center"/>
            <w:tcMar>
              <w:top w:w="90" w:type="dxa"/>
              <w:start w:w="110" w:type="dxa"/>
              <w:bottom w:w="90" w:type="dxa"/>
              <w:end w:w="110" w:type="dxa"/>
            </w:tcMar>
          </w:tcPr>
          <w:p>
            <w:pPr>
              <w:spacing w:after="0" w:before="0" w:line="252" w:lineRule="auto"/>
            </w:pPr>
            <w:r>
              <w:rPr>
                <w:sz w:val="18"/>
              </w:rPr>
            </w:r>
            <w:r>
              <w:rPr>
                <w:rFonts w:ascii="Aptos" w:hAnsi="Aptos"/>
                <w:b w:val="0"/>
                <w:color w:val="202A35"/>
                <w:sz w:val="18"/>
              </w:rPr>
              <w:t>Overall profit margin</w:t>
            </w:r>
          </w:p>
        </w:tc>
        <w:tc>
          <w:tcPr>
            <w:tcW w:type="dxa" w:w="5904"/>
            <w:vAlign w:val="center"/>
            <w:tcMar>
              <w:top w:w="90" w:type="dxa"/>
              <w:start w:w="110" w:type="dxa"/>
              <w:bottom w:w="90" w:type="dxa"/>
              <w:end w:w="110" w:type="dxa"/>
            </w:tcMar>
          </w:tcPr>
          <w:p>
            <w:pPr>
              <w:spacing w:after="0" w:before="0" w:line="252" w:lineRule="auto"/>
            </w:pPr>
            <w:r>
              <w:rPr>
                <w:sz w:val="18"/>
              </w:rPr>
            </w:r>
            <w:r>
              <w:rPr>
                <w:rFonts w:ascii="Aptos" w:hAnsi="Aptos"/>
                <w:b w:val="0"/>
                <w:color w:val="202A35"/>
                <w:sz w:val="18"/>
              </w:rPr>
              <w:t>32.79%</w:t>
            </w:r>
          </w:p>
        </w:tc>
      </w:tr>
      <w:tr>
        <w:tc>
          <w:tcPr>
            <w:tcW w:type="dxa" w:w="3600"/>
            <w:vAlign w:val="center"/>
            <w:tcMar>
              <w:top w:w="90" w:type="dxa"/>
              <w:start w:w="110" w:type="dxa"/>
              <w:bottom w:w="90" w:type="dxa"/>
              <w:end w:w="110" w:type="dxa"/>
            </w:tcMar>
            <w:shd w:fill="F3F6FA"/>
          </w:tcPr>
          <w:p>
            <w:pPr>
              <w:spacing w:after="0" w:before="0" w:line="252" w:lineRule="auto"/>
            </w:pPr>
            <w:r>
              <w:rPr>
                <w:sz w:val="18"/>
              </w:rPr>
            </w:r>
            <w:r>
              <w:rPr>
                <w:rFonts w:ascii="Aptos" w:hAnsi="Aptos"/>
                <w:b w:val="0"/>
                <w:color w:val="202A35"/>
                <w:sz w:val="18"/>
              </w:rPr>
              <w:t>Orders</w:t>
            </w:r>
          </w:p>
        </w:tc>
        <w:tc>
          <w:tcPr>
            <w:tcW w:type="dxa" w:w="5904"/>
            <w:vAlign w:val="center"/>
            <w:tcMar>
              <w:top w:w="90" w:type="dxa"/>
              <w:start w:w="110" w:type="dxa"/>
              <w:bottom w:w="90" w:type="dxa"/>
              <w:end w:w="110" w:type="dxa"/>
            </w:tcMar>
            <w:shd w:fill="F3F6FA"/>
          </w:tcPr>
          <w:p>
            <w:pPr>
              <w:spacing w:after="0" w:before="0" w:line="252" w:lineRule="auto"/>
            </w:pPr>
            <w:r>
              <w:rPr>
                <w:sz w:val="18"/>
              </w:rPr>
            </w:r>
            <w:r>
              <w:rPr>
                <w:rFonts w:ascii="Aptos" w:hAnsi="Aptos"/>
                <w:b w:val="0"/>
                <w:color w:val="202A35"/>
                <w:sz w:val="18"/>
              </w:rPr>
              <w:t>2,000</w:t>
            </w:r>
          </w:p>
        </w:tc>
      </w:tr>
    </w:tbl>
    <w:p>
      <w:pPr>
        <w:spacing w:after="20"/>
      </w:pPr>
    </w:p>
    <w:p>
      <w:pPr>
        <w:spacing w:after="100"/>
      </w:pPr>
      <w:r>
        <w:rPr>
          <w:b/>
        </w:rPr>
        <w:t xml:space="preserve">Project question. </w:t>
      </w:r>
      <w:r>
        <w:t>Where are sales and profit coming from, and which parts of the business should be investigated more closely?</w:t>
      </w:r>
    </w:p>
    <w:p>
      <w:pPr>
        <w:pStyle w:val="Heading1"/>
      </w:pPr>
      <w:r>
        <w:t>Dataset and workbook layout</w:t>
      </w:r>
    </w:p>
    <w:p>
      <w:r>
        <w:t>The Kaggle file, global_ecommerce_sales.csv, contains 2,000 records and 15 source fields. The records cover January 2023 through December 2025 and include order dates, customer segments, geography, products, quantity, price, discount, total sales, shipping cost, profit, and payment method. The source data reports financial amounts in USD.</w:t>
      </w:r>
    </w:p>
    <w:p>
      <w:pPr>
        <w:spacing w:after="100"/>
      </w:pPr>
      <w:r>
        <w:rPr>
          <w:b/>
        </w:rPr>
        <w:t xml:space="preserve">Source. </w:t>
      </w:r>
      <w:r>
        <w:t xml:space="preserve">Kaggle, Global E-Commerce Sales &amp; Customer Data. </w:t>
      </w:r>
      <w:r>
        <w:t>https://www.kaggle.com/datasets/muhammadaammartufail/global-e-commerce-sales-and-customer-data</w:t>
      </w:r>
    </w:p>
    <w:tbl>
      <w:tblPr>
        <w:tblW w:type="auto" w:w="0"/>
        <w:jc w:val="center"/>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5083"/>
        <w:gridCol w:w="5083"/>
      </w:tblGrid>
      <w:tr>
        <w:trPr>
          <w:tblHeader w:val="true"/>
        </w:trPr>
        <w:tc>
          <w:tcPr>
            <w:tcW w:type="dxa" w:w="2232"/>
            <w:vAlign w:val="center"/>
            <w:tcMar>
              <w:top w:w="90" w:type="dxa"/>
              <w:start w:w="110" w:type="dxa"/>
              <w:bottom w:w="90" w:type="dxa"/>
              <w:end w:w="110" w:type="dxa"/>
            </w:tcMar>
            <w:shd w:fill="17365D"/>
          </w:tcPr>
          <w:p>
            <w:pPr>
              <w:spacing w:after="0" w:before="0" w:line="252" w:lineRule="auto"/>
            </w:pPr>
            <w:r>
              <w:rPr>
                <w:b/>
                <w:color w:val="FFFFFF"/>
                <w:sz w:val="17"/>
              </w:rPr>
            </w:r>
            <w:r>
              <w:rPr>
                <w:rFonts w:ascii="Aptos" w:hAnsi="Aptos"/>
                <w:b/>
                <w:color w:val="FFFFFF"/>
                <w:sz w:val="17"/>
              </w:rPr>
              <w:t>Worksheet</w:t>
            </w:r>
          </w:p>
        </w:tc>
        <w:tc>
          <w:tcPr>
            <w:tcW w:type="dxa" w:w="7272"/>
            <w:vAlign w:val="center"/>
            <w:tcMar>
              <w:top w:w="90" w:type="dxa"/>
              <w:start w:w="110" w:type="dxa"/>
              <w:bottom w:w="90" w:type="dxa"/>
              <w:end w:w="110" w:type="dxa"/>
            </w:tcMar>
            <w:shd w:fill="17365D"/>
          </w:tcPr>
          <w:p>
            <w:pPr>
              <w:spacing w:after="0" w:before="0" w:line="252" w:lineRule="auto"/>
            </w:pPr>
            <w:r>
              <w:rPr>
                <w:b/>
                <w:color w:val="FFFFFF"/>
                <w:sz w:val="17"/>
              </w:rPr>
            </w:r>
            <w:r>
              <w:rPr>
                <w:rFonts w:ascii="Aptos" w:hAnsi="Aptos"/>
                <w:b/>
                <w:color w:val="FFFFFF"/>
                <w:sz w:val="17"/>
              </w:rPr>
              <w:t>Role in the project</w:t>
            </w:r>
          </w:p>
        </w:tc>
      </w:tr>
      <w:tr>
        <w:tc>
          <w:tcPr>
            <w:tcW w:type="dxa" w:w="2232"/>
            <w:vAlign w:val="center"/>
            <w:tcMar>
              <w:top w:w="90" w:type="dxa"/>
              <w:start w:w="110" w:type="dxa"/>
              <w:bottom w:w="90" w:type="dxa"/>
              <w:end w:w="110" w:type="dxa"/>
            </w:tcMar>
          </w:tcPr>
          <w:p>
            <w:pPr>
              <w:spacing w:after="0" w:before="0" w:line="252" w:lineRule="auto"/>
            </w:pPr>
            <w:r>
              <w:rPr>
                <w:sz w:val="17"/>
              </w:rPr>
            </w:r>
            <w:r>
              <w:rPr>
                <w:rFonts w:ascii="Aptos" w:hAnsi="Aptos"/>
                <w:b w:val="0"/>
                <w:color w:val="202A35"/>
                <w:sz w:val="17"/>
              </w:rPr>
              <w:t>Raw_Data</w:t>
            </w:r>
          </w:p>
        </w:tc>
        <w:tc>
          <w:tcPr>
            <w:tcW w:type="dxa" w:w="7272"/>
            <w:vAlign w:val="center"/>
            <w:tcMar>
              <w:top w:w="90" w:type="dxa"/>
              <w:start w:w="110" w:type="dxa"/>
              <w:bottom w:w="90" w:type="dxa"/>
              <w:end w:w="110" w:type="dxa"/>
            </w:tcMar>
          </w:tcPr>
          <w:p>
            <w:pPr>
              <w:spacing w:after="0" w:before="0" w:line="252" w:lineRule="auto"/>
            </w:pPr>
            <w:r>
              <w:rPr>
                <w:sz w:val="17"/>
              </w:rPr>
            </w:r>
            <w:r>
              <w:rPr>
                <w:rFonts w:ascii="Aptos" w:hAnsi="Aptos"/>
                <w:b w:val="0"/>
                <w:color w:val="202A35"/>
                <w:sz w:val="17"/>
              </w:rPr>
              <w:t>Reference copy of the imported source data.</w:t>
            </w:r>
          </w:p>
        </w:tc>
      </w:tr>
      <w:tr>
        <w:tc>
          <w:tcPr>
            <w:tcW w:type="dxa" w:w="2232"/>
            <w:vAlign w:val="center"/>
            <w:tcMar>
              <w:top w:w="90" w:type="dxa"/>
              <w:start w:w="110" w:type="dxa"/>
              <w:bottom w:w="90" w:type="dxa"/>
              <w:end w:w="110" w:type="dxa"/>
            </w:tcMar>
            <w:shd w:fill="F3F6FA"/>
          </w:tcPr>
          <w:p>
            <w:pPr>
              <w:spacing w:after="0" w:before="0" w:line="252" w:lineRule="auto"/>
            </w:pPr>
            <w:r>
              <w:rPr>
                <w:sz w:val="17"/>
              </w:rPr>
            </w:r>
            <w:r>
              <w:rPr>
                <w:rFonts w:ascii="Aptos" w:hAnsi="Aptos"/>
                <w:b w:val="0"/>
                <w:color w:val="202A35"/>
                <w:sz w:val="17"/>
              </w:rPr>
              <w:t>Clean_Data</w:t>
            </w:r>
          </w:p>
        </w:tc>
        <w:tc>
          <w:tcPr>
            <w:tcW w:type="dxa" w:w="7272"/>
            <w:vAlign w:val="center"/>
            <w:tcMar>
              <w:top w:w="90" w:type="dxa"/>
              <w:start w:w="110" w:type="dxa"/>
              <w:bottom w:w="90" w:type="dxa"/>
              <w:end w:w="110" w:type="dxa"/>
            </w:tcMar>
            <w:shd w:fill="F3F6FA"/>
          </w:tcPr>
          <w:p>
            <w:pPr>
              <w:spacing w:after="0" w:before="0" w:line="252" w:lineRule="auto"/>
            </w:pPr>
            <w:r>
              <w:rPr>
                <w:sz w:val="17"/>
              </w:rPr>
            </w:r>
            <w:r>
              <w:rPr>
                <w:rFonts w:ascii="Aptos" w:hAnsi="Aptos"/>
                <w:b w:val="0"/>
                <w:color w:val="202A35"/>
                <w:sz w:val="17"/>
              </w:rPr>
              <w:t>Working table named tblCleanSales, used for calculated fields and PivotTables.</w:t>
            </w:r>
          </w:p>
        </w:tc>
      </w:tr>
      <w:tr>
        <w:tc>
          <w:tcPr>
            <w:tcW w:type="dxa" w:w="2232"/>
            <w:vAlign w:val="center"/>
            <w:tcMar>
              <w:top w:w="90" w:type="dxa"/>
              <w:start w:w="110" w:type="dxa"/>
              <w:bottom w:w="90" w:type="dxa"/>
              <w:end w:w="110" w:type="dxa"/>
            </w:tcMar>
          </w:tcPr>
          <w:p>
            <w:pPr>
              <w:spacing w:after="0" w:before="0" w:line="252" w:lineRule="auto"/>
            </w:pPr>
            <w:r>
              <w:rPr>
                <w:sz w:val="17"/>
              </w:rPr>
            </w:r>
            <w:r>
              <w:rPr>
                <w:rFonts w:ascii="Aptos" w:hAnsi="Aptos"/>
                <w:b w:val="0"/>
                <w:color w:val="202A35"/>
                <w:sz w:val="17"/>
              </w:rPr>
              <w:t>Data_Quality</w:t>
            </w:r>
          </w:p>
        </w:tc>
        <w:tc>
          <w:tcPr>
            <w:tcW w:type="dxa" w:w="7272"/>
            <w:vAlign w:val="center"/>
            <w:tcMar>
              <w:top w:w="90" w:type="dxa"/>
              <w:start w:w="110" w:type="dxa"/>
              <w:bottom w:w="90" w:type="dxa"/>
              <w:end w:w="110" w:type="dxa"/>
            </w:tcMar>
          </w:tcPr>
          <w:p>
            <w:pPr>
              <w:spacing w:after="0" w:before="0" w:line="252" w:lineRule="auto"/>
            </w:pPr>
            <w:r>
              <w:rPr>
                <w:sz w:val="17"/>
              </w:rPr>
            </w:r>
            <w:r>
              <w:rPr>
                <w:rFonts w:ascii="Aptos" w:hAnsi="Aptos"/>
                <w:b w:val="0"/>
                <w:color w:val="202A35"/>
                <w:sz w:val="17"/>
              </w:rPr>
              <w:t>Checks for blanks, duplicates, data types, ranges, and sales arithmetic.</w:t>
            </w:r>
          </w:p>
        </w:tc>
      </w:tr>
      <w:tr>
        <w:tc>
          <w:tcPr>
            <w:tcW w:type="dxa" w:w="2232"/>
            <w:vAlign w:val="center"/>
            <w:tcMar>
              <w:top w:w="90" w:type="dxa"/>
              <w:start w:w="110" w:type="dxa"/>
              <w:bottom w:w="90" w:type="dxa"/>
              <w:end w:w="110" w:type="dxa"/>
            </w:tcMar>
            <w:shd w:fill="F3F6FA"/>
          </w:tcPr>
          <w:p>
            <w:pPr>
              <w:spacing w:after="0" w:before="0" w:line="252" w:lineRule="auto"/>
            </w:pPr>
            <w:r>
              <w:rPr>
                <w:sz w:val="17"/>
              </w:rPr>
            </w:r>
            <w:r>
              <w:rPr>
                <w:rFonts w:ascii="Aptos" w:hAnsi="Aptos"/>
                <w:b w:val="0"/>
                <w:color w:val="202A35"/>
                <w:sz w:val="17"/>
              </w:rPr>
              <w:t>Analysis</w:t>
            </w:r>
          </w:p>
        </w:tc>
        <w:tc>
          <w:tcPr>
            <w:tcW w:type="dxa" w:w="7272"/>
            <w:vAlign w:val="center"/>
            <w:tcMar>
              <w:top w:w="90" w:type="dxa"/>
              <w:start w:w="110" w:type="dxa"/>
              <w:bottom w:w="90" w:type="dxa"/>
              <w:end w:w="110" w:type="dxa"/>
            </w:tcMar>
            <w:shd w:fill="F3F6FA"/>
          </w:tcPr>
          <w:p>
            <w:pPr>
              <w:spacing w:after="0" w:before="0" w:line="252" w:lineRule="auto"/>
            </w:pPr>
            <w:r>
              <w:rPr>
                <w:sz w:val="17"/>
              </w:rPr>
            </w:r>
            <w:r>
              <w:rPr>
                <w:rFonts w:ascii="Aptos" w:hAnsi="Aptos"/>
                <w:b w:val="0"/>
                <w:color w:val="202A35"/>
                <w:sz w:val="17"/>
              </w:rPr>
              <w:t>PivotTables and supporting calculations for the regional, product, discount, time, and segment comparisons.</w:t>
            </w:r>
          </w:p>
        </w:tc>
      </w:tr>
      <w:tr>
        <w:tc>
          <w:tcPr>
            <w:tcW w:type="dxa" w:w="2232"/>
            <w:vAlign w:val="center"/>
            <w:tcMar>
              <w:top w:w="90" w:type="dxa"/>
              <w:start w:w="110" w:type="dxa"/>
              <w:bottom w:w="90" w:type="dxa"/>
              <w:end w:w="110" w:type="dxa"/>
            </w:tcMar>
          </w:tcPr>
          <w:p>
            <w:pPr>
              <w:spacing w:after="0" w:before="0" w:line="252" w:lineRule="auto"/>
            </w:pPr>
            <w:r>
              <w:rPr>
                <w:sz w:val="17"/>
              </w:rPr>
            </w:r>
            <w:r>
              <w:rPr>
                <w:rFonts w:ascii="Aptos" w:hAnsi="Aptos"/>
                <w:b w:val="0"/>
                <w:color w:val="202A35"/>
                <w:sz w:val="17"/>
              </w:rPr>
              <w:t>Dashboard</w:t>
            </w:r>
          </w:p>
        </w:tc>
        <w:tc>
          <w:tcPr>
            <w:tcW w:type="dxa" w:w="7272"/>
            <w:vAlign w:val="center"/>
            <w:tcMar>
              <w:top w:w="90" w:type="dxa"/>
              <w:start w:w="110" w:type="dxa"/>
              <w:bottom w:w="90" w:type="dxa"/>
              <w:end w:w="110" w:type="dxa"/>
            </w:tcMar>
          </w:tcPr>
          <w:p>
            <w:pPr>
              <w:spacing w:after="0" w:before="0" w:line="252" w:lineRule="auto"/>
            </w:pPr>
            <w:r>
              <w:rPr>
                <w:sz w:val="17"/>
              </w:rPr>
            </w:r>
            <w:r>
              <w:rPr>
                <w:rFonts w:ascii="Aptos" w:hAnsi="Aptos"/>
                <w:b w:val="0"/>
                <w:color w:val="202A35"/>
                <w:sz w:val="17"/>
              </w:rPr>
              <w:t>KPI summary, charts, slicers, and a filtered table of products with negative total profit.</w:t>
            </w:r>
          </w:p>
        </w:tc>
      </w:tr>
      <w:tr>
        <w:tc>
          <w:tcPr>
            <w:tcW w:type="dxa" w:w="2232"/>
            <w:vAlign w:val="center"/>
            <w:tcMar>
              <w:top w:w="90" w:type="dxa"/>
              <w:start w:w="110" w:type="dxa"/>
              <w:bottom w:w="90" w:type="dxa"/>
              <w:end w:w="110" w:type="dxa"/>
            </w:tcMar>
            <w:shd w:fill="F3F6FA"/>
          </w:tcPr>
          <w:p>
            <w:pPr>
              <w:spacing w:after="0" w:before="0" w:line="252" w:lineRule="auto"/>
            </w:pPr>
            <w:r>
              <w:rPr>
                <w:sz w:val="17"/>
              </w:rPr>
            </w:r>
            <w:r>
              <w:rPr>
                <w:rFonts w:ascii="Aptos" w:hAnsi="Aptos"/>
                <w:b w:val="0"/>
                <w:color w:val="202A35"/>
                <w:sz w:val="17"/>
              </w:rPr>
              <w:t>Findings</w:t>
            </w:r>
          </w:p>
        </w:tc>
        <w:tc>
          <w:tcPr>
            <w:tcW w:type="dxa" w:w="7272"/>
            <w:vAlign w:val="center"/>
            <w:tcMar>
              <w:top w:w="90" w:type="dxa"/>
              <w:start w:w="110" w:type="dxa"/>
              <w:bottom w:w="90" w:type="dxa"/>
              <w:end w:w="110" w:type="dxa"/>
            </w:tcMar>
            <w:shd w:fill="F3F6FA"/>
          </w:tcPr>
          <w:p>
            <w:pPr>
              <w:spacing w:after="0" w:before="0" w:line="252" w:lineRule="auto"/>
            </w:pPr>
            <w:r>
              <w:rPr>
                <w:sz w:val="17"/>
              </w:rPr>
            </w:r>
            <w:r>
              <w:rPr>
                <w:rFonts w:ascii="Aptos" w:hAnsi="Aptos"/>
                <w:b w:val="0"/>
                <w:color w:val="202A35"/>
                <w:sz w:val="17"/>
              </w:rPr>
              <w:t>Evidence-based takeaways and recommended follow-up questions.</w:t>
            </w:r>
          </w:p>
        </w:tc>
      </w:tr>
    </w:tbl>
    <w:p>
      <w:pPr>
        <w:spacing w:after="20"/>
      </w:pPr>
    </w:p>
    <w:p>
      <w:pPr>
        <w:pStyle w:val="Heading1"/>
      </w:pPr>
      <w:r>
        <w:t>Data preparation</w:t>
      </w:r>
    </w:p>
    <w:p>
      <w:r>
        <w:t>I kept the imported data as a reference and did the analysis on a working copy. I converted the source range into an Excel Table, then checked the data before changing any values. The checks found no blanks, repeated Order_ID values, or fully duplicated rows. Excel recognized all 2,000 dates and all 2,000 numeric entries in Quantity, Unit_Price, Discount_Percent, Total_Sales, Shipping_Cost, and Profit.</w:t>
      </w:r>
    </w:p>
    <w:p>
      <w:r>
        <w:t>The quantity range was 1 to 15. Discounts ranged from 0 to 30 and appeared in five-point increments. I also checked whether Total_Sales matched Quantity × Unit_Price × (1 − Discount_Percent ÷ 100), allowing one cent for rounding; no mismatches were found. The sales check matters because a mismatched amount could distort every later total and chart.</w:t>
      </w:r>
    </w:p>
    <w:p>
      <w:pPr>
        <w:spacing w:after="100"/>
      </w:pPr>
      <w:r>
        <w:rPr>
          <w:b/>
        </w:rPr>
        <w:t xml:space="preserve">Formatting choices. </w:t>
      </w:r>
      <w:r>
        <w:t>Order_Date was displayed as a short date, Quantity as a whole number, and the price, sales, shipping, and profit fields as currency. Discount_Percent was displayed with the custom format 0"%". That format adds a percent sign to stored values such as 5 without turning them into 500%.</w:t>
      </w:r>
    </w:p>
    <w:p>
      <w:pPr>
        <w:pStyle w:val="Heading1"/>
      </w:pPr>
      <w:r>
        <w:t>Formula guide</w:t>
      </w:r>
    </w:p>
    <w:p>
      <w:r>
        <w:t>The formulas below either test the source data or create fields needed for analysis. In the validation formulas, tblSales is the original imported table; tblCleanSales is the working table. The formulas were entered in Excel and filled down where they create a table column.</w:t>
      </w:r>
    </w:p>
    <w:p>
      <w:pPr>
        <w:pStyle w:val="Heading2"/>
      </w:pPr>
      <w:r>
        <w:t>Quality-check formulas</w:t>
      </w:r>
    </w:p>
    <w:p>
      <w:pPr>
        <w:spacing w:before="20" w:after="80" w:line="240" w:lineRule="auto"/>
        <w:ind w:left="230" w:right="144"/>
        <w:shd w:fill="F3F6FA"/>
      </w:pPr>
      <w:r>
        <w:rPr>
          <w:rFonts w:ascii="Consolas" w:hAnsi="Consolas"/>
          <w:color w:val="202A35"/>
          <w:sz w:val="16"/>
        </w:rPr>
        <w:t>=COUNTBLANK(tblSales[Order_ID])</w:t>
      </w:r>
    </w:p>
    <w:p>
      <w:pPr>
        <w:spacing w:after="100"/>
        <w:ind w:left="230"/>
      </w:pPr>
      <w:r>
        <w:t>Repeated for each source field. A result of zero means that field has no blank cells.</w:t>
      </w:r>
    </w:p>
    <w:p>
      <w:pPr>
        <w:spacing w:before="20" w:after="80" w:line="240" w:lineRule="auto"/>
        <w:ind w:left="230" w:right="144"/>
        <w:shd w:fill="F3F6FA"/>
      </w:pPr>
      <w:r>
        <w:rPr>
          <w:rFonts w:ascii="Consolas" w:hAnsi="Consolas"/>
          <w:color w:val="202A35"/>
          <w:sz w:val="16"/>
        </w:rPr>
        <w:t>=SUMPRODUCT(--(COUNTIF(tblSales[Order_ID],tblSales[Order_ID])&gt;1))</w:t>
      </w:r>
    </w:p>
    <w:p>
      <w:pPr>
        <w:spacing w:after="100"/>
        <w:ind w:left="230"/>
      </w:pPr>
      <w:r>
        <w:t>Counts the rows whose Order_ID appears more than once. The result was zero.</w:t>
      </w:r>
    </w:p>
    <w:p>
      <w:pPr>
        <w:spacing w:before="20" w:after="80" w:line="240" w:lineRule="auto"/>
        <w:ind w:left="230" w:right="144"/>
        <w:shd w:fill="F3F6FA"/>
      </w:pPr>
      <w:r>
        <w:rPr>
          <w:rFonts w:ascii="Consolas" w:hAnsi="Consolas"/>
          <w:color w:val="202A35"/>
          <w:sz w:val="16"/>
        </w:rPr>
        <w:t>=ROWS(tblSales[Order_ID])</w:t>
      </w:r>
    </w:p>
    <w:p>
      <w:pPr>
        <w:spacing w:after="100"/>
        <w:ind w:left="230"/>
      </w:pPr>
      <w:r>
        <w:t>Counts the records in the table. This returned 2,000.</w:t>
      </w:r>
    </w:p>
    <w:p>
      <w:pPr>
        <w:spacing w:before="20" w:after="80" w:line="240" w:lineRule="auto"/>
        <w:ind w:left="230" w:right="144"/>
        <w:shd w:fill="F3F6FA"/>
      </w:pPr>
      <w:r>
        <w:rPr>
          <w:rFonts w:ascii="Consolas" w:hAnsi="Consolas"/>
          <w:color w:val="202A35"/>
          <w:sz w:val="16"/>
        </w:rPr>
        <w:t>=COUNT(tblSales[Order_Date])</w:t>
      </w:r>
    </w:p>
    <w:p>
      <w:pPr>
        <w:spacing w:after="100"/>
        <w:ind w:left="230"/>
      </w:pPr>
      <w:r>
        <w:t>Counts date values Excel recognizes as numeric dates. This returned 2,000.</w:t>
      </w:r>
    </w:p>
    <w:p>
      <w:pPr>
        <w:spacing w:before="20" w:after="80" w:line="240" w:lineRule="auto"/>
        <w:ind w:left="230" w:right="144"/>
        <w:shd w:fill="F3F6FA"/>
      </w:pPr>
      <w:r>
        <w:rPr>
          <w:rFonts w:ascii="Consolas" w:hAnsi="Consolas"/>
          <w:color w:val="202A35"/>
          <w:sz w:val="16"/>
        </w:rPr>
        <w:t>=COUNT(tblSales[Quantity])</w:t>
      </w:r>
    </w:p>
    <w:p>
      <w:pPr>
        <w:spacing w:after="100"/>
        <w:ind w:left="230"/>
      </w:pPr>
      <w:r>
        <w:t>Repeated for Unit_Price, Discount_Percent, Total_Sales, Shipping_Cost, and Profit. Each returned 2,000 numeric values.</w:t>
      </w:r>
    </w:p>
    <w:p>
      <w:pPr>
        <w:spacing w:before="20" w:after="80" w:line="240" w:lineRule="auto"/>
        <w:ind w:left="230" w:right="144"/>
        <w:shd w:fill="F3F6FA"/>
      </w:pPr>
      <w:r>
        <w:rPr>
          <w:rFonts w:ascii="Consolas" w:hAnsi="Consolas"/>
          <w:color w:val="202A35"/>
          <w:sz w:val="16"/>
        </w:rPr>
        <w:t>=MIN(tblSales[Quantity])    =MAX(tblSales[Quantity])</w:t>
      </w:r>
    </w:p>
    <w:p>
      <w:pPr>
        <w:spacing w:after="100"/>
        <w:ind w:left="230"/>
      </w:pPr>
      <w:r>
        <w:t>Checks the smallest and largest quantities. The observed range was 1 to 15. The same MIN and MAX approach checked discounts, which ranged from 0 to 30.</w:t>
      </w:r>
    </w:p>
    <w:p>
      <w:pPr>
        <w:spacing w:before="20" w:after="80" w:line="240" w:lineRule="auto"/>
        <w:ind w:left="230" w:right="144"/>
        <w:shd w:fill="F3F6FA"/>
      </w:pPr>
      <w:r>
        <w:rPr>
          <w:rFonts w:ascii="Consolas" w:hAnsi="Consolas"/>
          <w:color w:val="202A35"/>
          <w:sz w:val="16"/>
        </w:rPr>
        <w:t>=SUMPRODUCT(--(ABS(tblSales[Total_Sales]-(tblSales[Quantity]*tblSales[Unit_Price]*(1-tblSales[Discount_Percent]/100)))&gt;0.01))</w:t>
      </w:r>
    </w:p>
    <w:p>
      <w:pPr>
        <w:spacing w:after="100"/>
        <w:ind w:left="230"/>
      </w:pPr>
      <w:r>
        <w:t>Counts rows where calculated sales differs from recorded sales by more than $0.01. The result was zero.</w:t>
      </w:r>
    </w:p>
    <w:p>
      <w:r>
        <w:t>The exact duplicate-row check compared all 15 fields at once. It returned zero:</w:t>
      </w:r>
    </w:p>
    <w:p>
      <w:pPr>
        <w:spacing w:before="20" w:after="80" w:line="240" w:lineRule="auto"/>
        <w:ind w:left="230" w:right="144"/>
        <w:shd w:fill="F3F6FA"/>
      </w:pPr>
      <w:r>
        <w:rPr>
          <w:rFonts w:ascii="Consolas" w:hAnsi="Consolas"/>
          <w:color w:val="202A35"/>
          <w:sz w:val="16"/>
        </w:rPr>
        <w:t>=SUMPRODUCT(--(COUNTIFS(tblSales[Order_ID],tblSales[Order_ID],tblSales[Order_Date],tblSales[Order_Date],tblSales[Customer_Name],tblSales[Customer_Name],tblSales[Customer_Segment],tblSales[Customer_Segment],tblSales[Country],tblSales[Country],tblSales[Region],tblSales[Region],tblSales[Product_Category],tblSales[Product_Category],tblSales[Product_Name],tblSales[Product_Name],tblSales[Quantity],tblSales[Quantity],tblSales[Unit_Price],tblSales[Unit_Price],tblSales[Discount_Percent],tblSales[Discount_Percent],tblSales[Total_Sales],tblSales[Total_Sales],tblSales[Shipping_Cost],tblSales[Shipping_Cost],tblSales[Profit],tblSales[Profit],tblSales[Payment_Method],tblSales[Payment_Method])&gt;1))</w:t>
      </w:r>
    </w:p>
    <w:p>
      <w:pPr>
        <w:spacing w:after="100"/>
        <w:ind w:left="230"/>
      </w:pPr>
      <w:r>
        <w:t>Each field is compared with itself across the table; rows matching on all 15 fields are counted as exact duplicates.</w:t>
      </w:r>
    </w:p>
    <w:p>
      <w:pPr>
        <w:pStyle w:val="Heading2"/>
      </w:pPr>
      <w:r>
        <w:t>Calculated columns</w:t>
      </w:r>
    </w:p>
    <w:tbl>
      <w:tblPr>
        <w:tblW w:type="auto" w:w="0"/>
        <w:jc w:val="center"/>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3389"/>
        <w:gridCol w:w="3389"/>
        <w:gridCol w:w="3389"/>
      </w:tblGrid>
      <w:tr>
        <w:trPr>
          <w:tblHeader w:val="true"/>
        </w:trPr>
        <w:tc>
          <w:tcPr>
            <w:tcW w:type="dxa" w:w="1512"/>
            <w:vAlign w:val="center"/>
            <w:tcMar>
              <w:top w:w="90" w:type="dxa"/>
              <w:start w:w="110" w:type="dxa"/>
              <w:bottom w:w="90" w:type="dxa"/>
              <w:end w:w="110" w:type="dxa"/>
            </w:tcMar>
            <w:shd w:fill="17365D"/>
          </w:tcPr>
          <w:p>
            <w:pPr>
              <w:spacing w:after="0" w:before="0" w:line="252" w:lineRule="auto"/>
            </w:pPr>
            <w:r>
              <w:rPr>
                <w:b/>
                <w:color w:val="FFFFFF"/>
                <w:sz w:val="16"/>
              </w:rPr>
            </w:r>
            <w:r>
              <w:rPr>
                <w:rFonts w:ascii="Aptos" w:hAnsi="Aptos"/>
                <w:b/>
                <w:color w:val="FFFFFF"/>
                <w:sz w:val="16"/>
              </w:rPr>
              <w:t>Column</w:t>
            </w:r>
          </w:p>
        </w:tc>
        <w:tc>
          <w:tcPr>
            <w:tcW w:type="dxa" w:w="3960"/>
            <w:vAlign w:val="center"/>
            <w:tcMar>
              <w:top w:w="90" w:type="dxa"/>
              <w:start w:w="110" w:type="dxa"/>
              <w:bottom w:w="90" w:type="dxa"/>
              <w:end w:w="110" w:type="dxa"/>
            </w:tcMar>
            <w:shd w:fill="17365D"/>
          </w:tcPr>
          <w:p>
            <w:pPr>
              <w:spacing w:after="0" w:before="0" w:line="252" w:lineRule="auto"/>
            </w:pPr>
            <w:r>
              <w:rPr>
                <w:b/>
                <w:color w:val="FFFFFF"/>
                <w:sz w:val="16"/>
              </w:rPr>
            </w:r>
            <w:r>
              <w:rPr>
                <w:rFonts w:ascii="Aptos" w:hAnsi="Aptos"/>
                <w:b/>
                <w:color w:val="FFFFFF"/>
                <w:sz w:val="16"/>
              </w:rPr>
              <w:t>Formula in the first data row</w:t>
            </w:r>
          </w:p>
        </w:tc>
        <w:tc>
          <w:tcPr>
            <w:tcW w:type="dxa" w:w="4032"/>
            <w:vAlign w:val="center"/>
            <w:tcMar>
              <w:top w:w="90" w:type="dxa"/>
              <w:start w:w="110" w:type="dxa"/>
              <w:bottom w:w="90" w:type="dxa"/>
              <w:end w:w="110" w:type="dxa"/>
            </w:tcMar>
            <w:shd w:fill="17365D"/>
          </w:tcPr>
          <w:p>
            <w:pPr>
              <w:spacing w:after="0" w:before="0" w:line="252" w:lineRule="auto"/>
            </w:pPr>
            <w:r>
              <w:rPr>
                <w:b/>
                <w:color w:val="FFFFFF"/>
                <w:sz w:val="16"/>
              </w:rPr>
            </w:r>
            <w:r>
              <w:rPr>
                <w:rFonts w:ascii="Aptos" w:hAnsi="Aptos"/>
                <w:b/>
                <w:color w:val="FFFFFF"/>
                <w:sz w:val="16"/>
              </w:rPr>
              <w:t>What it means</w:t>
            </w:r>
          </w:p>
        </w:tc>
      </w:tr>
      <w:tr>
        <w:tc>
          <w:tcPr>
            <w:tcW w:type="dxa" w:w="1512"/>
            <w:vAlign w:val="center"/>
            <w:tcMar>
              <w:top w:w="90" w:type="dxa"/>
              <w:start w:w="110" w:type="dxa"/>
              <w:bottom w:w="90" w:type="dxa"/>
              <w:end w:w="110" w:type="dxa"/>
            </w:tcMar>
          </w:tcPr>
          <w:p>
            <w:pPr>
              <w:spacing w:after="0" w:before="0" w:line="252" w:lineRule="auto"/>
            </w:pPr>
            <w:r>
              <w:rPr>
                <w:sz w:val="16"/>
              </w:rPr>
            </w:r>
            <w:r>
              <w:rPr>
                <w:rFonts w:ascii="Aptos" w:hAnsi="Aptos"/>
                <w:b w:val="0"/>
                <w:color w:val="202A35"/>
                <w:sz w:val="16"/>
              </w:rPr>
              <w:t>Year</w:t>
            </w:r>
          </w:p>
        </w:tc>
        <w:tc>
          <w:tcPr>
            <w:tcW w:type="dxa" w:w="3960"/>
            <w:vAlign w:val="center"/>
            <w:tcMar>
              <w:top w:w="90" w:type="dxa"/>
              <w:start w:w="110" w:type="dxa"/>
              <w:bottom w:w="90" w:type="dxa"/>
              <w:end w:w="110" w:type="dxa"/>
            </w:tcMar>
          </w:tcPr>
          <w:p>
            <w:pPr>
              <w:spacing w:after="0" w:before="0" w:line="252" w:lineRule="auto"/>
            </w:pPr>
            <w:r>
              <w:rPr>
                <w:sz w:val="16"/>
              </w:rPr>
            </w:r>
            <w:r>
              <w:rPr>
                <w:rFonts w:ascii="Aptos" w:hAnsi="Aptos"/>
                <w:b w:val="0"/>
                <w:color w:val="202A35"/>
                <w:sz w:val="16"/>
              </w:rPr>
              <w:t>=YEAR(B2)</w:t>
            </w:r>
          </w:p>
        </w:tc>
        <w:tc>
          <w:tcPr>
            <w:tcW w:type="dxa" w:w="4032"/>
            <w:vAlign w:val="center"/>
            <w:tcMar>
              <w:top w:w="90" w:type="dxa"/>
              <w:start w:w="110" w:type="dxa"/>
              <w:bottom w:w="90" w:type="dxa"/>
              <w:end w:w="110" w:type="dxa"/>
            </w:tcMar>
          </w:tcPr>
          <w:p>
            <w:pPr>
              <w:spacing w:after="0" w:before="0" w:line="252" w:lineRule="auto"/>
            </w:pPr>
            <w:r>
              <w:rPr>
                <w:sz w:val="16"/>
              </w:rPr>
            </w:r>
            <w:r>
              <w:rPr>
                <w:rFonts w:ascii="Aptos" w:hAnsi="Aptos"/>
                <w:b w:val="0"/>
                <w:color w:val="202A35"/>
                <w:sz w:val="16"/>
              </w:rPr>
              <w:t>Takes the year from Order_Date for annual comparisons and the Year slicer.</w:t>
            </w:r>
          </w:p>
        </w:tc>
      </w:tr>
      <w:tr>
        <w:tc>
          <w:tcPr>
            <w:tcW w:type="dxa" w:w="1512"/>
            <w:vAlign w:val="center"/>
            <w:tcMar>
              <w:top w:w="90" w:type="dxa"/>
              <w:start w:w="110" w:type="dxa"/>
              <w:bottom w:w="90" w:type="dxa"/>
              <w:end w:w="110" w:type="dxa"/>
            </w:tcMar>
            <w:shd w:fill="F3F6FA"/>
          </w:tcPr>
          <w:p>
            <w:pPr>
              <w:spacing w:after="0" w:before="0" w:line="252" w:lineRule="auto"/>
            </w:pPr>
            <w:r>
              <w:rPr>
                <w:sz w:val="16"/>
              </w:rPr>
            </w:r>
            <w:r>
              <w:rPr>
                <w:rFonts w:ascii="Aptos" w:hAnsi="Aptos"/>
                <w:b w:val="0"/>
                <w:color w:val="202A35"/>
                <w:sz w:val="16"/>
              </w:rPr>
              <w:t>Month_Start</w:t>
            </w:r>
          </w:p>
        </w:tc>
        <w:tc>
          <w:tcPr>
            <w:tcW w:type="dxa" w:w="3960"/>
            <w:vAlign w:val="center"/>
            <w:tcMar>
              <w:top w:w="90" w:type="dxa"/>
              <w:start w:w="110" w:type="dxa"/>
              <w:bottom w:w="90" w:type="dxa"/>
              <w:end w:w="110" w:type="dxa"/>
            </w:tcMar>
            <w:shd w:fill="F3F6FA"/>
          </w:tcPr>
          <w:p>
            <w:pPr>
              <w:spacing w:after="0" w:before="0" w:line="252" w:lineRule="auto"/>
            </w:pPr>
            <w:r>
              <w:rPr>
                <w:sz w:val="16"/>
              </w:rPr>
            </w:r>
            <w:r>
              <w:rPr>
                <w:rFonts w:ascii="Aptos" w:hAnsi="Aptos"/>
                <w:b w:val="0"/>
                <w:color w:val="202A35"/>
                <w:sz w:val="16"/>
              </w:rPr>
              <w:t>=DATE(YEAR(B2),MONTH(B2),1)</w:t>
            </w:r>
          </w:p>
        </w:tc>
        <w:tc>
          <w:tcPr>
            <w:tcW w:type="dxa" w:w="4032"/>
            <w:vAlign w:val="center"/>
            <w:tcMar>
              <w:top w:w="90" w:type="dxa"/>
              <w:start w:w="110" w:type="dxa"/>
              <w:bottom w:w="90" w:type="dxa"/>
              <w:end w:w="110" w:type="dxa"/>
            </w:tcMar>
            <w:shd w:fill="F3F6FA"/>
          </w:tcPr>
          <w:p>
            <w:pPr>
              <w:spacing w:after="0" w:before="0" w:line="252" w:lineRule="auto"/>
            </w:pPr>
            <w:r>
              <w:rPr>
                <w:sz w:val="16"/>
              </w:rPr>
            </w:r>
            <w:r>
              <w:rPr>
                <w:rFonts w:ascii="Aptos" w:hAnsi="Aptos"/>
                <w:b w:val="0"/>
                <w:color w:val="202A35"/>
                <w:sz w:val="16"/>
              </w:rPr>
              <w:t>Creates a true date for the first day of each month. It sorts chronologically and is displayed as mmm yyyy.</w:t>
            </w:r>
          </w:p>
        </w:tc>
      </w:tr>
      <w:tr>
        <w:tc>
          <w:tcPr>
            <w:tcW w:type="dxa" w:w="1512"/>
            <w:vAlign w:val="center"/>
            <w:tcMar>
              <w:top w:w="90" w:type="dxa"/>
              <w:start w:w="110" w:type="dxa"/>
              <w:bottom w:w="90" w:type="dxa"/>
              <w:end w:w="110" w:type="dxa"/>
            </w:tcMar>
          </w:tcPr>
          <w:p>
            <w:pPr>
              <w:spacing w:after="0" w:before="0" w:line="252" w:lineRule="auto"/>
            </w:pPr>
            <w:r>
              <w:rPr>
                <w:sz w:val="16"/>
              </w:rPr>
            </w:r>
            <w:r>
              <w:rPr>
                <w:rFonts w:ascii="Aptos" w:hAnsi="Aptos"/>
                <w:b w:val="0"/>
                <w:color w:val="202A35"/>
                <w:sz w:val="16"/>
              </w:rPr>
              <w:t>Profit_Margin</w:t>
            </w:r>
          </w:p>
        </w:tc>
        <w:tc>
          <w:tcPr>
            <w:tcW w:type="dxa" w:w="3960"/>
            <w:vAlign w:val="center"/>
            <w:tcMar>
              <w:top w:w="90" w:type="dxa"/>
              <w:start w:w="110" w:type="dxa"/>
              <w:bottom w:w="90" w:type="dxa"/>
              <w:end w:w="110" w:type="dxa"/>
            </w:tcMar>
          </w:tcPr>
          <w:p>
            <w:pPr>
              <w:spacing w:after="0" w:before="0" w:line="252" w:lineRule="auto"/>
            </w:pPr>
            <w:r>
              <w:rPr>
                <w:sz w:val="16"/>
              </w:rPr>
            </w:r>
            <w:r>
              <w:rPr>
                <w:rFonts w:ascii="Aptos" w:hAnsi="Aptos"/>
                <w:b w:val="0"/>
                <w:color w:val="202A35"/>
                <w:sz w:val="16"/>
              </w:rPr>
              <w:t>=IFERROR(N2/L2,0)</w:t>
            </w:r>
          </w:p>
        </w:tc>
        <w:tc>
          <w:tcPr>
            <w:tcW w:type="dxa" w:w="4032"/>
            <w:vAlign w:val="center"/>
            <w:tcMar>
              <w:top w:w="90" w:type="dxa"/>
              <w:start w:w="110" w:type="dxa"/>
              <w:bottom w:w="90" w:type="dxa"/>
              <w:end w:w="110" w:type="dxa"/>
            </w:tcMar>
          </w:tcPr>
          <w:p>
            <w:pPr>
              <w:spacing w:after="0" w:before="0" w:line="252" w:lineRule="auto"/>
            </w:pPr>
            <w:r>
              <w:rPr>
                <w:sz w:val="16"/>
              </w:rPr>
            </w:r>
            <w:r>
              <w:rPr>
                <w:rFonts w:ascii="Aptos" w:hAnsi="Aptos"/>
                <w:b w:val="0"/>
                <w:color w:val="202A35"/>
                <w:sz w:val="16"/>
              </w:rPr>
              <w:t>Divides row profit by row sales. IFERROR prevents a divide-by-zero error.</w:t>
            </w:r>
          </w:p>
        </w:tc>
      </w:tr>
      <w:tr>
        <w:tc>
          <w:tcPr>
            <w:tcW w:type="dxa" w:w="1512"/>
            <w:vAlign w:val="center"/>
            <w:tcMar>
              <w:top w:w="90" w:type="dxa"/>
              <w:start w:w="110" w:type="dxa"/>
              <w:bottom w:w="90" w:type="dxa"/>
              <w:end w:w="110" w:type="dxa"/>
            </w:tcMar>
            <w:shd w:fill="F3F6FA"/>
          </w:tcPr>
          <w:p>
            <w:pPr>
              <w:spacing w:after="0" w:before="0" w:line="252" w:lineRule="auto"/>
            </w:pPr>
            <w:r>
              <w:rPr>
                <w:sz w:val="16"/>
              </w:rPr>
            </w:r>
            <w:r>
              <w:rPr>
                <w:rFonts w:ascii="Aptos" w:hAnsi="Aptos"/>
                <w:b w:val="0"/>
                <w:color w:val="202A35"/>
                <w:sz w:val="16"/>
              </w:rPr>
              <w:t>Profit_Status</w:t>
            </w:r>
          </w:p>
        </w:tc>
        <w:tc>
          <w:tcPr>
            <w:tcW w:type="dxa" w:w="3960"/>
            <w:vAlign w:val="center"/>
            <w:tcMar>
              <w:top w:w="90" w:type="dxa"/>
              <w:start w:w="110" w:type="dxa"/>
              <w:bottom w:w="90" w:type="dxa"/>
              <w:end w:w="110" w:type="dxa"/>
            </w:tcMar>
            <w:shd w:fill="F3F6FA"/>
          </w:tcPr>
          <w:p>
            <w:pPr>
              <w:spacing w:after="0" w:before="0" w:line="252" w:lineRule="auto"/>
            </w:pPr>
            <w:r>
              <w:rPr>
                <w:sz w:val="16"/>
              </w:rPr>
            </w:r>
            <w:r>
              <w:rPr>
                <w:rFonts w:ascii="Aptos" w:hAnsi="Aptos"/>
                <w:b w:val="0"/>
                <w:color w:val="202A35"/>
                <w:sz w:val="16"/>
              </w:rPr>
              <w:t>=IF(N2&lt;0,"Loss",IF(N2=0,"Break-even","Profit"))</w:t>
            </w:r>
          </w:p>
        </w:tc>
        <w:tc>
          <w:tcPr>
            <w:tcW w:type="dxa" w:w="4032"/>
            <w:vAlign w:val="center"/>
            <w:tcMar>
              <w:top w:w="90" w:type="dxa"/>
              <w:start w:w="110" w:type="dxa"/>
              <w:bottom w:w="90" w:type="dxa"/>
              <w:end w:w="110" w:type="dxa"/>
            </w:tcMar>
            <w:shd w:fill="F3F6FA"/>
          </w:tcPr>
          <w:p>
            <w:pPr>
              <w:spacing w:after="0" w:before="0" w:line="252" w:lineRule="auto"/>
            </w:pPr>
            <w:r>
              <w:rPr>
                <w:sz w:val="16"/>
              </w:rPr>
            </w:r>
            <w:r>
              <w:rPr>
                <w:rFonts w:ascii="Aptos" w:hAnsi="Aptos"/>
                <w:b w:val="0"/>
                <w:color w:val="202A35"/>
                <w:sz w:val="16"/>
              </w:rPr>
              <w:t>Labels each order by whether its profit is negative, zero, or positive.</w:t>
            </w:r>
          </w:p>
        </w:tc>
      </w:tr>
      <w:tr>
        <w:tc>
          <w:tcPr>
            <w:tcW w:type="dxa" w:w="1512"/>
            <w:vAlign w:val="center"/>
            <w:tcMar>
              <w:top w:w="90" w:type="dxa"/>
              <w:start w:w="110" w:type="dxa"/>
              <w:bottom w:w="90" w:type="dxa"/>
              <w:end w:w="110" w:type="dxa"/>
            </w:tcMar>
          </w:tcPr>
          <w:p>
            <w:pPr>
              <w:spacing w:after="0" w:before="0" w:line="252" w:lineRule="auto"/>
            </w:pPr>
            <w:r>
              <w:rPr>
                <w:sz w:val="16"/>
              </w:rPr>
            </w:r>
            <w:r>
              <w:rPr>
                <w:rFonts w:ascii="Aptos" w:hAnsi="Aptos"/>
                <w:b w:val="0"/>
                <w:color w:val="202A35"/>
                <w:sz w:val="16"/>
              </w:rPr>
              <w:t>Discount_Band</w:t>
            </w:r>
          </w:p>
        </w:tc>
        <w:tc>
          <w:tcPr>
            <w:tcW w:type="dxa" w:w="3960"/>
            <w:vAlign w:val="center"/>
            <w:tcMar>
              <w:top w:w="90" w:type="dxa"/>
              <w:start w:w="110" w:type="dxa"/>
              <w:bottom w:w="90" w:type="dxa"/>
              <w:end w:w="110" w:type="dxa"/>
            </w:tcMar>
          </w:tcPr>
          <w:p>
            <w:pPr>
              <w:spacing w:after="0" w:before="0" w:line="252" w:lineRule="auto"/>
            </w:pPr>
            <w:r>
              <w:rPr>
                <w:sz w:val="16"/>
              </w:rPr>
            </w:r>
            <w:r>
              <w:rPr>
                <w:rFonts w:ascii="Aptos" w:hAnsi="Aptos"/>
                <w:b w:val="0"/>
                <w:color w:val="202A35"/>
                <w:sz w:val="16"/>
              </w:rPr>
              <w:t>=IF(K2=0,"No Discount",IF(K2&lt;=10,"1-10%",IF(K2&lt;=20,"11-20%","21-30%")))</w:t>
            </w:r>
          </w:p>
        </w:tc>
        <w:tc>
          <w:tcPr>
            <w:tcW w:type="dxa" w:w="4032"/>
            <w:vAlign w:val="center"/>
            <w:tcMar>
              <w:top w:w="90" w:type="dxa"/>
              <w:start w:w="110" w:type="dxa"/>
              <w:bottom w:w="90" w:type="dxa"/>
              <w:end w:w="110" w:type="dxa"/>
            </w:tcMar>
          </w:tcPr>
          <w:p>
            <w:pPr>
              <w:spacing w:after="0" w:before="0" w:line="252" w:lineRule="auto"/>
            </w:pPr>
            <w:r>
              <w:rPr>
                <w:sz w:val="16"/>
              </w:rPr>
            </w:r>
            <w:r>
              <w:rPr>
                <w:rFonts w:ascii="Aptos" w:hAnsi="Aptos"/>
                <w:b w:val="0"/>
                <w:color w:val="202A35"/>
                <w:sz w:val="16"/>
              </w:rPr>
              <w:t>Groups discounts so margins can be compared across four levels.</w:t>
            </w:r>
          </w:p>
        </w:tc>
      </w:tr>
    </w:tbl>
    <w:p>
      <w:pPr>
        <w:spacing w:after="20"/>
      </w:pPr>
    </w:p>
    <w:p>
      <w:r>
        <w:t>The source columns are in this order: Order_Date is B, Discount_Percent is K, Total_Sales is L, and Profit is N. The first table-row formulas therefore use those cell references. Profit_Margin returns a decimal ratio, so regular Percentage formatting is correct for that field. This differs from Discount_Percent, which is stored as a whole number.</w:t>
      </w:r>
    </w:p>
    <w:p>
      <w:pPr>
        <w:pStyle w:val="Heading2"/>
      </w:pPr>
      <w:r>
        <w:t>PivotTable margins</w:t>
      </w:r>
    </w:p>
    <w:p>
      <w:r>
        <w:t>For every grouped comparison, I calculated overall margin as Sum of Profit divided by Sum of Total_Sales. For example, if sales is in B4 and profit is in C4, the formula is =C4/B4. I did not use Average of the row-level Profit_Margin field: that would give a small order and a large order equal weight, which can misstate the group’s overall margin.</w:t>
      </w:r>
    </w:p>
    <w:p>
      <w:pPr>
        <w:spacing w:before="20" w:after="80" w:line="240" w:lineRule="auto"/>
        <w:ind w:left="230" w:right="144"/>
        <w:shd w:fill="F3F6FA"/>
      </w:pPr>
      <w:r>
        <w:rPr>
          <w:rFonts w:ascii="Consolas" w:hAnsi="Consolas"/>
          <w:color w:val="202A35"/>
          <w:sz w:val="16"/>
        </w:rPr>
        <w:t>=Total Profit / Total Sales</w:t>
      </w:r>
    </w:p>
    <w:p>
      <w:pPr>
        <w:spacing w:after="100"/>
        <w:ind w:left="230"/>
      </w:pPr>
      <w:r>
        <w:t>Used for the region, category, discount-band, product, customer-segment, and overall KPI margins. The overall result was 32.79%.</w:t>
      </w:r>
    </w:p>
    <w:p>
      <w:pPr>
        <w:pStyle w:val="Heading1"/>
      </w:pPr>
      <w:r>
        <w:t>Dashboard and interactivity</w:t>
      </w:r>
    </w:p>
    <w:p>
      <w:r>
        <w:t>The dashboard places four headline measures above the analysis: Total Sales, Total Profit, Orders, and Profit Margin. The four slicers filter by Year, Region, Product_Category, and Customer_Segment. I tested the Year slicer against the 2023 PivotTable totals: sales changed to $164,443.45 and profit to $53,153.74.</w:t>
      </w:r>
    </w:p>
    <w:p>
      <w:pPr>
        <w:pStyle w:val="ListBullet"/>
        <w:spacing w:after="60"/>
      </w:pPr>
      <w:r>
        <w:t>A clustered column chart compares sales and profit by region.</w:t>
      </w:r>
    </w:p>
    <w:p>
      <w:pPr>
        <w:pStyle w:val="ListBullet"/>
        <w:spacing w:after="60"/>
      </w:pPr>
      <w:r>
        <w:t>A line chart shows monthly sales and profit from January 2023 to December 2025.</w:t>
      </w:r>
    </w:p>
    <w:p>
      <w:pPr>
        <w:pStyle w:val="ListBullet"/>
        <w:spacing w:after="60"/>
      </w:pPr>
      <w:r>
        <w:t>A horizontal bar chart compares sales and profit by product category.</w:t>
      </w:r>
    </w:p>
    <w:p>
      <w:pPr>
        <w:pStyle w:val="ListBullet"/>
        <w:spacing w:after="60"/>
      </w:pPr>
      <w:r>
        <w:t>A percentage chart compares profit margin across discount bands. Its helper range links to the discount PivotTable so it changes with connected slicers.</w:t>
      </w:r>
    </w:p>
    <w:p>
      <w:pPr>
        <w:pStyle w:val="ListBullet"/>
        <w:spacing w:after="60"/>
      </w:pPr>
      <w:r>
        <w:t>A filtered PivotTable lists products with Sum of Profit below zero and sorts the largest loss first.</w:t>
      </w:r>
    </w:p>
    <w:p>
      <w:pPr>
        <w:pStyle w:val="Heading1"/>
      </w:pPr>
      <w:r>
        <w:t>Findings and business questions</w:t>
      </w:r>
    </w:p>
    <w:p>
      <w:r>
        <w:t>These findings summarize what the data shows. The suggested actions are questions to investigate, not claims that the analysis has proven a cause.</w:t>
      </w:r>
    </w:p>
    <w:p>
      <w:pPr>
        <w:pStyle w:val="Heading2"/>
      </w:pPr>
      <w:r>
        <w:t>1. Regional performance</w:t>
      </w:r>
    </w:p>
    <w:p>
      <w:pPr>
        <w:spacing w:after="100"/>
      </w:pPr>
      <w:r>
        <w:rPr>
          <w:b/>
        </w:rPr>
        <w:t xml:space="preserve">What the data shows. </w:t>
      </w:r>
      <w:r>
        <w:t>Europe generated the highest total profit at $45,672.16. North America had the highest regional margin at 33.80%. Middle East &amp; Africa had the lowest regional profit ($14,152.48) and margin (30.82%).</w:t>
      </w:r>
    </w:p>
    <w:p>
      <w:pPr>
        <w:spacing w:after="100"/>
      </w:pPr>
      <w:r>
        <w:rPr>
          <w:b/>
        </w:rPr>
        <w:t xml:space="preserve">Follow-up. </w:t>
      </w:r>
      <w:r>
        <w:t>Compare product and discount mix in Middle East &amp; Africa with North America before making pricing or promotion changes.</w:t>
      </w:r>
    </w:p>
    <w:p>
      <w:pPr>
        <w:pStyle w:val="Heading2"/>
      </w:pPr>
      <w:r>
        <w:t>2. Category performance</w:t>
      </w:r>
    </w:p>
    <w:p>
      <w:pPr>
        <w:spacing w:after="100"/>
      </w:pPr>
      <w:r>
        <w:rPr>
          <w:b/>
        </w:rPr>
        <w:t xml:space="preserve">What the data shows. </w:t>
      </w:r>
      <w:r>
        <w:t>Furniture produced the most sales ($256,274.68) and profit ($81,171.57). Clothing &amp; Accessories had the highest category margin (37.64%); Office Supplies had the lowest (17.12%).</w:t>
      </w:r>
    </w:p>
    <w:p>
      <w:pPr>
        <w:spacing w:after="100"/>
      </w:pPr>
      <w:r>
        <w:rPr>
          <w:b/>
        </w:rPr>
        <w:t xml:space="preserve">Follow-up. </w:t>
      </w:r>
      <w:r>
        <w:t>Review the Office Supplies products and discount mix. Assess whether Clothing &amp; Accessories can grow while maintaining its margin.</w:t>
      </w:r>
    </w:p>
    <w:p>
      <w:pPr>
        <w:pStyle w:val="Heading2"/>
      </w:pPr>
      <w:r>
        <w:t>3. Discounts and margin</w:t>
      </w:r>
    </w:p>
    <w:p>
      <w:pPr>
        <w:spacing w:after="100"/>
      </w:pPr>
      <w:r>
        <w:rPr>
          <w:b/>
        </w:rPr>
        <w:t xml:space="preserve">What the data shows. </w:t>
      </w:r>
      <w:r>
        <w:t>Margin was 38.7% with no discount, 33.8% at 1–10%, 25.5% at 11–20%, and 17.6% at 21–30%. The 1–10% band generated the most sales ($233,588.34).</w:t>
      </w:r>
    </w:p>
    <w:p>
      <w:pPr>
        <w:spacing w:after="100"/>
      </w:pPr>
      <w:r>
        <w:rPr>
          <w:b/>
        </w:rPr>
        <w:t xml:space="preserve">Follow-up. </w:t>
      </w:r>
      <w:r>
        <w:t>Compare similar products across discount bands before changing discount rules. These grouped results show an association, not proof that discounts caused the margin differences.</w:t>
      </w:r>
    </w:p>
    <w:p>
      <w:pPr>
        <w:pStyle w:val="Heading2"/>
      </w:pPr>
      <w:r>
        <w:t>4. Time trend</w:t>
      </w:r>
    </w:p>
    <w:p>
      <w:pPr>
        <w:spacing w:after="100"/>
      </w:pPr>
      <w:r>
        <w:rPr>
          <w:b/>
        </w:rPr>
        <w:t xml:space="preserve">What the data shows. </w:t>
      </w:r>
      <w:r>
        <w:t>Sales and profit fell in 2024 versus 2023, then recovered in 2025. From 2024 to 2025 sales rose 6.3% and profit rose 4.8%. Monthly results fluctuated rather than rising steadily.</w:t>
      </w:r>
    </w:p>
    <w:p>
      <w:pPr>
        <w:spacing w:after="100"/>
      </w:pPr>
      <w:r>
        <w:rPr>
          <w:b/>
        </w:rPr>
        <w:t xml:space="preserve">Follow-up. </w:t>
      </w:r>
      <w:r>
        <w:t>Track profit alongside monthly sales and compare product and regional mix across years before treating the 2025 recovery as a lasting trend.</w:t>
      </w:r>
    </w:p>
    <w:p>
      <w:pPr>
        <w:pStyle w:val="Heading2"/>
      </w:pPr>
      <w:r>
        <w:t>5. Product losses</w:t>
      </w:r>
    </w:p>
    <w:p>
      <w:pPr>
        <w:spacing w:after="100"/>
      </w:pPr>
      <w:r>
        <w:rPr>
          <w:b/>
        </w:rPr>
        <w:t xml:space="preserve">What the data shows. </w:t>
      </w:r>
      <w:r>
        <w:t>Paper Clips Box 500pc lost $79.95 on $901.89 sales, a −8.86% margin. Highlighters Neon Pack 6 lost $0.37 on $942.61 sales, a −0.04% margin.</w:t>
      </w:r>
    </w:p>
    <w:p>
      <w:pPr>
        <w:spacing w:after="100"/>
      </w:pPr>
      <w:r>
        <w:rPr>
          <w:b/>
        </w:rPr>
        <w:t xml:space="preserve">Follow-up. </w:t>
      </w:r>
      <w:r>
        <w:t>Review Paper Clips transactions for price, discount, and shipping. Monitor Highlighters; its total loss is close to break-even.</w:t>
      </w:r>
    </w:p>
    <w:p>
      <w:pPr>
        <w:pStyle w:val="Heading2"/>
      </w:pPr>
      <w:r>
        <w:t>6. Customer segments</w:t>
      </w:r>
    </w:p>
    <w:p>
      <w:pPr>
        <w:spacing w:after="100"/>
      </w:pPr>
      <w:r>
        <w:rPr>
          <w:b/>
        </w:rPr>
        <w:t xml:space="preserve">What the data shows. </w:t>
      </w:r>
      <w:r>
        <w:t>Consumer contributed the most sales ($256,287.74) and profit ($87,300.36), with a 34.1% margin. Corporate had the lowest segment margin at 30.4%; Home Office was 33.0%.</w:t>
      </w:r>
    </w:p>
    <w:p>
      <w:pPr>
        <w:spacing w:after="100"/>
      </w:pPr>
      <w:r>
        <w:rPr>
          <w:b/>
        </w:rPr>
        <w:t xml:space="preserve">Follow-up. </w:t>
      </w:r>
      <w:r>
        <w:t>Compare product and discount mix by segment to investigate Corporate’s lower margin before changing segment-specific offers.</w:t>
      </w:r>
    </w:p>
    <w:p>
      <w:pPr>
        <w:pStyle w:val="Heading1"/>
      </w:pPr>
      <w:r>
        <w:t>Limits and interpretation</w:t>
      </w:r>
    </w:p>
    <w:p>
      <w:pPr>
        <w:pStyle w:val="ListBullet"/>
        <w:spacing w:after="60"/>
      </w:pPr>
      <w:r>
        <w:t>The discount pattern is an association. Product mix and other factors may also differ across discount bands, so the PivotTable alone does not establish causation.</w:t>
      </w:r>
    </w:p>
    <w:p>
      <w:pPr>
        <w:pStyle w:val="ListBullet"/>
        <w:spacing w:after="60"/>
      </w:pPr>
      <w:r>
        <w:t>The file includes Customer_Name but no dedicated Customer_ID. Order counts are reliable because Order_ID was unique; a distinct-customer count based on names could be unreliable if different people share a name.</w:t>
      </w:r>
    </w:p>
    <w:p>
      <w:pPr>
        <w:pStyle w:val="ListBullet"/>
        <w:spacing w:after="60"/>
      </w:pPr>
      <w:r>
        <w:t>Profit is supplied by the dataset. Without a complete cost breakdown, this analysis does not independently rebuild profit from source costs.</w:t>
      </w:r>
    </w:p>
    <w:p>
      <w:pPr>
        <w:pStyle w:val="ListBullet"/>
        <w:spacing w:after="60"/>
      </w:pPr>
      <w:r>
        <w:t>The trend covers three years, 2023–2025. It describes this period and should not be treated as a forecast.</w:t>
      </w:r>
    </w:p>
    <w:p>
      <w:pPr>
        <w:pStyle w:val="Heading1"/>
      </w:pPr>
      <w:r>
        <w:t>Portfolio presentation</w:t>
      </w:r>
    </w:p>
    <w:p>
      <w:pPr>
        <w:spacing w:before="60" w:after="160"/>
        <w:ind w:left="259" w:right="259"/>
        <w:shd w:fill="DCE6F1"/>
      </w:pPr>
      <w:r>
        <w:rPr>
          <w:i/>
        </w:rPr>
        <w:t>I built an interactive Excel dashboard from 2,000 e-commerce orders covering 2023 to 2025. I checked completeness, duplicates, data types, ranges, and sales arithmetic before analyzing the data. I then added time and profitability fields, summarized the results with PivotTables, and connected slicers so viewers can explore the dashboard by year, region, category, and customer segment. The analysis highlights differences in regional and category margins, lower margins in higher discount bands, a 2024 dip followed by a 2025 recovery, and two products with negative total profit. I kept the recommendations investigative because the data shows patterns, not proven causes.</w:t>
      </w:r>
    </w:p>
    <w:p>
      <w:pPr>
        <w:pStyle w:val="SmallNote"/>
      </w:pPr>
      <w:r>
        <w:t>Source dataset: Kaggle, Global E-Commerce Sales &amp; Customer Data. https://www.kaggle.com/datasets/muhammadaammartufail/global-e-commerce-sales-and-customer-data</w:t>
      </w:r>
    </w:p>
    <w:sectPr w:rsidR="00FC693F" w:rsidRPr="0006063C" w:rsidSect="00034616">
      <w:footerReference w:type="default" r:id="rId9"/>
      <w:pgSz w:w="12240" w:h="15840"/>
      <w:pgMar w:top="950" w:right="1037" w:bottom="950"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E-Commerce Sales Dashboard Project Notes</dc:title>
  <dc:subject>Excel workflow, formulas, dashboard methodology, and findings</dc:subject>
  <dc:creator/>
  <cp:keywords>Excel, e-commerce, dashboard, sales analysis, project notes</cp:keywords>
  <dc:description>generated by python-docx</dc:description>
  <cp:lastModifiedBy/>
  <cp:revision>1</cp:revision>
  <dcterms:created xsi:type="dcterms:W3CDTF">2013-12-23T23:15:00Z</dcterms:created>
  <dcterms:modified xsi:type="dcterms:W3CDTF">2013-12-23T23:15:00Z</dcterms:modified>
  <cp:category/>
</cp:coreProperties>
</file>