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ИНТЕЛЛЕКТА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Риски, безопасность и эксплуатация</w:t>
      </w:r>
    </w:p>
    <w:p/>
    <w:p>
      <w:pPr>
        <w:pStyle w:val="Heading1"/>
      </w:pPr>
      <w:r>
        <w:t>1. Риски проекта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Риск</w:t>
            </w:r>
          </w:p>
        </w:tc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Вероятность</w:t>
            </w:r>
          </w:p>
        </w:tc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Влияние</w:t>
            </w:r>
          </w:p>
        </w:tc>
        <w:tc>
          <w:tcPr>
            <w:tcW w:type="dxa" w:w="25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Меры снижения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Нерелевантные ИИ-рекомендации из-за малого каталога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Средняя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Высокое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гибридный подход: жанры, темы, профиль пользователя, историю действий и готовые ИИ-профили.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Недоступность OpenRouter или лимиты внешнего API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Средняя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Среднее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сохраненные результаты, fallback-анализ и статус failed/ready в ai_analysis_jobs без блокировки покупки.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Ошибки RLS и доступ к чужим данным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Низкая/средняя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Высокое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Тестировать owner-only доступ к cart_items, favorites, user_preferences, orders и user_events; админ-доступ выносить в RPC.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Утечка приватных ключей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Низкая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Высокое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Хранить OPENROUTER_API_KEY и SUPABASE_SERVICE_ROLE_KEY только в server-side environment variables без VITE_/NEXT_PUBLIC_.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Нарушение авторских прав при обработке полных текстов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Средняя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Высокое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аннотации, разрешенные фрагменты и тексты с правом обработки.</w:t>
            </w:r>
          </w:p>
        </w:tc>
      </w:tr>
      <w:tr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Несогласованность документации и кода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Средняя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Среднее</w:t>
            </w:r>
          </w:p>
        </w:tc>
        <w:tc>
          <w:tcPr>
            <w:tcW w:type="dxa" w:w="256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Актуализировать документы под Supabase/Vercel-архитектуру и не описывать несуществующий /api/v1 как реализованный.</w:t>
            </w:r>
          </w:p>
        </w:tc>
      </w:tr>
    </w:tbl>
    <w:p/>
    <w:p>
      <w:pPr>
        <w:pStyle w:val="Heading1"/>
      </w:pPr>
      <w:r>
        <w:t>2. Требования безопасности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Авторизация выполняется через Supabase Auth; пароли не хранятся в public-таблицах приложения.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Row Level Security включается на пользовательских и административно значимых таблицах.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Пользовательские таблицы должны использовать owner-only правила через auth.uid().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Административные операции должны проверять role = admin через is_admin/admin_require_admin.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Vercel Function /api/analyze-book должна проверять Supabase access token и роль admin перед записью в book_ai_profiles.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Нельзя логировать пароли, токены, service role key, OpenRouter key и персональные контактные данные сверх необходимого.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Frontend не должен содержать SUPABASE_SERVICE_ROLE_KEY, OPENROUTER_API_KEY, DATABASE_URL и другие приватные значения.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Production-доступ должен выполняться по HTTPS через Vercel/Supabase.</w:t>
      </w:r>
    </w:p>
    <w:p>
      <w:pPr>
        <w:pStyle w:val="Heading1"/>
      </w:pPr>
      <w:r>
        <w:t>3. Эксплуатация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Процесс</w:t>
            </w:r>
          </w:p>
        </w:tc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Фактическое описание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Развертывание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Frontend и Vercel Function размещаются на Vercel. Supabase Cloud используется для PostgreSQL, Auth, Storage, RLS и RPC.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Переменные окружения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Локально создается .env.local на основе .env.example. Production-переменные задаются в Vercel Project Settings.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Миграции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Изменения схемы БД выполняются через SQL-скрипты supabase/sql и применяются в Supabase SQL Editor.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Резервное копирование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Резервные копии выполняются средствами Supabase; перед важными изменениями выполняется ручной backup/export.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Логи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Ошибки frontend отслеживаются через консоль/браузер, ошибки Vercel Function - через Vercel logs, статусы ИИ-задач - через ai_analysis_jobs.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Мониторинг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Минимум для MVP: проверка доступности Vercel-приложения, Supabase и функции /api/analyze-book. Prometheus/Grafana рассматриваются как развитие.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Fallback ИИ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 недоступности провайдера используется deterministic fallback-анализ или фиксируется failed job; каталог и покупка должны работать независимо от ИИ.</w:t>
            </w:r>
          </w:p>
        </w:tc>
      </w:tr>
    </w:tbl>
    <w:p/>
    <w:p>
      <w:pPr>
        <w:pStyle w:val="Heading1"/>
      </w:pPr>
      <w:r>
        <w:t>4. План резервного восстановления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Зафиксировать инцидент и определить, затронут ли Vercel frontend, serverless-функция или Supabase.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Проверить последние изменения env-переменных и SQL-миграций.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При проблеме с БД восстановить Supabase backup в тестовое окружение и проверить целостность.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После восстановления проверить критические сценарии: каталог, вход, корзина, оформление заказа, админ-панель и ИИ-анализ.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Не публиковать дампы БД, .env и логи с токенами в репозитории.</w:t>
      </w:r>
    </w:p>
    <w:sectPr w:rsidR="00FC693F" w:rsidRPr="0006063C" w:rsidSect="00034616"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