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both"/>
      </w:pPr>
      <w:r>
        <w:rPr>
          <w:rFonts w:ascii="Times New Roman" w:hAnsi="Times New Roman"/>
          <w:b/>
          <w:sz w:val="24"/>
        </w:rPr>
        <w:t>Интеллекта | Дипломный проект</w:t>
      </w:r>
    </w:p>
    <w:p>
      <w:pPr>
        <w:jc w:val="center"/>
      </w:pPr>
      <w:r>
        <w:rPr>
          <w:rFonts w:ascii="Times New Roman" w:hAnsi="Times New Roman"/>
          <w:b/>
          <w:sz w:val="32"/>
        </w:rPr>
        <w:t>ИНТЕЛЛЕКТА</w:t>
        <w:br/>
      </w:r>
      <w:r>
        <w:rPr>
          <w:rFonts w:ascii="Times New Roman" w:hAnsi="Times New Roman"/>
          <w:b/>
          <w:sz w:val="28"/>
        </w:rPr>
        <w:t>Архитектура системы</w:t>
      </w:r>
    </w:p>
    <w:p/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Документ описывает фактическую архитектуру веб-сервиса «Интеллекта» после реализации этапа смыслового поиска. Система не содержит отдельного backend на FastAPI или Express и не использует REST API с префиксом /api/v1 как самостоятельный слой. Серверная часть MVP построена на Supabase, PostgreSQL, Row Level Security, RPC-функциях и Vercel Functions.</w:t>
      </w:r>
    </w:p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1. Архитектурный подход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Приложение реализовано как React/Vite SPA, размещаемое на Vercel. Доступ к бизнес-данным выполняется через Supabase JavaScript Client и прикладные сервисы frontend. Серверные операции, требующие секретов и обращения к ИИ-провайдеру, вынесены в Vercel Functions. Хранение каталога, заказов, пользовательских данных, результатов ИИ-анализа и embedding-векторов выполняется в Supabase PostgreSQL.</w:t>
      </w:r>
    </w:p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2. Логическая схема компонентов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Слой/компонент</w:t>
            </w:r>
          </w:p>
        </w:tc>
        <w:tc>
          <w:tcPr>
            <w:tcW w:type="dxa" w:w="3324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Ответственность</w:t>
            </w:r>
          </w:p>
        </w:tc>
        <w:tc>
          <w:tcPr>
            <w:tcW w:type="dxa" w:w="3324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Фактическая реализация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Клиентский слой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Каталог, карточка книги, профиль, рекомендации, корзина, заказы, админ-панель, переключение обычного и смыслового поиска.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React, Vite, TypeScript, React Router, сервисные модули src/services.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Слой доступа к данным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Чтение таблиц и представлений, вызовы RPC, обработка ошибок, типизация данных для UI.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Supabase JavaScript Client, book_catalog_view, RPC create_order_from_cart, admin RPC, match_books_semantic.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Backend-as-a-Service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Авторизация, PostgreSQL, RLS, хранение бизнес-данных, проверка прав доступа.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Supabase Auth, PostgreSQL, Row Level Security, Supabase RPC/functions.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Серверные функции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Операции с секретами, вызовы OpenRouter API, генерация embedding запроса и книги.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Vercel Functions /api/analyze-book и /api/semantic-search.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Семантический поиск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Поиск книг по близости embedding-вектора запроса и embedding-векторов книг.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pgvector, поле book_ai_profiles.embedding, HNSW-индекс, RPC match_books_semantic.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Развертывание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Публикация frontend и serverless-функций, хранение секретов.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Vercel Environment Variables, Supabase Cloud.</w:t>
            </w:r>
          </w:p>
        </w:tc>
      </w:tr>
    </w:tbl>
    <w:p/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3. Поток смыслового поиска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1. Администратор запускает ИИ-анализ книги или выполняется backfill существующих книг.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2. Серверная функция формирует текст для embedding из названия, авторов, жанров, описания, ИИ-сводки, тем, ключевых слов, уровня сложности и эмоционального тона.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3. OpenRouter embeddings API возвращает vector(1536), который сохраняется в book_ai_profiles.embedding вместе с embedding_model, embedding_dimension и embedding_updated_at.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4. Пользователь вводит смысловой запрос в интерфейсе поиска и включает режим «Смысловой поиск».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5. Frontend вызывает POST /api/semantic-search. Функция получает embedding запроса и вызывает RPC match_books_semantic.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6. PostgreSQL/pgvector вычисляет similarity = 1 - (book_embedding &lt;=&gt; query_embedding), сортирует результаты и возвращает публичные поля книг.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7. Frontend отображает карточки книг, процент совпадения и 1–3 причины подбора. При ошибке доступен fallback на обычный текстовый поиск.</w:t>
      </w:r>
    </w:p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4. Разграничение доступа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Основной механизм защиты данных — Row Level Security. Обычный пользователь не получает доступ к чужим заказам, корзине, избранному, предпочтениям и пользовательским событиям. Административные операции проверяют роль admin в public.profiles. Секреты OpenRouter API и Supabase service role key используются только в Vercel Functions и локальном backfill-скрипте, но не во frontend.</w:t>
      </w:r>
    </w:p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5. Перспективы развития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Отдельный backend API, очередь задач, worker для массовой обработки, Docker Compose, Prometheus/Grafana и выделенный AI-сервис могут рассматриваться как перспективы развития. В текущей версии эти компоненты не являются реализованной частью архитектуры MVP.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t>Веб-сервис онлайн-продажи книг с ИИ-рекомендациями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