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0"/>
          <w:szCs w:val="40"/>
        </w:rPr>
        <w:t xml:space="preserve">PeaceHealth Insights</w:t>
      </w:r>
    </w:p>
    <w:p>
      <w:pPr>
        <w:spacing w:after="40"/>
        <w:jc w:val="center"/>
      </w:pPr>
      <w:r>
        <w:rPr>
          <w:color w:val="444444"/>
          <w:sz w:val="26"/>
          <w:szCs w:val="26"/>
        </w:rPr>
        <w:t xml:space="preserve">Data Collection Methodology &amp; Research Ethics Statement</w:t>
      </w:r>
    </w:p>
    <w:p>
      <w:pPr>
        <w:spacing w:after="300"/>
        <w:jc w:val="center"/>
      </w:pPr>
      <w:r>
        <w:rPr>
          <w:i/>
          <w:iCs/>
          <w:color w:val="666666"/>
          <w:sz w:val="18"/>
          <w:szCs w:val="18"/>
        </w:rPr>
        <w:t xml:space="preserve">Prepared by Dr. Mahdieh Rojhannezhad, Ph.D. in Genetics  |  July 2026</w:t>
      </w:r>
    </w:p>
    <w:p>
      <w:pPr>
        <w:pStyle w:val="Heading1"/>
        <w:pBdr>
          <w:bottom w:val="single" w:color="1F4E5F" w:sz="6" w:space="4"/>
        </w:pBdr>
        <w:spacing w:after="150" w:before="300"/>
      </w:pPr>
      <w:r>
        <w:rPr>
          <w:b/>
          <w:bCs/>
          <w:color w:val="1F4E5F"/>
          <w:sz w:val="26"/>
          <w:szCs w:val="26"/>
        </w:rPr>
        <w:t xml:space="preserve">1. Purpose and Scope</w:t>
      </w:r>
    </w:p>
    <w:p>
      <w:pPr>
        <w:spacing w:after="120"/>
      </w:pPr>
      <w:r>
        <w:rPr>
          <w:sz w:val="21"/>
          <w:szCs w:val="21"/>
        </w:rPr>
        <w:t xml:space="preserve">PeaceHealth Insights is a digital tool designed to help humanitarian, peacebuilding, and public-health organizations understand how conflict and instability affect the mental and physical well-being of civilian populations. It allows individuals to self-report indicators such as stress, anxiety, sleep quality, exposure to conflict-related events, displacement status, and access to basic needs, on a fully voluntary and anonymous basis.</w:t>
      </w:r>
    </w:p>
    <w:p>
      <w:pPr>
        <w:spacing w:after="120"/>
      </w:pPr>
      <w:r>
        <w:rPr>
          <w:sz w:val="21"/>
          <w:szCs w:val="21"/>
        </w:rPr>
        <w:t xml:space="preserve">This document describes the current data collection methodology, the safeguards in place, and — transparently — the safeguards that are still being developed before the platform is used for any large-scale or field deployment. It is intended to give partner organizations a clear, honest basis for evaluating a potential pilot collaboration.</w:t>
      </w:r>
    </w:p>
    <w:p>
      <w:pPr>
        <w:pStyle w:val="Heading1"/>
        <w:pBdr>
          <w:bottom w:val="single" w:color="1F4E5F" w:sz="6" w:space="4"/>
        </w:pBdr>
        <w:spacing w:after="150" w:before="300"/>
      </w:pPr>
      <w:r>
        <w:rPr>
          <w:b/>
          <w:bCs/>
          <w:color w:val="1F4E5F"/>
          <w:sz w:val="26"/>
          <w:szCs w:val="26"/>
        </w:rPr>
        <w:t xml:space="preserve">2. Current Development Stage</w:t>
      </w:r>
    </w:p>
    <w:p>
      <w:pPr>
        <w:spacing w:after="120"/>
      </w:pPr>
      <w:r>
        <w:rPr>
          <w:sz w:val="21"/>
          <w:szCs w:val="21"/>
        </w:rPr>
        <w:t xml:space="preserve">PeaceHealth Insights is presently a functioning prototype (Minimum Viable Product). It has been tested for technical functionality — multi-language support, data submission, and secure cloud storage — but has not yet undergone formal review by an independent research ethics board (IRB) or equivalent committee. Any use involving real respondents in active conflict settings should occur only within a supervised pilot, as described in Section 6, and not as an unsupervised public deployment.</w:t>
      </w:r>
    </w:p>
    <w:p>
      <w:pPr>
        <w:pStyle w:val="Heading1"/>
        <w:pBdr>
          <w:bottom w:val="single" w:color="1F4E5F" w:sz="6" w:space="4"/>
        </w:pBdr>
        <w:spacing w:after="150" w:before="300"/>
      </w:pPr>
      <w:r>
        <w:rPr>
          <w:b/>
          <w:bCs/>
          <w:color w:val="1F4E5F"/>
          <w:sz w:val="26"/>
          <w:szCs w:val="26"/>
        </w:rPr>
        <w:t xml:space="preserve">3. Data Collected</w:t>
      </w:r>
    </w:p>
    <w:p>
      <w:pPr>
        <w:spacing w:after="120"/>
      </w:pPr>
      <w:r>
        <w:rPr>
          <w:sz w:val="21"/>
          <w:szCs w:val="21"/>
        </w:rPr>
        <w:t xml:space="preserve">The questionnaire collects the following categories of information:</w:t>
      </w:r>
    </w:p>
    <w:p>
      <w:pPr>
        <w:pStyle w:val="ListParagraph"/>
        <w:numPr>
          <w:ilvl w:val="0"/>
          <w:numId w:val="2"/>
        </w:numPr>
        <w:spacing w:after="60"/>
      </w:pPr>
      <w:r>
        <w:rPr>
          <w:sz w:val="21"/>
          <w:szCs w:val="21"/>
        </w:rPr>
        <w:t xml:space="preserve">Demographic indicators: age range, gender, country, city/province</w:t>
      </w:r>
    </w:p>
    <w:p>
      <w:pPr>
        <w:pStyle w:val="ListParagraph"/>
        <w:numPr>
          <w:ilvl w:val="0"/>
          <w:numId w:val="2"/>
        </w:numPr>
        <w:spacing w:after="60"/>
      </w:pPr>
      <w:r>
        <w:rPr>
          <w:sz w:val="21"/>
          <w:szCs w:val="21"/>
        </w:rPr>
        <w:t xml:space="preserve">Well-being indicators: stress, anxiety, depression, sleep quality (1–10 self-report scales)</w:t>
      </w:r>
    </w:p>
    <w:p>
      <w:pPr>
        <w:pStyle w:val="ListParagraph"/>
        <w:numPr>
          <w:ilvl w:val="0"/>
          <w:numId w:val="2"/>
        </w:numPr>
        <w:spacing w:after="60"/>
      </w:pPr>
      <w:r>
        <w:rPr>
          <w:sz w:val="21"/>
          <w:szCs w:val="21"/>
        </w:rPr>
        <w:t xml:space="preserve">Physical symptoms: headache, stomach pain</w:t>
      </w:r>
    </w:p>
    <w:p>
      <w:pPr>
        <w:pStyle w:val="ListParagraph"/>
        <w:numPr>
          <w:ilvl w:val="0"/>
          <w:numId w:val="2"/>
        </w:numPr>
        <w:spacing w:after="60"/>
      </w:pPr>
      <w:r>
        <w:rPr>
          <w:sz w:val="21"/>
          <w:szCs w:val="21"/>
        </w:rPr>
        <w:t xml:space="preserve">Conflict exposure: type of conflict-related event experienced that day (e.g., airstrike, explosion, utility outage, direct threat, none)</w:t>
      </w:r>
    </w:p>
    <w:p>
      <w:pPr>
        <w:pStyle w:val="ListParagraph"/>
        <w:numPr>
          <w:ilvl w:val="0"/>
          <w:numId w:val="2"/>
        </w:numPr>
        <w:spacing w:after="60"/>
      </w:pPr>
      <w:r>
        <w:rPr>
          <w:sz w:val="21"/>
          <w:szCs w:val="21"/>
        </w:rPr>
        <w:t xml:space="preserve">Situational indicators: current displacement status, access to basic needs (water, food, medicine, communication), contact with family</w:t>
      </w:r>
    </w:p>
    <w:p>
      <w:pPr>
        <w:pStyle w:val="ListParagraph"/>
        <w:numPr>
          <w:ilvl w:val="0"/>
          <w:numId w:val="2"/>
        </w:numPr>
        <w:spacing w:after="60"/>
      </w:pPr>
      <w:r>
        <w:rPr>
          <w:sz w:val="21"/>
          <w:szCs w:val="21"/>
        </w:rPr>
        <w:t xml:space="preserve">Psychosocial indicators: perceived safety, social support, hope for the future</w:t>
      </w:r>
    </w:p>
    <w:p>
      <w:pPr>
        <w:pStyle w:val="ListParagraph"/>
        <w:numPr>
          <w:ilvl w:val="0"/>
          <w:numId w:val="2"/>
        </w:numPr>
        <w:spacing w:after="60"/>
      </w:pPr>
      <w:r>
        <w:rPr>
          <w:sz w:val="21"/>
          <w:szCs w:val="21"/>
        </w:rPr>
        <w:t xml:space="preserve">An optional open-text comment</w:t>
      </w:r>
    </w:p>
    <w:p>
      <w:pPr>
        <w:spacing w:after="120"/>
      </w:pPr>
      <w:r>
        <w:rPr>
          <w:sz w:val="21"/>
          <w:szCs w:val="21"/>
        </w:rPr>
        <w:t xml:space="preserve">No names, contact details, government ID numbers, or precise geolocation are collected at any point. "City/Province" is entered as free text at the respondent's discretion and is the most granular location data gathered.</w:t>
      </w:r>
    </w:p>
    <w:p>
      <w:pPr>
        <w:pStyle w:val="Heading1"/>
        <w:pBdr>
          <w:bottom w:val="single" w:color="1F4E5F" w:sz="6" w:space="4"/>
        </w:pBdr>
        <w:spacing w:after="150" w:before="300"/>
      </w:pPr>
      <w:r>
        <w:rPr>
          <w:b/>
          <w:bCs/>
          <w:color w:val="1F4E5F"/>
          <w:sz w:val="26"/>
          <w:szCs w:val="26"/>
        </w:rPr>
        <w:t xml:space="preserve">4. Informed Consent</w:t>
      </w:r>
    </w:p>
    <w:p>
      <w:pPr>
        <w:spacing w:after="120"/>
      </w:pPr>
      <w:r>
        <w:rPr>
          <w:sz w:val="21"/>
          <w:szCs w:val="21"/>
        </w:rPr>
        <w:t xml:space="preserve">Before accessing the questionnaire, every respondent will be shown a consent screen (in their selected language) that discloses, in plain language:</w:t>
      </w:r>
    </w:p>
    <w:p>
      <w:pPr>
        <w:pStyle w:val="ListParagraph"/>
        <w:numPr>
          <w:ilvl w:val="0"/>
          <w:numId w:val="2"/>
        </w:numPr>
        <w:spacing w:after="60"/>
      </w:pPr>
      <w:r>
        <w:rPr>
          <w:sz w:val="21"/>
          <w:szCs w:val="21"/>
        </w:rPr>
        <w:t xml:space="preserve">That participation is voluntary and can be stopped at any time without consequence</w:t>
      </w:r>
    </w:p>
    <w:p>
      <w:pPr>
        <w:pStyle w:val="ListParagraph"/>
        <w:numPr>
          <w:ilvl w:val="0"/>
          <w:numId w:val="2"/>
        </w:numPr>
        <w:spacing w:after="60"/>
      </w:pPr>
      <w:r>
        <w:rPr>
          <w:sz w:val="21"/>
          <w:szCs w:val="21"/>
        </w:rPr>
        <w:t xml:space="preserve">What data is collected and why</w:t>
      </w:r>
    </w:p>
    <w:p>
      <w:pPr>
        <w:pStyle w:val="ListParagraph"/>
        <w:numPr>
          <w:ilvl w:val="0"/>
          <w:numId w:val="2"/>
        </w:numPr>
        <w:spacing w:after="60"/>
      </w:pPr>
      <w:r>
        <w:rPr>
          <w:sz w:val="21"/>
          <w:szCs w:val="21"/>
        </w:rPr>
        <w:t xml:space="preserve">That no personally identifying information is requested</w:t>
      </w:r>
    </w:p>
    <w:p>
      <w:pPr>
        <w:pStyle w:val="ListParagraph"/>
        <w:numPr>
          <w:ilvl w:val="0"/>
          <w:numId w:val="2"/>
        </w:numPr>
        <w:spacing w:after="60"/>
      </w:pPr>
      <w:r>
        <w:rPr>
          <w:sz w:val="21"/>
          <w:szCs w:val="21"/>
        </w:rPr>
        <w:t xml:space="preserve">Who will have access to the aggregated data (the partner organization and the platform administrator)</w:t>
      </w:r>
    </w:p>
    <w:p>
      <w:pPr>
        <w:pStyle w:val="ListParagraph"/>
        <w:numPr>
          <w:ilvl w:val="0"/>
          <w:numId w:val="2"/>
        </w:numPr>
        <w:spacing w:after="60"/>
      </w:pPr>
      <w:r>
        <w:rPr>
          <w:sz w:val="21"/>
          <w:szCs w:val="21"/>
        </w:rPr>
        <w:t xml:space="preserve">That the respondent may decline to answer any individual question</w:t>
      </w:r>
    </w:p>
    <w:p>
      <w:pPr>
        <w:spacing w:after="120"/>
      </w:pPr>
      <w:r>
        <w:rPr>
          <w:sz w:val="21"/>
          <w:szCs w:val="21"/>
        </w:rPr>
        <w:t xml:space="preserve">Respondents must actively confirm ("I understand and agree to participate") before the form becomes available. This consent step is described in Section 8 as an item currently being added to the application.</w:t>
      </w:r>
    </w:p>
    <w:p>
      <w:pPr>
        <w:pStyle w:val="Heading1"/>
        <w:pBdr>
          <w:bottom w:val="single" w:color="1F4E5F" w:sz="6" w:space="4"/>
        </w:pBdr>
        <w:spacing w:after="150" w:before="300"/>
      </w:pPr>
      <w:r>
        <w:rPr>
          <w:b/>
          <w:bCs/>
          <w:color w:val="1F4E5F"/>
          <w:sz w:val="26"/>
          <w:szCs w:val="26"/>
        </w:rPr>
        <w:t xml:space="preserve">5. De-identification and Data Minimization</w:t>
      </w:r>
    </w:p>
    <w:p>
      <w:pPr>
        <w:spacing w:after="120"/>
      </w:pPr>
      <w:r>
        <w:rPr>
          <w:sz w:val="21"/>
          <w:szCs w:val="21"/>
        </w:rPr>
        <w:t xml:space="preserve">The platform is designed around data minimization: only the fields listed in Section 3 are collected, and no field maps directly to a specific individual. Because self-reported city/province and free-text comments could, in principle, combine with other public information to narrow down a respondent's identity in a small community, the following practices are recommended for any pilot:</w:t>
      </w:r>
    </w:p>
    <w:p>
      <w:pPr>
        <w:pStyle w:val="ListParagraph"/>
        <w:numPr>
          <w:ilvl w:val="0"/>
          <w:numId w:val="2"/>
        </w:numPr>
        <w:spacing w:after="60"/>
      </w:pPr>
      <w:r>
        <w:rPr>
          <w:sz w:val="21"/>
          <w:szCs w:val="21"/>
        </w:rPr>
        <w:t xml:space="preserve">Aggregate and report findings at the regional level rather than the city level when sample sizes are small</w:t>
      </w:r>
    </w:p>
    <w:p>
      <w:pPr>
        <w:pStyle w:val="ListParagraph"/>
        <w:numPr>
          <w:ilvl w:val="0"/>
          <w:numId w:val="2"/>
        </w:numPr>
        <w:spacing w:after="60"/>
      </w:pPr>
      <w:r>
        <w:rPr>
          <w:sz w:val="21"/>
          <w:szCs w:val="21"/>
        </w:rPr>
        <w:t xml:space="preserve">Review free-text responses before any external sharing and redact any detail that could identify a person or exact location</w:t>
      </w:r>
    </w:p>
    <w:p>
      <w:pPr>
        <w:pStyle w:val="ListParagraph"/>
        <w:numPr>
          <w:ilvl w:val="0"/>
          <w:numId w:val="2"/>
        </w:numPr>
        <w:spacing w:after="60"/>
      </w:pPr>
      <w:r>
        <w:rPr>
          <w:sz w:val="21"/>
          <w:szCs w:val="21"/>
        </w:rPr>
        <w:t xml:space="preserve">Avoid collecting data in contexts where the respondent pool is small enough that answers could be attributed to a specific individual</w:t>
      </w:r>
    </w:p>
    <w:p>
      <w:pPr>
        <w:pStyle w:val="Heading1"/>
        <w:pBdr>
          <w:bottom w:val="single" w:color="1F4E5F" w:sz="6" w:space="4"/>
        </w:pBdr>
        <w:spacing w:after="150" w:before="300"/>
      </w:pPr>
      <w:r>
        <w:rPr>
          <w:b/>
          <w:bCs/>
          <w:color w:val="1F4E5F"/>
          <w:sz w:val="26"/>
          <w:szCs w:val="26"/>
        </w:rPr>
        <w:t xml:space="preserve">6. Data Storage and Security</w:t>
      </w:r>
    </w:p>
    <w:p>
      <w:pPr>
        <w:spacing w:after="120"/>
      </w:pPr>
      <w:r>
        <w:rPr>
          <w:sz w:val="21"/>
          <w:szCs w:val="21"/>
        </w:rPr>
        <w:t xml:space="preserve">Data is currently stored in a Google Sheet accessible only via a dedicated Google Cloud service account with narrowly scoped permissions (edit access to a single spreadsheet, no broader account access). Access credentials are stored as encrypted secrets within the hosting platform (Streamlit Community Cloud) and are not exposed in source code or version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c>
          <w:tcPr>
            <w:tcW w:type="dxa" w:w="3100"/>
            <w:shd w:fill="EAF2F5" w:val="clear"/>
          </w:tcPr>
          <w:p>
            <w:r>
              <w:rPr>
                <w:b/>
                <w:bCs/>
                <w:sz w:val="20"/>
                <w:szCs w:val="20"/>
              </w:rPr>
              <w:t xml:space="preserve">Aspect</w:t>
            </w:r>
          </w:p>
        </w:tc>
        <w:tc>
          <w:tcPr>
            <w:tcW w:type="dxa" w:w="6250"/>
            <w:shd w:fill="EAF2F5" w:val="clear"/>
          </w:tcPr>
          <w:p>
            <w:r>
              <w:rPr>
                <w:b/>
                <w:bCs/>
                <w:sz w:val="20"/>
                <w:szCs w:val="20"/>
              </w:rPr>
              <w:t xml:space="preserve">Current Implementation</w:t>
            </w:r>
          </w:p>
        </w:tc>
      </w:tr>
      <w:tr>
        <w:tc>
          <w:tcPr>
            <w:tcW w:type="dxa" w:w="3100"/>
          </w:tcPr>
          <w:p>
            <w:r>
              <w:rPr>
                <w:b w:val="false"/>
                <w:bCs w:val="false"/>
                <w:sz w:val="20"/>
                <w:szCs w:val="20"/>
              </w:rPr>
              <w:t xml:space="preserve">Hosting</w:t>
            </w:r>
          </w:p>
        </w:tc>
        <w:tc>
          <w:tcPr>
            <w:tcW w:type="dxa" w:w="6250"/>
          </w:tcPr>
          <w:p>
            <w:r>
              <w:rPr>
                <w:b w:val="false"/>
                <w:bCs w:val="false"/>
                <w:sz w:val="20"/>
                <w:szCs w:val="20"/>
              </w:rPr>
              <w:t xml:space="preserve">Streamlit Community Cloud (application) + Google Sheets (data store)</w:t>
            </w:r>
          </w:p>
        </w:tc>
      </w:tr>
      <w:tr>
        <w:tc>
          <w:tcPr>
            <w:tcW w:type="dxa" w:w="3100"/>
          </w:tcPr>
          <w:p>
            <w:r>
              <w:rPr>
                <w:b w:val="false"/>
                <w:bCs w:val="false"/>
                <w:sz w:val="20"/>
                <w:szCs w:val="20"/>
              </w:rPr>
              <w:t xml:space="preserve">Access control</w:t>
            </w:r>
          </w:p>
        </w:tc>
        <w:tc>
          <w:tcPr>
            <w:tcW w:type="dxa" w:w="6250"/>
          </w:tcPr>
          <w:p>
            <w:r>
              <w:rPr>
                <w:b w:val="false"/>
                <w:bCs w:val="false"/>
                <w:sz w:val="20"/>
                <w:szCs w:val="20"/>
              </w:rPr>
              <w:t xml:space="preserve">Single service account, editor-only, scoped to one spreadsheet</w:t>
            </w:r>
          </w:p>
        </w:tc>
      </w:tr>
      <w:tr>
        <w:tc>
          <w:tcPr>
            <w:tcW w:type="dxa" w:w="3100"/>
          </w:tcPr>
          <w:p>
            <w:r>
              <w:rPr>
                <w:b w:val="false"/>
                <w:bCs w:val="false"/>
                <w:sz w:val="20"/>
                <w:szCs w:val="20"/>
              </w:rPr>
              <w:t xml:space="preserve">Credential storage</w:t>
            </w:r>
          </w:p>
        </w:tc>
        <w:tc>
          <w:tcPr>
            <w:tcW w:type="dxa" w:w="6250"/>
          </w:tcPr>
          <w:p>
            <w:r>
              <w:rPr>
                <w:b w:val="false"/>
                <w:bCs w:val="false"/>
                <w:sz w:val="20"/>
                <w:szCs w:val="20"/>
              </w:rPr>
              <w:t xml:space="preserve">Encrypted secrets manager; not committed to source control</w:t>
            </w:r>
          </w:p>
        </w:tc>
      </w:tr>
      <w:tr>
        <w:tc>
          <w:tcPr>
            <w:tcW w:type="dxa" w:w="3100"/>
          </w:tcPr>
          <w:p>
            <w:r>
              <w:rPr>
                <w:b w:val="false"/>
                <w:bCs w:val="false"/>
                <w:sz w:val="20"/>
                <w:szCs w:val="20"/>
              </w:rPr>
              <w:t xml:space="preserve">Transport security</w:t>
            </w:r>
          </w:p>
        </w:tc>
        <w:tc>
          <w:tcPr>
            <w:tcW w:type="dxa" w:w="6250"/>
          </w:tcPr>
          <w:p>
            <w:r>
              <w:rPr>
                <w:b w:val="false"/>
                <w:bCs w:val="false"/>
                <w:sz w:val="20"/>
                <w:szCs w:val="20"/>
              </w:rPr>
              <w:t xml:space="preserve">HTTPS/TLS for all client-server communication</w:t>
            </w:r>
          </w:p>
        </w:tc>
      </w:tr>
      <w:tr>
        <w:tc>
          <w:tcPr>
            <w:tcW w:type="dxa" w:w="3100"/>
          </w:tcPr>
          <w:p>
            <w:r>
              <w:rPr>
                <w:b w:val="false"/>
                <w:bCs w:val="false"/>
                <w:sz w:val="20"/>
                <w:szCs w:val="20"/>
              </w:rPr>
              <w:t xml:space="preserve">Data retention</w:t>
            </w:r>
          </w:p>
        </w:tc>
        <w:tc>
          <w:tcPr>
            <w:tcW w:type="dxa" w:w="6250"/>
          </w:tcPr>
          <w:p>
            <w:r>
              <w:rPr>
                <w:b w:val="false"/>
                <w:bCs w:val="false"/>
                <w:sz w:val="20"/>
                <w:szCs w:val="20"/>
              </w:rPr>
              <w:t xml:space="preserve">Retained indefinitely unless a partner organization specifies a deletion schedule</w:t>
            </w:r>
          </w:p>
        </w:tc>
      </w:tr>
    </w:tbl>
    <w:p>
      <w:pPr>
        <w:spacing w:after="120"/>
      </w:pPr>
      <w:r>
        <w:rPr>
          <w:sz w:val="21"/>
          <w:szCs w:val="21"/>
        </w:rPr>
        <w:t xml:space="preserve">For any pilot handling data from populations in active conflict zones, the recommended enhancement — before scale-up — is migration to a dedicated database with row-level access logging and a defined data retention/deletion policy agreed with the partner organization.</w:t>
      </w:r>
    </w:p>
    <w:p>
      <w:pPr>
        <w:pStyle w:val="Heading1"/>
        <w:pBdr>
          <w:bottom w:val="single" w:color="1F4E5F" w:sz="6" w:space="4"/>
        </w:pBdr>
        <w:spacing w:after="150" w:before="300"/>
      </w:pPr>
      <w:r>
        <w:rPr>
          <w:b/>
          <w:bCs/>
          <w:color w:val="1F4E5F"/>
          <w:sz w:val="26"/>
          <w:szCs w:val="26"/>
        </w:rPr>
        <w:t xml:space="preserve">7. Data Use and Sharing</w:t>
      </w:r>
    </w:p>
    <w:p>
      <w:pPr>
        <w:spacing w:after="120"/>
      </w:pPr>
      <w:r>
        <w:rPr>
          <w:sz w:val="21"/>
          <w:szCs w:val="21"/>
        </w:rPr>
        <w:t xml:space="preserve">Aggregated, de-identified data may be shared with the partner organization for the agreed research or programmatic purpose stated in the pilot agreement. Data will not be sold, used for advertising, or shared with any third party outside the scope agreed with the partner organization.</w:t>
      </w:r>
    </w:p>
    <w:p>
      <w:pPr>
        <w:pStyle w:val="Heading1"/>
        <w:pBdr>
          <w:bottom w:val="single" w:color="1F4E5F" w:sz="6" w:space="4"/>
        </w:pBdr>
        <w:spacing w:after="150" w:before="300"/>
      </w:pPr>
      <w:r>
        <w:rPr>
          <w:b/>
          <w:bCs/>
          <w:color w:val="1F4E5F"/>
          <w:sz w:val="26"/>
          <w:szCs w:val="26"/>
        </w:rPr>
        <w:t xml:space="preserve">8. Known Limitation: Repeat Submissions</w:t>
      </w:r>
    </w:p>
    <w:p>
      <w:pPr>
        <w:spacing w:after="120"/>
      </w:pPr>
      <w:r>
        <w:rPr>
          <w:sz w:val="21"/>
          <w:szCs w:val="21"/>
        </w:rPr>
        <w:t xml:space="preserve">Because the platform deliberately collects no names, phone numbers, or other identifying information, it cannot guarantee that a single respondent submits only once. If one person submits the questionnaire many times in a single day, this can bias aggregate statistics (for example, a respondent completing the form repeatedly during a distressing day would be over-represented in the sample).</w:t>
      </w:r>
    </w:p>
    <w:p>
      <w:pPr>
        <w:spacing w:after="120"/>
      </w:pPr>
      <w:r>
        <w:rPr>
          <w:sz w:val="21"/>
          <w:szCs w:val="21"/>
        </w:rPr>
        <w:t xml:space="preserve">Two complementary, privacy-preserving safeguards are in place to mitigate this without collecting identifying data:</w:t>
      </w:r>
    </w:p>
    <w:p>
      <w:pPr>
        <w:pStyle w:val="ListParagraph"/>
        <w:numPr>
          <w:ilvl w:val="0"/>
          <w:numId w:val="2"/>
        </w:numPr>
        <w:spacing w:after="60"/>
      </w:pPr>
      <w:r>
        <w:rPr>
          <w:sz w:val="21"/>
          <w:szCs w:val="21"/>
        </w:rPr>
        <w:t xml:space="preserve">Browser-level daily lock: once a respondent submits, their browser is asked to remember today's date; a second submission attempt from the same browser on the same day is blocked with a message asking the respondent to return the next day.</w:t>
      </w:r>
    </w:p>
    <w:p>
      <w:pPr>
        <w:pStyle w:val="ListParagraph"/>
        <w:numPr>
          <w:ilvl w:val="0"/>
          <w:numId w:val="2"/>
        </w:numPr>
        <w:spacing w:after="60"/>
      </w:pPr>
      <w:r>
        <w:rPr>
          <w:sz w:val="21"/>
          <w:szCs w:val="21"/>
        </w:rPr>
        <w:t xml:space="preserve">Fixed-formula pseudonymous code: respondents are asked two short, non-identifying questions (the first letter of their mother's first name, and the last two digits of their birth year) that are combined into a short code. Because the underlying facts do not change, the same respondent naturally produces the same code across sessions, which allows duplicate or repeated entries to be identified and, if needed, excluded or de-duplicated during analysis. This same code also enables tracking an individual respondent's well-being trend over time without knowing who they are.</w:t>
      </w:r>
    </w:p>
    <w:p>
      <w:pPr>
        <w:spacing w:after="120"/>
      </w:pPr>
      <w:r>
        <w:rPr>
          <w:sz w:val="21"/>
          <w:szCs w:val="21"/>
        </w:rPr>
        <w:t xml:space="preserve">These safeguards meaningfully reduce accidental or casual repeat submissions, which are the most common source of this issue in practice. They are not, however, foolproof: a respondent who clears their browser data, uses a different device, or intentionally provides inconsistent answers to the two code questions can still bypass them. This trade-off is inherent to any fully anonymous self-report instrument and is consistent with the level of assurance found in comparable anonymous field surveys; it is disclosed here rather than presented as fully solved. Analysts using this data are advised to check for and, where appropriate, de-duplicate entries sharing the same pseudonymous code and submission date before drawing conclusions from aggregate statistics.</w:t>
      </w:r>
    </w:p>
    <w:p>
      <w:pPr>
        <w:pStyle w:val="Heading1"/>
        <w:pBdr>
          <w:bottom w:val="single" w:color="1F4E5F" w:sz="6" w:space="4"/>
        </w:pBdr>
        <w:spacing w:after="150" w:before="300"/>
      </w:pPr>
      <w:r>
        <w:rPr>
          <w:b/>
          <w:bCs/>
          <w:color w:val="1F4E5F"/>
          <w:sz w:val="26"/>
          <w:szCs w:val="26"/>
        </w:rPr>
        <w:t xml:space="preserve">9. Roadmap: Safeguards In Progress</w:t>
      </w:r>
    </w:p>
    <w:p>
      <w:pPr>
        <w:spacing w:after="120"/>
      </w:pPr>
      <w:r>
        <w:rPr>
          <w:sz w:val="21"/>
          <w:szCs w:val="21"/>
        </w:rPr>
        <w:t xml:space="preserve">The following items are in active development and are disclosed here for transparency:</w:t>
      </w:r>
    </w:p>
    <w:p>
      <w:pPr>
        <w:pStyle w:val="ListParagraph"/>
        <w:numPr>
          <w:ilvl w:val="0"/>
          <w:numId w:val="2"/>
        </w:numPr>
        <w:spacing w:after="60"/>
      </w:pPr>
      <w:r>
        <w:rPr>
          <w:sz w:val="21"/>
          <w:szCs w:val="21"/>
        </w:rPr>
        <w:t xml:space="preserve">In-app informed consent screen (before the questionnaire is shown)</w:t>
      </w:r>
    </w:p>
    <w:p>
      <w:pPr>
        <w:pStyle w:val="ListParagraph"/>
        <w:numPr>
          <w:ilvl w:val="0"/>
          <w:numId w:val="2"/>
        </w:numPr>
        <w:spacing w:after="60"/>
      </w:pPr>
      <w:r>
        <w:rPr>
          <w:sz w:val="21"/>
          <w:szCs w:val="21"/>
        </w:rPr>
        <w:t xml:space="preserve">Plain-language data-use disclosure embedded in the app itself</w:t>
      </w:r>
    </w:p>
    <w:p>
      <w:pPr>
        <w:pStyle w:val="ListParagraph"/>
        <w:numPr>
          <w:ilvl w:val="0"/>
          <w:numId w:val="2"/>
        </w:numPr>
        <w:spacing w:after="60"/>
      </w:pPr>
      <w:r>
        <w:rPr>
          <w:sz w:val="21"/>
          <w:szCs w:val="21"/>
        </w:rPr>
        <w:t xml:space="preserve">Formal IRB / ethics committee review, to be pursued jointly with an academic or institutional partner before any large-scale deployment</w:t>
      </w:r>
    </w:p>
    <w:p>
      <w:pPr>
        <w:pStyle w:val="ListParagraph"/>
        <w:numPr>
          <w:ilvl w:val="0"/>
          <w:numId w:val="2"/>
        </w:numPr>
        <w:spacing w:after="60"/>
      </w:pPr>
      <w:r>
        <w:rPr>
          <w:sz w:val="21"/>
          <w:szCs w:val="21"/>
        </w:rPr>
        <w:t xml:space="preserve">Migration from spreadsheet storage to a dedicated, access-logged database for any pilot beyond small-scale testing</w:t>
      </w:r>
    </w:p>
    <w:p>
      <w:pPr>
        <w:pStyle w:val="Heading1"/>
        <w:pBdr>
          <w:bottom w:val="single" w:color="1F4E5F" w:sz="6" w:space="4"/>
        </w:pBdr>
        <w:spacing w:after="150" w:before="300"/>
      </w:pPr>
      <w:r>
        <w:rPr>
          <w:b/>
          <w:bCs/>
          <w:color w:val="1F4E5F"/>
          <w:sz w:val="26"/>
          <w:szCs w:val="26"/>
        </w:rPr>
        <w:t xml:space="preserve">10. Recommended Pilot Framework</w:t>
      </w:r>
    </w:p>
    <w:p>
      <w:pPr>
        <w:spacing w:after="120"/>
      </w:pPr>
      <w:r>
        <w:rPr>
          <w:sz w:val="21"/>
          <w:szCs w:val="21"/>
        </w:rPr>
        <w:t xml:space="preserve">Given the above, the recommended path for any partner organization is a small-scale, time-boxed pilot (4–6 weeks) with a limited number of respondents in a setting the partner organization already works in, with the partner organization's own field staff overseeing consent and data collection procedures. This allows both parties to evaluate the tool's usefulness and refine safeguards before any wider use is considered.</w:t>
      </w:r>
    </w:p>
    <w:p>
      <w:pPr>
        <w:pStyle w:val="Heading1"/>
        <w:pBdr>
          <w:bottom w:val="single" w:color="1F4E5F" w:sz="6" w:space="4"/>
        </w:pBdr>
        <w:spacing w:after="150" w:before="300"/>
      </w:pPr>
      <w:r>
        <w:rPr>
          <w:b/>
          <w:bCs/>
          <w:color w:val="1F4E5F"/>
          <w:sz w:val="26"/>
          <w:szCs w:val="26"/>
        </w:rPr>
        <w:t xml:space="preserve">11. Contact</w:t>
      </w:r>
    </w:p>
    <w:p>
      <w:pPr>
        <w:spacing w:after="120"/>
      </w:pPr>
      <w:r>
        <w:rPr>
          <w:sz w:val="21"/>
          <w:szCs w:val="21"/>
        </w:rPr>
        <w:t xml:space="preserve">Dr. Mahdieh Rojhannezhad, Ph.D. in Genetics</w:t>
      </w:r>
    </w:p>
    <w:p>
      <w:pPr>
        <w:spacing w:after="120"/>
      </w:pPr>
      <w:r>
        <w:rPr>
          <w:sz w:val="21"/>
          <w:szCs w:val="21"/>
        </w:rPr>
        <w:t xml:space="preserve">Email: mahdiehrojhan@gmail.com</w:t>
      </w:r>
    </w:p>
    <w:p>
      <w:pPr>
        <w:spacing w:after="120"/>
      </w:pPr>
      <w:r>
        <w:rPr>
          <w:sz w:val="21"/>
          <w:szCs w:val="21"/>
        </w:rPr>
        <w:t xml:space="preserve">GitHub: github.com/RojhanGenomics  |  Portfolio: RojhanGenomics.github.io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2026-07-13T06:56:06.929Z</dcterms:created>
  <dcterms:modified xsi:type="dcterms:W3CDTF">2026-07-13T06:56:06.929Z</dcterms:modified>
</cp:coreProperties>
</file>

<file path=docProps/custom.xml><?xml version="1.0" encoding="utf-8"?>
<Properties xmlns="http://schemas.openxmlformats.org/officeDocument/2006/custom-properties" xmlns:vt="http://schemas.openxmlformats.org/officeDocument/2006/docPropsVTypes"/>
</file>