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60"/>
      </w:pPr>
      <w:r>
        <w:rPr>
          <w:rFonts w:ascii="Times New Roman" w:hAnsi="Times New Roman" w:cs="Times New Roman"/>
          <w:sz w:val="32"/>
          <w:sz-cs w:val="32"/>
          <w:b/>
        </w:rPr>
        <w:t xml:space="preserve">Tenshug Offering by Civil Society in Dharamshala:</w:t>
      </w:r>
    </w:p>
    <w:p>
      <w:pPr>
        <w:jc w:val="center"/>
        <w:spacing w:before="240" w:after="60"/>
      </w:pPr>
      <w:r>
        <w:rPr>
          <w:rFonts w:ascii="Times New Roman" w:hAnsi="Times New Roman" w:cs="Times New Roman"/>
          <w:sz w:val="32"/>
          <w:sz-cs w:val="32"/>
          <w:b/>
        </w:rPr>
        <w:t xml:space="preserve">Ritual as Action for the Tibet Cause</w:t>
      </w:r>
    </w:p>
    <w:p>
      <w:pP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Jyotsna Roy</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On 11th March 2026, Tibet Support Groups (TSGs) from across India gathered in Dharamshala to offer a Tenshug to His Holiness the 14th Dalai Lama, Tenzin Gyatso. While conventionally a religious act expressing devotion and a wish for longevity, TSGs approached the Tenshug as a considered action in addition to a prayer. In this construction, ritual produces social and political effects. Tenshug becomes a mode of intervention through which civil society reaffirms collective commitment to the Tibetan cause and deep regard for His Holiness.</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Civil Society Formation for the Cause of Tibet</w:t>
      </w:r>
    </w:p>
    <w:p>
      <w:pPr>
        <w:spacing w:after="160"/>
      </w:pPr>
      <w:r>
        <w:rPr>
          <w:rFonts w:ascii="Times New Roman" w:hAnsi="Times New Roman" w:cs="Times New Roman"/>
          <w:sz w:val="24"/>
          <w:sz-cs w:val="24"/>
        </w:rPr>
        <w:t xml:space="preserve">Participation of TSGs in the Tenshug reflects their long history of engagement with Tibet since the watershed events of 1959. Over time, the movement has evolved from dispersed expressions of solidarity into coordinated efforts. The formation of the Core Group for Tibetan Cause–India (CGTC-I), constituted under the guidance of venerable Prof. Samdhong Rinpoche, represents institutional consolidation aimed at strengthening coordination. The Tenshug offered by the TSGs reflects maturation. </w:t>
      </w:r>
    </w:p>
    <w:p>
      <w:pPr>
        <w:spacing w:after="160"/>
      </w:pPr>
      <w:r>
        <w:rPr>
          <w:rFonts w:ascii="Times New Roman" w:hAnsi="Times New Roman" w:cs="Times New Roman"/>
          <w:sz w:val="24"/>
          <w:sz-cs w:val="24"/>
        </w:rPr>
        <w:t xml:space="preserve">Participation of 450 delegates—women and men from diverse regions, and belief systems—underscored the extensive support for the Tibet cause among the Indian civil society. Contributions to the commemorative souvenir by those unable to attend extended participation beyond physical presence, creating a wider community of engagement within the movement.</w:t>
      </w:r>
    </w:p>
    <w:p>
      <w:pPr>
        <w:spacing w:after="160"/>
      </w:pPr>
      <w:r>
        <w:rPr>
          <w:rFonts w:ascii="Times New Roman" w:hAnsi="Times New Roman" w:cs="Times New Roman"/>
          <w:sz w:val="24"/>
          <w:sz-cs w:val="24"/>
          <w:b/>
        </w:rPr>
        <w:t xml:space="preserve">Time Frame and Commemorative Layers of Tenshug Offering</w:t>
      </w:r>
    </w:p>
    <w:p>
      <w:pPr>
        <w:spacing w:after="160"/>
      </w:pPr>
      <w:r>
        <w:rPr>
          <w:rFonts w:ascii="Times New Roman" w:hAnsi="Times New Roman" w:cs="Times New Roman"/>
          <w:sz w:val="24"/>
          <w:sz-cs w:val="24"/>
        </w:rPr>
        <w:t xml:space="preserve">The timing of the ceremony added meaning, as it took place between 10th March, marking  the Tibetan Uprising of 1959, and 12th March, commemorating the Tibetan Women’s Uprising Day, situating the event within a spectrum of resistance and gendered expression.</w:t>
      </w:r>
    </w:p>
    <w:p>
      <w:pPr>
        <w:spacing w:after="160"/>
      </w:pPr>
      <w:r>
        <w:rPr>
          <w:rFonts w:ascii="Times New Roman" w:hAnsi="Times New Roman" w:cs="Times New Roman"/>
          <w:sz w:val="24"/>
          <w:sz-cs w:val="24"/>
        </w:rPr>
        <w:t xml:space="preserve">The Central Tibetan Administration (CTA) designated the year 2025–26 as the ‘Year of Compassion’ to mark the 90th birth anniversary of His Holiness the Dalai Lama. Compassion is raised from a personal ethic to a value for collective action. The Tenshug, therefore, linked past sacrifices, present commitment, and continuity in the future. </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Ritual as Action  </w:t>
      </w:r>
    </w:p>
    <w:p>
      <w:pPr>
        <w:spacing w:after="160"/>
      </w:pPr>
      <w:r>
        <w:rPr>
          <w:rFonts w:ascii="Times New Roman" w:hAnsi="Times New Roman" w:cs="Times New Roman"/>
          <w:sz w:val="24"/>
          <w:sz-cs w:val="24"/>
        </w:rPr>
        <w:t xml:space="preserve">Alternative forms of engagement emerge when formal diplomatic engagement is circumspect. In this setting, this ancient ritual functions as an action; it represents and shapes social realities.</w:t>
      </w:r>
    </w:p>
    <w:p>
      <w:pPr>
        <w:spacing w:after="160"/>
      </w:pPr>
      <w:r>
        <w:rPr>
          <w:rFonts w:ascii="Times New Roman" w:hAnsi="Times New Roman" w:cs="Times New Roman"/>
          <w:sz w:val="24"/>
          <w:sz-cs w:val="24"/>
        </w:rPr>
        <w:t xml:space="preserve">In the language of movements, this Tenshug exemplifies ritual as action, where collective participation produces social and political effects. Through ritualised offerings, shared texts, and embodied presence, participants reinforced shared values and commitments without confrontation, reflecting what Erving Goffman describes as the significance of co-presence in structuring social action. Drawing on Clifford Geertz, ritual may be understood as a system of meaning and a mechanism through which coherence and legitimacy are produced.</w:t>
      </w:r>
    </w:p>
    <w:p>
      <w:pPr>
        <w:spacing w:after="160"/>
      </w:pPr>
      <w:r>
        <w:rPr>
          <w:rFonts w:ascii="Times New Roman" w:hAnsi="Times New Roman" w:cs="Times New Roman"/>
          <w:sz w:val="24"/>
          <w:sz-cs w:val="24"/>
        </w:rPr>
        <w:t xml:space="preserve">Moments were organically built to enable all the delegates to be in the presence of His Holiness, the 14th Dalai Lama. The presentation of the auspicious gifts, the ‘Khatags’, the ’Bua’ presenters, culminating in the personal meeting of each of the 450 delegates with His Holiness, stamped an experience of a lifetime.</w:t>
      </w:r>
    </w:p>
    <w:p>
      <w:pPr>
        <w:spacing w:after="160"/>
      </w:pPr>
      <w:r>
        <w:rPr>
          <w:rFonts w:ascii="Times New Roman" w:hAnsi="Times New Roman" w:cs="Times New Roman"/>
          <w:sz w:val="24"/>
          <w:sz-cs w:val="24"/>
        </w:rPr>
        <w:t xml:space="preserve">Importantly, by reaffirming commitment, the ritual acts as a stabilising intervention, sustaining the moral and institutional coherence of the Tibetan cause.</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The Karuṇā Ratna and Ethical Expression</w:t>
      </w:r>
    </w:p>
    <w:p>
      <w:pPr>
        <w:spacing w:after="160"/>
      </w:pPr>
      <w:r>
        <w:rPr>
          <w:rFonts w:ascii="Times New Roman" w:hAnsi="Times New Roman" w:cs="Times New Roman"/>
          <w:sz w:val="24"/>
          <w:sz-cs w:val="24"/>
        </w:rPr>
        <w:t xml:space="preserve">Central to the ceremony was the offering of the Karuṇā Ratna (Jewel of Compassion), symbolised through a beautifully crafted token encased in crystal. The accompanying scroll defined compassion as “courage in action and responsibility towards all beings,” extending karuṇā into an ethic of engagement. Compassion here is active and linking spiritual values with social responsibility. </w:t>
      </w:r>
    </w:p>
    <w:p>
      <w:pPr>
        <w:spacing w:after="160"/>
      </w:pPr>
      <w:r>
        <w:rPr>
          <w:rFonts w:ascii="Times New Roman" w:hAnsi="Times New Roman" w:cs="Times New Roman"/>
          <w:sz w:val="24"/>
          <w:sz-cs w:val="24"/>
        </w:rPr>
        <w:t xml:space="preserve">Invocation of India as the soil of offering, in the scroll, situated the act within a shared civilisational ethos shaped by karuṇā and ahiṃsā. References such as ‘Sarve Bhavantu Sukhinah’ and ‘Sarva Maṅgalam’ reinforced a shared ethical lexicon.</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His Holiness with the Karuna Ratna</w:t>
      </w:r>
    </w:p>
    <w:p>
      <w:pPr>
        <w:spacing w:after="160"/>
      </w:pPr>
      <w:r>
        <w:rPr>
          <w:rFonts w:ascii="Times New Roman" w:hAnsi="Times New Roman" w:cs="Times New Roman"/>
          <w:sz w:val="24"/>
          <w:sz-cs w:val="24"/>
        </w:rPr>
        <w:t xml:space="preserve">Source: Authors own collection</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Voice and Collective Commitment</w:t>
      </w:r>
    </w:p>
    <w:p>
      <w:pPr>
        <w:spacing w:after="160"/>
      </w:pPr>
      <w:r>
        <w:rPr>
          <w:rFonts w:ascii="Times New Roman" w:hAnsi="Times New Roman" w:cs="Times New Roman"/>
          <w:sz w:val="24"/>
          <w:sz-cs w:val="24"/>
        </w:rPr>
        <w:t xml:space="preserve">The ceremonial scroll read on behalf of the TSGs by the CGTC-I articulated the importance of the Dalai Lama’s presence as a source of resilience for Tibetans, a revered teacher in India, and a global moral voice. His life was described as a bridge between suffering and dignity, and exile and belonging.</w:t>
      </w:r>
    </w:p>
    <w:p>
      <w:pPr>
        <w:spacing w:after="160"/>
      </w:pPr>
      <w:r>
        <w:rPr>
          <w:rFonts w:ascii="Times New Roman" w:hAnsi="Times New Roman" w:cs="Times New Roman"/>
          <w:sz w:val="24"/>
          <w:sz-cs w:val="24"/>
        </w:rPr>
        <w:t xml:space="preserve">The pledge read on behalf of the TSGs reinforced the above expression. Delegates pledged to highlight, at all appropriate platforms, the importance of dialogue between representatives of the Dalai Lama and the People’s Republic of China (PRC). They also pledged to uphold the continuity of the institution of the Dalai Lama and to articulate the Tibetan cause across national and international fora. This pledge constitutes an act of collective affirmation. </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The Karuna Ratna</w:t>
      </w:r>
    </w:p>
    <w:p>
      <w:pPr>
        <w:spacing w:after="160"/>
      </w:pPr>
      <w:r>
        <w:rPr>
          <w:rFonts w:ascii="Times New Roman" w:hAnsi="Times New Roman" w:cs="Times New Roman"/>
          <w:sz w:val="24"/>
          <w:sz-cs w:val="24"/>
        </w:rPr>
        <w:t xml:space="preserve">Source: Authors own collection</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Spatial Significance: Dharamshala as Site</w:t>
      </w:r>
    </w:p>
    <w:p>
      <w:pPr>
        <w:spacing w:after="160"/>
      </w:pPr>
      <w:r>
        <w:rPr>
          <w:rFonts w:ascii="Times New Roman" w:hAnsi="Times New Roman" w:cs="Times New Roman"/>
          <w:sz w:val="24"/>
          <w:sz-cs w:val="24"/>
        </w:rPr>
        <w:t xml:space="preserve">The location amplified the meaning of the Tenshug offering. Dharamshala is the locus of a spiritual centre and political site as it is the residence of the Dalai Lama and the seat of the CTA. The Tsuglagkhang Temple complex represents the institutional heart of Tibetan life in exile. The presence of the Sikyong, Kashag members, Ama Jetsun Pema la, and other key dignitaries was a recognition of the partnership with the TSGs of India. </w:t>
      </w:r>
    </w:p>
    <w:p>
      <w:pPr>
        <w:spacing w:after="160"/>
      </w:pPr>
      <w:r>
        <w:rPr>
          <w:rFonts w:ascii="Times New Roman" w:hAnsi="Times New Roman" w:cs="Times New Roman"/>
          <w:sz w:val="24"/>
          <w:sz-cs w:val="24"/>
        </w:rPr>
        <w:t xml:space="preserve">The location enacted continuity despite displacement, anchoring the Tibet cause within a lived geography and reinforcing its legitimacy.</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Creative Civil Society Engagement</w:t>
      </w:r>
    </w:p>
    <w:p>
      <w:pPr>
        <w:spacing w:after="160"/>
      </w:pPr>
      <w:r>
        <w:rPr>
          <w:rFonts w:ascii="Times New Roman" w:hAnsi="Times New Roman" w:cs="Times New Roman"/>
          <w:sz w:val="24"/>
          <w:sz-cs w:val="24"/>
        </w:rPr>
        <w:t xml:space="preserve">The Tenshug highlights how civil society engages creatively within structural constraints. This ritual provides an alternative mode of engagement and strong communication. At the same time, the event reflects India’s calibrated position on the Tibetan issue. While the state maintains diplomatic caution, civil society engagement remains active, sustaining the moral presence of the Tibetan cause in the civic sphere.</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Continuity and Leadership</w:t>
      </w:r>
    </w:p>
    <w:p>
      <w:pPr>
        <w:spacing w:after="160"/>
      </w:pPr>
      <w:r>
        <w:rPr>
          <w:rFonts w:ascii="Times New Roman" w:hAnsi="Times New Roman" w:cs="Times New Roman"/>
          <w:sz w:val="24"/>
          <w:sz-cs w:val="24"/>
        </w:rPr>
        <w:t xml:space="preserve">The offering of Tenshug signifies a collective effort to reduce uncertainty, especially among Indian supporters of the Tibetan cause.  This Tenshug offering to the Dalai Lama reflects both reverence and the criticality of the present moment. The pledge affirmed the present while preparing for transforming into a collective resolve.</w:t>
      </w:r>
    </w:p>
    <w:p>
      <w:pPr>
        <w:spacing w:after="160"/>
      </w:pPr>
      <w:r>
        <w:rPr>
          <w:rFonts w:ascii="Times New Roman" w:hAnsi="Times New Roman" w:cs="Times New Roman"/>
          <w:sz w:val="24"/>
          <w:sz-cs w:val="24"/>
        </w:rPr>
        <w:t xml:space="preserve">Tenshug offered by Indian TSGs concluded with carefully curated cultural performances from states in the North-East and South of India.  The Tenshug thus becomes a prayer for longevity and a reiteration of commitment towards the Tibetan cause.</w:t>
      </w:r>
    </w:p>
    <w:p>
      <w:pPr>
        <w:spacing w:after="16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Conclusion</w:t>
      </w:r>
    </w:p>
    <w:p>
      <w:pPr>
        <w:spacing w:after="160"/>
      </w:pPr>
      <w:r>
        <w:rPr>
          <w:rFonts w:ascii="Times New Roman" w:hAnsi="Times New Roman" w:cs="Times New Roman"/>
          <w:sz w:val="24"/>
          <w:sz-cs w:val="24"/>
          <w:color w:val="000000"/>
        </w:rPr>
        <w:t xml:space="preserve">I have been a supporter of the Tibetan cause since my early days and as the founding President of the Women’s Wing of India Tibet Friendship Society (ITFS), I have had the good fortune of meeting His Holiness the Dalai Lama and receiving guidance from him. I have reached the Gelugpa lineage through political action.  For the Tibet cause, I have advocated creatively at every opportunity, even during my professional work in other countries. </w:t>
      </w:r>
    </w:p>
    <w:p>
      <w:pPr>
        <w:spacing w:after="160"/>
      </w:pPr>
      <w:r>
        <w:rPr>
          <w:rFonts w:ascii="Times New Roman" w:hAnsi="Times New Roman" w:cs="Times New Roman"/>
          <w:sz w:val="24"/>
          <w:sz-cs w:val="24"/>
          <w:color w:val="000000"/>
        </w:rPr>
        <w:t xml:space="preserve">For me, offering of the Tenshug by TSGs’ on 11 March 2026 presented a moment to revitalise support among Indian TSGs, even the Karuṇā Ratna, conceptualised by the women advocates of TSGs, reflected a deep understanding of its significance.  It illuminates ritual transforming into action within civil society engagement. The event created a space where ethic and political aspiration converged through ceremonial offerings and participation of Indian TSGs.</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References</w:t>
      </w:r>
    </w:p>
    <w:p>
      <w:pPr>
        <w:spacing w:after="160"/>
      </w:pPr>
      <w:r>
        <w:rPr>
          <w:rFonts w:ascii="Times New Roman" w:hAnsi="Times New Roman" w:cs="Times New Roman"/>
          <w:sz w:val="24"/>
          <w:sz-cs w:val="24"/>
        </w:rPr>
        <w:t xml:space="preserve"> HYPERLINK "https://www.google.com/search?q=Explain+Tenshuk&amp;rlz=1C1LOQA_enIN1191IN1191&amp;oq=Explain+Tenshuk+&amp;gs_lcrp=EgZjaHJvbWUyBggAEEUYOTIHCAEQIRigATIHCAIQIRigATIHCAMQIRigATIHCAQQIRiPAjIHCAUQIRiPAtIBCTc1NTdqMGoxNagCCLACAfEFbz5z2ji6l4s&amp;sourceid=chrome&amp;ie=UTF-8" </w:t>
      </w:r>
      <w:r>
        <w:rPr>
          <w:rFonts w:ascii="Times New Roman" w:hAnsi="Times New Roman" w:cs="Times New Roman"/>
          <w:sz w:val="24"/>
          <w:sz-cs w:val="24"/>
          <w:u w:val="single"/>
          <w:color w:val="0563C1"/>
        </w:rPr>
        <w:t xml:space="preserve">https://www.google.com/search?q=Explain+Tenshuk&amp;rlz=1C1LOQA_enIN1191IN1191&amp;oq=Explain+Tenshuk+&amp;gs_lcrp=EgZjaHJvbWUyBggAEEUYOTIHCAEQIRigATIHCAIQIRigATIHCAMQIRigATIHCAQQIRiPAjIHCAUQIRiPAtIBCTc1NTdqMGoxNagCCLACAfEFbz5z2ji6l4s&amp;sourceid=chrome&amp;ie=UTF-8</w:t>
      </w: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Central Tibetan Administration (CTA). (2025–26). </w:t>
      </w:r>
      <w:r>
        <w:rPr>
          <w:rFonts w:ascii="Times New Roman" w:hAnsi="Times New Roman" w:cs="Times New Roman"/>
          <w:sz w:val="24"/>
          <w:sz-cs w:val="24"/>
          <w:i/>
        </w:rPr>
        <w:t xml:space="preserve">Communication on the 90th Birth Anniversary of His Holiness the 14th Dalai Lama and the Year of Compassion</w:t>
      </w:r>
      <w:r>
        <w:rPr>
          <w:rFonts w:ascii="Times New Roman" w:hAnsi="Times New Roman" w:cs="Times New Roman"/>
          <w:sz w:val="24"/>
          <w:sz-cs w:val="24"/>
        </w:rPr>
        <w:t xml:space="preserve">.</w:t>
      </w:r>
    </w:p>
    <w:p>
      <w:pPr>
        <w:spacing w:after="160"/>
      </w:pPr>
      <w:r>
        <w:rPr>
          <w:rFonts w:ascii="Times New Roman" w:hAnsi="Times New Roman" w:cs="Times New Roman"/>
          <w:sz w:val="24"/>
          <w:sz-cs w:val="24"/>
        </w:rPr>
        <w:t xml:space="preserve">——. (2025). </w:t>
      </w:r>
      <w:r>
        <w:rPr>
          <w:rFonts w:ascii="Times New Roman" w:hAnsi="Times New Roman" w:cs="Times New Roman"/>
          <w:sz w:val="24"/>
          <w:sz-cs w:val="24"/>
          <w:i/>
        </w:rPr>
        <w:t xml:space="preserve">Statement Affirming the Continuation of the Institution of the Dalai Lama</w:t>
      </w:r>
      <w:r>
        <w:rPr>
          <w:rFonts w:ascii="Times New Roman" w:hAnsi="Times New Roman" w:cs="Times New Roman"/>
          <w:sz w:val="24"/>
          <w:sz-cs w:val="24"/>
        </w:rPr>
        <w:t xml:space="preserve">, 2 July.</w:t>
      </w:r>
    </w:p>
    <w:p>
      <w:pPr>
        <w:spacing w:after="160"/>
      </w:pPr>
      <w:r>
        <w:rPr>
          <w:rFonts w:ascii="Times New Roman" w:hAnsi="Times New Roman" w:cs="Times New Roman"/>
          <w:sz w:val="24"/>
          <w:sz-cs w:val="24"/>
        </w:rPr>
        <w:t xml:space="preserve">Gaden Phodrang Trust. (2025). </w:t>
      </w:r>
      <w:r>
        <w:rPr>
          <w:rFonts w:ascii="Times New Roman" w:hAnsi="Times New Roman" w:cs="Times New Roman"/>
          <w:sz w:val="24"/>
          <w:sz-cs w:val="24"/>
          <w:i/>
        </w:rPr>
        <w:t xml:space="preserve">Statement on the Continuity of the Institution of the Dalai Lama.</w:t>
      </w:r>
    </w:p>
    <w:p>
      <w:pPr>
        <w:spacing w:after="160"/>
      </w:pPr>
      <w:r>
        <w:rPr>
          <w:rFonts w:ascii="Times New Roman" w:hAnsi="Times New Roman" w:cs="Times New Roman"/>
          <w:sz w:val="24"/>
          <w:sz-cs w:val="24"/>
        </w:rPr>
        <w:t xml:space="preserve">Office of His Holiness the Dalai Lama. (2026). </w:t>
      </w:r>
      <w:r>
        <w:rPr>
          <w:rFonts w:ascii="Times New Roman" w:hAnsi="Times New Roman" w:cs="Times New Roman"/>
          <w:sz w:val="24"/>
          <w:sz-cs w:val="24"/>
          <w:i/>
        </w:rPr>
        <w:t xml:space="preserve">Prayers for His Holiness’s Long Life Offered by the Core Group Supporting the Cause of Tibet in India.</w:t>
      </w:r>
    </w:p>
    <w:p>
      <w:pPr>
        <w:spacing w:after="160"/>
      </w:pPr>
      <w:r>
        <w:rPr>
          <w:rFonts w:ascii="Times New Roman" w:hAnsi="Times New Roman" w:cs="Times New Roman"/>
          <w:sz w:val="24"/>
          <w:sz-cs w:val="24"/>
        </w:rPr>
        <w:t xml:space="preserve">Core Group for Tibetan Cause – India. (2026). </w:t>
      </w:r>
      <w:r>
        <w:rPr>
          <w:rFonts w:ascii="Times New Roman" w:hAnsi="Times New Roman" w:cs="Times New Roman"/>
          <w:sz w:val="24"/>
          <w:sz-cs w:val="24"/>
          <w:i/>
        </w:rPr>
        <w:t xml:space="preserve">Tenshuk Souvenir</w:t>
      </w:r>
      <w:r>
        <w:rPr>
          <w:rFonts w:ascii="Times New Roman" w:hAnsi="Times New Roman" w:cs="Times New Roman"/>
          <w:sz w:val="24"/>
          <w:sz-cs w:val="24"/>
        </w:rPr>
        <w:t xml:space="preserve">.</w:t>
      </w:r>
    </w:p>
    <w:p>
      <w:pPr>
        <w:spacing w:after="160"/>
      </w:pPr>
      <w:r>
        <w:rPr>
          <w:rFonts w:ascii="Times New Roman" w:hAnsi="Times New Roman" w:cs="Times New Roman"/>
          <w:sz w:val="24"/>
          <w:sz-cs w:val="24"/>
        </w:rPr>
        <w:t xml:space="preserve">Geertz, Clifford. (1973). </w:t>
      </w:r>
      <w:r>
        <w:rPr>
          <w:rFonts w:ascii="Times New Roman" w:hAnsi="Times New Roman" w:cs="Times New Roman"/>
          <w:sz w:val="24"/>
          <w:sz-cs w:val="24"/>
          <w:i/>
        </w:rPr>
        <w:t xml:space="preserve">The Interpretation of Cultures</w:t>
      </w:r>
      <w:r>
        <w:rPr>
          <w:rFonts w:ascii="Times New Roman" w:hAnsi="Times New Roman" w:cs="Times New Roman"/>
          <w:sz w:val="24"/>
          <w:sz-cs w:val="24"/>
        </w:rPr>
        <w:t xml:space="preserve">. New York: Basic Books.</w:t>
      </w:r>
    </w:p>
    <w:p>
      <w:pPr>
        <w:spacing w:after="160"/>
      </w:pPr>
      <w:r>
        <w:rPr>
          <w:rFonts w:ascii="Times New Roman" w:hAnsi="Times New Roman" w:cs="Times New Roman"/>
          <w:sz w:val="24"/>
          <w:sz-cs w:val="24"/>
        </w:rPr>
        <w:t xml:space="preserve">Goffman, Erving. (1963). </w:t>
      </w:r>
      <w:r>
        <w:rPr>
          <w:rFonts w:ascii="Times New Roman" w:hAnsi="Times New Roman" w:cs="Times New Roman"/>
          <w:sz w:val="24"/>
          <w:sz-cs w:val="24"/>
          <w:i/>
        </w:rPr>
        <w:t xml:space="preserve">Behaviour in Public Places: Notes on the Social Organization of Gatherings</w:t>
      </w:r>
      <w:r>
        <w:rPr>
          <w:rFonts w:ascii="Times New Roman" w:hAnsi="Times New Roman" w:cs="Times New Roman"/>
          <w:sz w:val="24"/>
          <w:sz-cs w:val="24"/>
        </w:rPr>
        <w:t xml:space="preserve">. New York: Free Press.</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About the Author</w:t>
      </w:r>
    </w:p>
    <w:p>
      <w:pPr>
        <w:spacing w:after="160"/>
      </w:pPr>
      <w:r>
        <w:rPr>
          <w:rFonts w:ascii="Times New Roman" w:hAnsi="Times New Roman" w:cs="Times New Roman"/>
          <w:sz w:val="22"/>
          <w:sz-cs w:val="22"/>
        </w:rPr>
        <w:t xml:space="preserve">Jyotsna Roy is a social scientist with over four decades of experience in institutional and social development, mostly in post-conflict countries in Southeast Asia, South Asia, and East and Southern Africa, serving as a team leader and expert with multilateral and bilateral organisations.</w:t>
        <w:br/>
        <w:t xml:space="preserve">As an advocate for the Tibet cause, she is currently the National Treasurer of the India Tibet Friendship Society (ITFS). Jyotsna has been a member of the “Organising Committee for the Tenshug Offering, 2026”, and served as editor of the commemorative souvenir.</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0"/>
          <w:sz-cs w:val="20"/>
        </w:rPr>
        <w:t xml:space="preserve"> </w:t>
      </w:r>
      <w:r>
        <w:rPr>
          <w:rFonts w:ascii="Times New Roman" w:hAnsi="Times New Roman" w:cs="Times New Roman"/>
          <w:sz w:val="18"/>
          <w:sz-cs w:val="18"/>
        </w:rPr>
        <w:t xml:space="preserve">Ritual as action here refers to understanding ritual not just as symbolic or devotional expression, but as a practice that produces social and political effects. It becomes a way through which collective identity is affirmed, ethical commitments are expressed, and continuity is sustained, especially where formal institutional or diplomatic avenues are limited.</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t>
      </w:r>
      <w:r>
        <w:rPr>
          <w:rFonts w:ascii="Times New Roman" w:hAnsi="Times New Roman" w:cs="Times New Roman"/>
          <w:sz w:val="18"/>
          <w:sz-cs w:val="18"/>
        </w:rPr>
        <w:t xml:space="preserve">Embodied presence refers to people being physically present together in a shared space, where meaning, commitment, and social relations are expressed through participation. It highlights that engagement is not only symbolic but also involves being visibly and collectively present.</w:t>
      </w:r>
      <w:r>
        <w:rPr>
          <w:rFonts w:ascii="Times New Roman" w:hAnsi="Times New Roman" w:cs="Times New Roman"/>
          <w:sz w:val="20"/>
          <w:sz-cs w:val="20"/>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Rebon Rebon</cp:lastModifiedBy>
  <dcterms:created>2026-05-02T12:18:00Z</dcterms:created>
  <dcterms:modified>2026-05-02T12:18:00Z</dcterms:modified>
</cp:coreProperties>
</file>

<file path=docProps/meta.xml><?xml version="1.0" encoding="utf-8"?>
<meta xmlns="http://schemas.apple.com/cocoa/2006/metadata">
  <generator>CocoaOOXMLWriter/2685.6</generator>
</meta>
</file>