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極秘企画書</w:t>
      </w:r>
    </w:p>
    <w:p>
      <w:pPr>
        <w:spacing w:after="240"/>
        <w:jc w:val="center"/>
      </w:pPr>
      <w:r>
        <w:rPr>
          <w:b/>
          <w:bCs/>
          <w:sz w:val="40"/>
          <w:szCs w:val="40"/>
        </w:rPr>
        <w:t xml:space="preserve">世界メモリ市場</w:t>
      </w:r>
    </w:p>
    <w:p>
      <w:pPr>
        <w:spacing w:after="1440"/>
        <w:jc w:val="center"/>
      </w:pPr>
      <w:r>
        <w:rPr>
          <w:b/>
          <w:bCs/>
          <w:sz w:val="40"/>
          <w:szCs w:val="40"/>
        </w:rPr>
        <w:t xml:space="preserve">完全独占戦略</w:t>
      </w:r>
    </w:p>
    <w:p>
      <w:pPr>
        <w:spacing w:after="240"/>
        <w:jc w:val="center"/>
      </w:pPr>
      <w:r>
        <w:rPr>
          <w:sz w:val="28"/>
          <w:szCs w:val="28"/>
        </w:rPr>
        <w:t xml:space="preserve">～無限資金による市場制覇計画～</w:t>
      </w:r>
    </w:p>
    <w:p>
      <w:pPr>
        <w:spacing w:before="720"/>
        <w:jc w:val="center"/>
      </w:pPr>
      <w:r>
        <w:rPr>
          <w:sz w:val="24"/>
          <w:szCs w:val="24"/>
        </w:rPr>
        <w:t xml:space="preserve">2026年2月</w:t>
      </w:r>
    </w:p>
    <w:p>
      <w:r>class PageBreak extends Run {
  constructor() {
    super({});
    this.root.push(new Break2(BreakType.PAGE));
  }
}</w:r>
    </w:p>
    <w:p>
      <w:pPr>
        <w:pStyle w:val="Heading1"/>
      </w:pPr>
      <w:r>
        <w:t xml:space="preserve">1. エグゼクティブサマリー</w:t>
      </w:r>
    </w:p>
    <w:p>
      <w:pPr>
        <w:spacing w:after="240"/>
      </w:pPr>
      <w:r>
        <w:t xml:space="preserve">本企画は、無限の資金力を活用し、世界のメモリ(DRAM・NAND)市場における完全支配を実現するものじゃ。段階的な買収戦略により、5年以内に市場シェア95%以上を達成し、技術革新と価格決定権を掌握いたす。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目標期間</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5年以内（2031年まで）</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必要資金</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7,500億ドル～1兆ドル</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目標シェア</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95%以上（DRAM・NAND合計）</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期待ROI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年間30-40%（独占後）</w:t>
            </w:r>
          </w:p>
        </w:tc>
      </w:tr>
    </w:tbl>
    <w:p>
      <w:pPr>
        <w:spacing w:before="240"/>
      </w:pPr>
      <w:r>
        <w:t xml:space="preserve"/>
      </w:r>
    </w:p>
    <w:p>
      <w:pPr>
        <w:pStyle w:val="Heading1"/>
      </w:pPr>
      <w:r>
        <w:t xml:space="preserve">2. 現状市場分析</w:t>
      </w:r>
    </w:p>
    <w:p>
      <w:pPr>
        <w:pStyle w:val="Heading2"/>
      </w:pPr>
      <w:r>
        <w:t xml:space="preserve">2.1 市場規模</w:t>
      </w:r>
    </w:p>
    <w:p>
      <w:pPr>
        <w:pStyle w:val="ListParagraph"/>
        <w:numPr>
          <w:ilvl w:val="0"/>
          <w:numId w:val="2"/>
        </w:numPr>
      </w:pPr>
      <w:r>
        <w:t xml:space="preserve">世界メモリ市場規模：約1,500億ドル（2025年）</w:t>
      </w:r>
    </w:p>
    <w:p>
      <w:pPr>
        <w:pStyle w:val="ListParagraph"/>
        <w:numPr>
          <w:ilvl w:val="0"/>
          <w:numId w:val="2"/>
        </w:numPr>
      </w:pPr>
      <w:r>
        <w:t xml:space="preserve">DRAM市場：約900億ドル</w:t>
      </w:r>
    </w:p>
    <w:p>
      <w:pPr>
        <w:pStyle w:val="ListParagraph"/>
        <w:numPr>
          <w:ilvl w:val="0"/>
          <w:numId w:val="2"/>
        </w:numPr>
      </w:pPr>
      <w:r>
        <w:t xml:space="preserve">NAND市場：約600億ドル</w:t>
      </w:r>
    </w:p>
    <w:p>
      <w:pPr>
        <w:pStyle w:val="ListParagraph"/>
        <w:numPr>
          <w:ilvl w:val="0"/>
          <w:numId w:val="2"/>
        </w:numPr>
      </w:pPr>
      <w:r>
        <w:t xml:space="preserve">年平均成長率：8-12%</w:t>
      </w:r>
    </w:p>
    <w:p>
      <w:pPr>
        <w:pStyle w:val="Heading2"/>
        <w:spacing w:before="360"/>
      </w:pPr>
      <w:r>
        <w:t xml:space="preserve">2.2 主要プレイヤー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企業名</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市場シェア</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時価総額</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買収価格予測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Samsung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3,200億ドル</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4,800億ドル</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 Hynix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850億ドル</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1,280億ドル</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950億ドル</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1,430億ドル</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その他</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計200億ドル</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300億ドル</w:t>
            </w:r>
          </w:p>
        </w:tc>
      </w:tr>
    </w:tbl>
    <w:p>
      <w:pPr>
        <w:spacing w:before="240"/>
      </w:pPr>
      <w:r>
        <w:t xml:space="preserve"/>
      </w:r>
    </w:p>
    <w:p>
      <w:pPr>
        <w:pStyle w:val="Heading1"/>
      </w:pPr>
      <w:r>
        <w:t xml:space="preserve">3. 段階的買収戦略</w:t>
      </w:r>
    </w:p>
    <w:p>
      <w:pPr>
        <w:pStyle w:val="Heading2"/>
      </w:pPr>
      <w:r>
        <w:t xml:space="preserve">3.1 フェーズ1：周辺企業の制圧（1年目）</w:t>
      </w:r>
    </w:p>
    <w:p>
      <w:pPr>
        <w:spacing w:after="120"/>
      </w:pPr>
      <w:r>
        <w:rPr>
          <w:b/>
          <w:bCs/>
        </w:rPr>
        <w:t xml:space="preserve">予算：300億ドル</w:t>
      </w:r>
    </w:p>
    <w:p>
      <w:pPr>
        <w:pStyle w:val="ListParagraph"/>
        <w:numPr>
          <w:ilvl w:val="0"/>
          <w:numId w:val="2"/>
        </w:numPr>
      </w:pPr>
      <w:r>
        <w:t xml:space="preserve">中小メモリメーカーの買収（台湾・中国企業）</w:t>
      </w:r>
    </w:p>
    <w:p>
      <w:pPr>
        <w:pStyle w:val="ListParagraph"/>
        <w:numPr>
          <w:ilvl w:val="0"/>
          <w:numId w:val="2"/>
        </w:numPr>
      </w:pPr>
      <w:r>
        <w:t xml:space="preserve">パッケージング企業の統合</w:t>
      </w:r>
    </w:p>
    <w:p>
      <w:pPr>
        <w:pStyle w:val="ListParagraph"/>
        <w:numPr>
          <w:ilvl w:val="0"/>
          <w:numId w:val="2"/>
        </w:numPr>
      </w:pPr>
      <w:r>
        <w:t xml:space="preserve">製造装置メーカーへの資本参加</w:t>
      </w:r>
    </w:p>
    <w:p>
      <w:pPr>
        <w:pStyle w:val="ListParagraph"/>
        <w:numPr>
          <w:ilvl w:val="0"/>
          <w:numId w:val="2"/>
        </w:numPr>
      </w:pPr>
      <w:r>
        <w:t xml:space="preserve">原材料サプライヤーの囲い込み</w:t>
      </w:r>
    </w:p>
    <w:p>
      <w:pPr>
        <w:pStyle w:val="Heading2"/>
        <w:spacing w:before="360"/>
      </w:pPr>
      <w:r>
        <w:t xml:space="preserve">3.2 フェーズ2：Micronの完全買収（2年目）</w:t>
      </w:r>
    </w:p>
    <w:p>
      <w:pPr>
        <w:spacing w:after="120"/>
      </w:pPr>
      <w:r>
        <w:rPr>
          <w:b/>
          <w:bCs/>
        </w:rPr>
        <w:t xml:space="preserve">予算：1,430億ドル（プレミアム50%）</w:t>
      </w:r>
    </w:p>
    <w:p>
      <w:pPr>
        <w:pStyle w:val="ListParagraph"/>
        <w:numPr>
          <w:ilvl w:val="0"/>
          <w:numId w:val="3"/>
        </w:numPr>
      </w:pPr>
      <w:r>
        <w:t xml:space="preserve">友好的TOBの提案（株価の50%プレミアム）</w:t>
      </w:r>
    </w:p>
    <w:p>
      <w:pPr>
        <w:pStyle w:val="ListParagraph"/>
        <w:numPr>
          <w:ilvl w:val="0"/>
          <w:numId w:val="3"/>
        </w:numPr>
      </w:pPr>
      <w:r>
        <w:t xml:space="preserve">米国政府との交渉（国家安全保障審査対策）</w:t>
      </w:r>
    </w:p>
    <w:p>
      <w:pPr>
        <w:pStyle w:val="ListParagraph"/>
        <w:numPr>
          <w:ilvl w:val="0"/>
          <w:numId w:val="3"/>
        </w:numPr>
      </w:pPr>
      <w:r>
        <w:t xml:space="preserve">雇用維持の確約・R&amp;D投資拡大の約束</w:t>
      </w:r>
    </w:p>
    <w:p>
      <w:pPr>
        <w:pStyle w:val="ListParagraph"/>
        <w:numPr>
          <w:ilvl w:val="0"/>
          <w:numId w:val="3"/>
        </w:numPr>
      </w:pPr>
      <w:r>
        <w:t xml:space="preserve">既存経営陣の段階的交代</w:t>
      </w:r>
    </w:p>
    <w:p>
      <w:pPr>
        <w:pStyle w:val="Heading2"/>
        <w:spacing w:before="360"/>
      </w:pPr>
      <w:r>
        <w:t xml:space="preserve">3.3 フェーズ3：SK Hynixの買収（3年目）</w:t>
      </w:r>
    </w:p>
    <w:p>
      <w:pPr>
        <w:spacing w:after="120"/>
      </w:pPr>
      <w:r>
        <w:rPr>
          <w:b/>
          <w:bCs/>
        </w:rPr>
        <w:t xml:space="preserve">予算：1,280億ドル（プレミアム50%）</w:t>
      </w:r>
    </w:p>
    <w:p>
      <w:pPr>
        <w:pStyle w:val="ListParagraph"/>
        <w:numPr>
          <w:ilvl w:val="0"/>
          <w:numId w:val="3"/>
        </w:numPr>
      </w:pPr>
      <w:r>
        <w:t xml:space="preserve">韓国財閥構造を利用した交渉</w:t>
      </w:r>
    </w:p>
    <w:p>
      <w:pPr>
        <w:pStyle w:val="ListParagraph"/>
        <w:numPr>
          <w:ilvl w:val="0"/>
          <w:numId w:val="3"/>
        </w:numPr>
      </w:pPr>
      <w:r>
        <w:t xml:space="preserve">SK グループとの包括的提携の提案</w:t>
      </w:r>
    </w:p>
    <w:p>
      <w:pPr>
        <w:pStyle w:val="ListParagraph"/>
        <w:numPr>
          <w:ilvl w:val="0"/>
          <w:numId w:val="3"/>
        </w:numPr>
      </w:pPr>
      <w:r>
        <w:t xml:space="preserve">韓国政府への経済支援パッケージ提示</w:t>
      </w:r>
    </w:p>
    <w:p>
      <w:pPr>
        <w:pStyle w:val="ListParagraph"/>
        <w:numPr>
          <w:ilvl w:val="0"/>
          <w:numId w:val="3"/>
        </w:numPr>
      </w:pPr>
      <w:r>
        <w:t xml:space="preserve">現地工場の拡張投資（雇用創出）</w:t>
      </w:r>
    </w:p>
    <w:p>
      <w:r>class PageBreak extends Run {
  constructor() {
    super({});
    this.root.push(new Break2(BreakType.PAGE));
  }
}</w:r>
    </w:p>
    <w:p>
      <w:pPr>
        <w:pStyle w:val="Heading2"/>
      </w:pPr>
      <w:r>
        <w:t xml:space="preserve">3.4 フェーズ4：Samsungメモリ事業の分離買収（4-5年目）</w:t>
      </w:r>
    </w:p>
    <w:p>
      <w:pPr>
        <w:spacing w:after="120"/>
      </w:pPr>
      <w:r>
        <w:rPr>
          <w:b/>
          <w:bCs/>
        </w:rPr>
        <w:t xml:space="preserve">予算：4,800億ドル（最難関）</w:t>
      </w:r>
    </w:p>
    <w:p>
      <w:pPr>
        <w:spacing w:after="120"/>
      </w:pPr>
      <w:r>
        <w:t xml:space="preserve">Samsung電子からメモリ事業を分離させる戦略を取るのじゃ。</w:t>
      </w:r>
    </w:p>
    <w:p>
      <w:pPr>
        <w:pStyle w:val="ListParagraph"/>
        <w:numPr>
          <w:ilvl w:val="0"/>
          <w:numId w:val="3"/>
        </w:numPr>
      </w:pPr>
      <w:r>
        <w:t xml:space="preserve">段階1：Samsungへの戦略投資（10%株式取得）</w:t>
      </w:r>
    </w:p>
    <w:p>
      <w:pPr>
        <w:pStyle w:val="ListParagraph"/>
        <w:numPr>
          <w:ilvl w:val="0"/>
          <w:numId w:val="3"/>
        </w:numPr>
      </w:pPr>
      <w:r>
        <w:t xml:space="preserve">段階2：メモリ事業分社化の提案</w:t>
      </w:r>
    </w:p>
    <w:p>
      <w:pPr>
        <w:pStyle w:val="ListParagraph"/>
        <w:numPr>
          <w:ilvl w:val="0"/>
          <w:numId w:val="3"/>
        </w:numPr>
      </w:pPr>
      <w:r>
        <w:t xml:space="preserve">段階3：分離されたメモリ事業の過半数取得</w:t>
      </w:r>
    </w:p>
    <w:p>
      <w:pPr>
        <w:pStyle w:val="ListParagraph"/>
        <w:numPr>
          <w:ilvl w:val="0"/>
          <w:numId w:val="3"/>
        </w:numPr>
      </w:pPr>
      <w:r>
        <w:t xml:space="preserve">段階4：完全子会社化</w:t>
      </w:r>
    </w:p>
    <w:p>
      <w:pPr>
        <w:spacing w:before="240" w:after="120"/>
      </w:pPr>
      <w:r>
        <w:rPr>
          <w:b/>
          <w:bCs/>
        </w:rPr>
        <w:t xml:space="preserve">交渉カード：</w:t>
      </w:r>
    </w:p>
    <w:p>
      <w:pPr>
        <w:pStyle w:val="ListParagraph"/>
        <w:numPr>
          <w:ilvl w:val="0"/>
          <w:numId w:val="2"/>
        </w:numPr>
      </w:pPr>
      <w:r>
        <w:t xml:space="preserve">Lee家への個人的利益提供</w:t>
      </w:r>
    </w:p>
    <w:p>
      <w:pPr>
        <w:pStyle w:val="ListParagraph"/>
        <w:numPr>
          <w:ilvl w:val="0"/>
          <w:numId w:val="2"/>
        </w:numPr>
      </w:pPr>
      <w:r>
        <w:t xml:space="preserve">韓国政府への巨額インフラ投資</w:t>
      </w:r>
    </w:p>
    <w:p>
      <w:pPr>
        <w:pStyle w:val="ListParagraph"/>
        <w:numPr>
          <w:ilvl w:val="0"/>
          <w:numId w:val="2"/>
        </w:numPr>
      </w:pPr>
      <w:r>
        <w:t xml:space="preserve">Samsungの他事業（スマホ・家電）への技術支援</w:t>
      </w:r>
    </w:p>
    <w:p>
      <w:pPr>
        <w:pStyle w:val="ListParagraph"/>
        <w:numPr>
          <w:ilvl w:val="0"/>
          <w:numId w:val="2"/>
        </w:numPr>
      </w:pPr>
      <w:r>
        <w:t xml:space="preserve">次世代半導体研究所の韓国設置</w:t>
      </w:r>
    </w:p>
    <w:p>
      <w:pPr>
        <w:spacing w:before="360"/>
      </w:pPr>
      <w:r>
        <w:t xml:space="preserve"/>
      </w:r>
    </w:p>
    <w:p>
      <w:pPr>
        <w:pStyle w:val="Heading1"/>
      </w:pPr>
      <w:r>
        <w:t xml:space="preserve">4. 規制当局対策</w:t>
      </w:r>
    </w:p>
    <w:p>
      <w:pPr>
        <w:pStyle w:val="Heading2"/>
      </w:pPr>
      <w:r>
        <w:t xml:space="preserve">4.1 独占禁止法への対応</w:t>
      </w:r>
    </w:p>
    <w:p>
      <w:pPr>
        <w:pStyle w:val="ListParagraph"/>
        <w:numPr>
          <w:ilvl w:val="0"/>
          <w:numId w:val="2"/>
        </w:numPr>
      </w:pPr>
      <w:r>
        <w:t xml:space="preserve">複数の子会社として運営（表面上の競争維持）</w:t>
      </w:r>
    </w:p>
    <w:p>
      <w:pPr>
        <w:pStyle w:val="ListParagraph"/>
        <w:numPr>
          <w:ilvl w:val="0"/>
          <w:numId w:val="2"/>
        </w:numPr>
      </w:pPr>
      <w:r>
        <w:t xml:space="preserve">ブランドの独立性維持</w:t>
      </w:r>
    </w:p>
    <w:p>
      <w:pPr>
        <w:pStyle w:val="ListParagraph"/>
        <w:numPr>
          <w:ilvl w:val="0"/>
          <w:numId w:val="2"/>
        </w:numPr>
      </w:pPr>
      <w:r>
        <w:t xml:space="preserve">価格カルテルではなく「自然な市場メカニズム」として説明</w:t>
      </w:r>
    </w:p>
    <w:p>
      <w:pPr>
        <w:pStyle w:val="ListParagraph"/>
        <w:numPr>
          <w:ilvl w:val="0"/>
          <w:numId w:val="2"/>
        </w:numPr>
      </w:pPr>
      <w:r>
        <w:t xml:space="preserve">小規模競合企業の育成（5%シェア維持）</w:t>
      </w:r>
    </w:p>
    <w:p>
      <w:pPr>
        <w:pStyle w:val="Heading2"/>
        <w:spacing w:before="360"/>
      </w:pPr>
      <w:r>
        <w:t xml:space="preserve">4.2 国家安全保障審査</w:t>
      </w:r>
    </w:p>
    <w:p>
      <w:pPr>
        <w:pStyle w:val="ListParagraph"/>
        <w:numPr>
          <w:ilvl w:val="0"/>
          <w:numId w:val="2"/>
        </w:numPr>
      </w:pPr>
      <w:r>
        <w:t xml:space="preserve">米国・欧州・アジア各国での現地生産維持</w:t>
      </w:r>
    </w:p>
    <w:p>
      <w:pPr>
        <w:pStyle w:val="ListParagraph"/>
        <w:numPr>
          <w:ilvl w:val="0"/>
          <w:numId w:val="2"/>
        </w:numPr>
      </w:pPr>
      <w:r>
        <w:t xml:space="preserve">政府向け特別供給枠の設定</w:t>
      </w:r>
    </w:p>
    <w:p>
      <w:pPr>
        <w:pStyle w:val="ListParagraph"/>
        <w:numPr>
          <w:ilvl w:val="0"/>
          <w:numId w:val="2"/>
        </w:numPr>
      </w:pPr>
      <w:r>
        <w:t xml:space="preserve">軍事・防衛産業への優先供給保証</w:t>
      </w:r>
    </w:p>
    <w:p>
      <w:pPr>
        <w:pStyle w:val="ListParagraph"/>
        <w:numPr>
          <w:ilvl w:val="0"/>
          <w:numId w:val="2"/>
        </w:numPr>
      </w:pPr>
      <w:r>
        <w:t xml:space="preserve">技術流出防止体制の強化</w:t>
      </w:r>
    </w:p>
    <w:p>
      <w:pPr>
        <w:pStyle w:val="Heading2"/>
        <w:spacing w:before="360"/>
      </w:pPr>
      <w:r>
        <w:t xml:space="preserve">4.3 政治的ロビー活動</w:t>
      </w:r>
    </w:p>
    <w:p>
      <w:pPr>
        <w:spacing w:after="120"/>
      </w:pPr>
      <w:r>
        <w:rPr>
          <w:b/>
          <w:bCs/>
        </w:rPr>
        <w:t xml:space="preserve">ロビー予算：年間50億ドル</w:t>
      </w:r>
    </w:p>
    <w:p>
      <w:pPr>
        <w:pStyle w:val="ListParagraph"/>
        <w:numPr>
          <w:ilvl w:val="0"/>
          <w:numId w:val="2"/>
        </w:numPr>
      </w:pPr>
      <w:r>
        <w:t xml:space="preserve">米国議会への献金・政治献金</w:t>
      </w:r>
    </w:p>
    <w:p>
      <w:pPr>
        <w:pStyle w:val="ListParagraph"/>
        <w:numPr>
          <w:ilvl w:val="0"/>
          <w:numId w:val="2"/>
        </w:numPr>
      </w:pPr>
      <w:r>
        <w:t xml:space="preserve">EU・中国・韓国政府への経済協力</w:t>
      </w:r>
    </w:p>
    <w:p>
      <w:pPr>
        <w:pStyle w:val="ListParagraph"/>
        <w:numPr>
          <w:ilvl w:val="0"/>
          <w:numId w:val="2"/>
        </w:numPr>
      </w:pPr>
      <w:r>
        <w:t xml:space="preserve">シンクタンク・大学への研究資金提供</w:t>
      </w:r>
    </w:p>
    <w:p>
      <w:pPr>
        <w:pStyle w:val="ListParagraph"/>
        <w:numPr>
          <w:ilvl w:val="0"/>
          <w:numId w:val="2"/>
        </w:numPr>
      </w:pPr>
      <w:r>
        <w:t xml:space="preserve">メディア・世論対策</w:t>
      </w:r>
    </w:p>
    <w:p>
      <w:pPr>
        <w:spacing w:before="360"/>
      </w:pPr>
      <w:r>
        <w:t xml:space="preserve"/>
      </w:r>
    </w:p>
    <w:p>
      <w:pPr>
        <w:pStyle w:val="Heading1"/>
      </w:pPr>
      <w:r>
        <w:t xml:space="preserve">5. 独占達成後の収益最大化戦略</w:t>
      </w:r>
    </w:p>
    <w:p>
      <w:pPr>
        <w:pStyle w:val="Heading2"/>
      </w:pPr>
      <w:r>
        <w:t xml:space="preserve">5.1 価格コントロール</w:t>
      </w:r>
    </w:p>
    <w:p>
      <w:pPr>
        <w:pStyle w:val="ListParagraph"/>
        <w:numPr>
          <w:ilvl w:val="0"/>
          <w:numId w:val="2"/>
        </w:numPr>
      </w:pPr>
      <w:r>
        <w:t xml:space="preserve">段階的な価格引き上げ（年率15-20%）</w:t>
      </w:r>
    </w:p>
    <w:p>
      <w:pPr>
        <w:pStyle w:val="ListParagraph"/>
        <w:numPr>
          <w:ilvl w:val="0"/>
          <w:numId w:val="2"/>
        </w:numPr>
      </w:pPr>
      <w:r>
        <w:t xml:space="preserve">顧客別差別価格の導入</w:t>
      </w:r>
    </w:p>
    <w:p>
      <w:pPr>
        <w:pStyle w:val="ListParagraph"/>
        <w:numPr>
          <w:ilvl w:val="0"/>
          <w:numId w:val="2"/>
        </w:numPr>
      </w:pPr>
      <w:r>
        <w:t xml:space="preserve">長期契約による安定収益確保</w:t>
      </w:r>
    </w:p>
    <w:p>
      <w:pPr>
        <w:pStyle w:val="ListParagraph"/>
        <w:numPr>
          <w:ilvl w:val="0"/>
          <w:numId w:val="2"/>
        </w:numPr>
      </w:pPr>
      <w:r>
        <w:t xml:space="preserve">需給調整による価格維持</w:t>
      </w:r>
    </w:p>
    <w:p>
      <w:pPr>
        <w:pStyle w:val="Heading2"/>
        <w:spacing w:before="360"/>
      </w:pPr>
      <w:r>
        <w:t xml:space="preserve">5.2 技術独占</w:t>
      </w:r>
    </w:p>
    <w:p>
      <w:pPr>
        <w:pStyle w:val="ListParagraph"/>
        <w:numPr>
          <w:ilvl w:val="0"/>
          <w:numId w:val="2"/>
        </w:numPr>
      </w:pPr>
      <w:r>
        <w:t xml:space="preserve">次世代技術の特許一元管理</w:t>
      </w:r>
    </w:p>
    <w:p>
      <w:pPr>
        <w:pStyle w:val="ListParagraph"/>
        <w:numPr>
          <w:ilvl w:val="0"/>
          <w:numId w:val="2"/>
        </w:numPr>
      </w:pPr>
      <w:r>
        <w:t xml:space="preserve">製造装置メーカーへの排他的契約</w:t>
      </w:r>
    </w:p>
    <w:p>
      <w:pPr>
        <w:pStyle w:val="ListParagraph"/>
        <w:numPr>
          <w:ilvl w:val="0"/>
          <w:numId w:val="2"/>
        </w:numPr>
      </w:pPr>
      <w:r>
        <w:t xml:space="preserve">新規参入障壁の構築</w:t>
      </w:r>
    </w:p>
    <w:p>
      <w:pPr>
        <w:pStyle w:val="ListParagraph"/>
        <w:numPr>
          <w:ilvl w:val="0"/>
          <w:numId w:val="2"/>
        </w:numPr>
      </w:pPr>
      <w:r>
        <w:t xml:space="preserve">研究人材の独占採用</w:t>
      </w:r>
    </w:p>
    <w:p>
      <w:pPr>
        <w:pStyle w:val="Heading2"/>
        <w:spacing w:before="360"/>
      </w:pPr>
      <w:r>
        <w:t xml:space="preserve">5.3 垂直統合</w:t>
      </w:r>
    </w:p>
    <w:p>
      <w:pPr>
        <w:pStyle w:val="ListParagraph"/>
        <w:numPr>
          <w:ilvl w:val="0"/>
          <w:numId w:val="2"/>
        </w:numPr>
      </w:pPr>
      <w:r>
        <w:t xml:space="preserve">原材料から最終製品まで一貫生産</w:t>
      </w:r>
    </w:p>
    <w:p>
      <w:pPr>
        <w:pStyle w:val="ListParagraph"/>
        <w:numPr>
          <w:ilvl w:val="0"/>
          <w:numId w:val="2"/>
        </w:numPr>
      </w:pPr>
      <w:r>
        <w:t xml:space="preserve">OEM事業の拡大</w:t>
      </w:r>
    </w:p>
    <w:p>
      <w:pPr>
        <w:pStyle w:val="ListParagraph"/>
        <w:numPr>
          <w:ilvl w:val="0"/>
          <w:numId w:val="2"/>
        </w:numPr>
      </w:pPr>
      <w:r>
        <w:t xml:space="preserve">データセンター向け専用製品開発</w:t>
      </w:r>
    </w:p>
    <w:p>
      <w:pPr>
        <w:pStyle w:val="ListParagraph"/>
        <w:numPr>
          <w:ilvl w:val="0"/>
          <w:numId w:val="2"/>
        </w:numPr>
      </w:pPr>
      <w:r>
        <w:t xml:space="preserve">AIチップとの統合ソリューション</w:t>
      </w:r>
    </w:p>
    <w:p>
      <w:pPr>
        <w:spacing w:before="360"/>
      </w:pPr>
      <w:r>
        <w:t xml:space="preserve"/>
      </w:r>
    </w:p>
    <w:p>
      <w:pPr>
        <w:pStyle w:val="Heading1"/>
      </w:pPr>
      <w:r>
        <w:t xml:space="preserve">6. 財務計画</w:t>
      </w:r>
    </w:p>
    <w:p>
      <w:pPr>
        <w:pStyle w:val="Heading2"/>
      </w:pPr>
      <w:r>
        <w:t xml:space="preserve">6.1 投資スケジュール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年度</w:t>
            </w:r>
          </w:p>
        </w:tc>
        <w:tc>
          <w:tcPr>
            <w:tcW w:type="dxa" w:w="3744"/>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主要施策</w:t>
            </w:r>
          </w:p>
        </w:tc>
        <w:tc>
          <w:tcPr>
            <w:tcW w:type="dxa" w:w="3744"/>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投資額</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1年目</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中小企業買収・基盤構築</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300億ドル</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2年目</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Micron買収</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1,430億ドル</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3年目</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 Hynix買収</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1,280億ドル</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4-5年目</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Samsungメモリ事業買収</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4,800億ドル</w:t>
            </w:r>
          </w:p>
        </w:tc>
      </w:tr>
      <w:tr>
        <w:tc>
          <w:tcPr>
            <w:tcW w:type="dxa" w:w="1872"/>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継続</w:t>
            </w:r>
          </w:p>
        </w:tc>
        <w:tc>
          <w:tcPr>
            <w:tcW w:type="dxa" w:w="3744"/>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t xml:space="preserve">ロビー・規制対策</w:t>
            </w:r>
          </w:p>
        </w:tc>
        <w:tc>
          <w:tcPr>
            <w:tcW w:type="dxa" w:w="3744"/>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t xml:space="preserve">年間50億ドル</w:t>
            </w:r>
          </w:p>
        </w:tc>
      </w:tr>
      <w:tr>
        <w:tc>
          <w:tcPr>
            <w:tcW w:type="dxa" w:w="1872"/>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合計</w:t>
            </w:r>
          </w:p>
        </w:tc>
        <w:tc>
          <w:tcPr>
            <w:tcW w:type="dxa" w:w="3744"/>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5年間</w:t>
            </w:r>
          </w:p>
        </w:tc>
        <w:tc>
          <w:tcPr>
            <w:tcW w:type="dxa" w:w="3744"/>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r>
              <w:rPr>
                <w:b/>
                <w:bCs/>
              </w:rPr>
              <w:t xml:space="preserve">約8,000億ドル</w:t>
            </w:r>
          </w:p>
        </w:tc>
      </w:tr>
    </w:tbl>
    <w:p>
      <w:pPr>
        <w:spacing w:before="360"/>
      </w:pPr>
      <w:r>
        <w:t xml:space="preserve"/>
      </w:r>
    </w:p>
    <w:p>
      <w:pPr>
        <w:pStyle w:val="Heading2"/>
      </w:pPr>
      <w:r>
        <w:t xml:space="preserve">6.2 収益予測</w:t>
      </w:r>
    </w:p>
    <w:p>
      <w:pPr>
        <w:spacing w:after="120"/>
      </w:pPr>
      <w:r>
        <w:t xml:space="preserve">独占達成後の収益構造じゃ：</w:t>
      </w:r>
    </w:p>
    <w:p>
      <w:pPr>
        <w:pStyle w:val="ListParagraph"/>
        <w:numPr>
          <w:ilvl w:val="0"/>
          <w:numId w:val="2"/>
        </w:numPr>
      </w:pPr>
      <w:r>
        <w:t xml:space="preserve">年間売上高：3,000億ドル（市場成長+価格上昇）</w:t>
      </w:r>
    </w:p>
    <w:p>
      <w:pPr>
        <w:pStyle w:val="ListParagraph"/>
        <w:numPr>
          <w:ilvl w:val="0"/>
          <w:numId w:val="2"/>
        </w:numPr>
      </w:pPr>
      <w:r>
        <w:t xml:space="preserve">営業利益率：40%（独占による高収益）</w:t>
      </w:r>
    </w:p>
    <w:p>
      <w:pPr>
        <w:pStyle w:val="ListParagraph"/>
        <w:numPr>
          <w:ilvl w:val="0"/>
          <w:numId w:val="2"/>
        </w:numPr>
      </w:pPr>
      <w:r>
        <w:t xml:space="preserve">年間純利益：1,000億ドル以上</w:t>
      </w:r>
    </w:p>
    <w:p>
      <w:pPr>
        <w:pStyle w:val="ListParagraph"/>
        <w:numPr>
          <w:ilvl w:val="0"/>
          <w:numId w:val="2"/>
        </w:numPr>
      </w:pPr>
      <w:r>
        <w:t xml:space="preserve">投資回収期間：8-10年</w:t>
      </w:r>
    </w:p>
    <w:p>
      <w:pPr>
        <w:spacing w:before="360"/>
      </w:pPr>
      <w:r>
        <w:t xml:space="preserve"/>
      </w:r>
    </w:p>
    <w:p>
      <w:pPr>
        <w:pStyle w:val="Heading1"/>
      </w:pPr>
      <w:r>
        <w:t xml:space="preserve">7. リスク管理</w:t>
      </w:r>
    </w:p>
    <w:p>
      <w:pPr>
        <w:pStyle w:val="Heading2"/>
      </w:pPr>
      <w:r>
        <w:t xml:space="preserve">7.1 主要リスク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リスク</w:t>
            </w:r>
          </w:p>
        </w:tc>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確率</w:t>
            </w:r>
          </w:p>
        </w:tc>
        <w:tc>
          <w:tcPr>
            <w:tcW w:type="dxa" w:w="31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rPr>
              <w:t xml:space="preserve">対策</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独禁法違反</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高（70%）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強力なロビー活動・子会社分散</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国家安全保障審査</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中（50%）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現地生産維持・政府協力</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技術革新による代替</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低（20%）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研究開発の独占・特許戦略</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顧客の反発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中（40%）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段階的価格調整・優良顧客優遇</w:t>
            </w:r>
          </w:p>
        </w:tc>
      </w:tr>
    </w:tbl>
    <w:p>
      <w:pPr>
        <w:spacing w:before="480"/>
      </w:pPr>
      <w:r>
        <w:t xml:space="preserve"/>
      </w:r>
    </w:p>
    <w:p>
      <w:pPr>
        <w:pStyle w:val="Heading1"/>
      </w:pPr>
      <w:r>
        <w:t xml:space="preserve">8. 結論</w:t>
      </w:r>
    </w:p>
    <w:p>
      <w:pPr>
        <w:spacing w:after="240"/>
      </w:pPr>
      <w:r>
        <w:t xml:space="preserve">無限の資金力を持つ我々にとって、メモリ市場の独占は十分に実現可能な目標じゃ。段階的な買収戦略と巧みな規制対策により、5年以内に市場の95%以上を掌握できるのじゃ。</w:t>
      </w:r>
    </w:p>
    <w:p>
      <w:pPr>
        <w:spacing w:after="240"/>
      </w:pPr>
      <w:r>
        <w:t xml:space="preserve">独占達成後は、価格決定権と技術革新の主導権を握り、年間1,000億ドル以上の純利益を生み出す史上最強のメモリ帝国を築き上げることができるのじゃよ。</w:t>
      </w:r>
    </w:p>
    <w:p>
      <w:pPr>
        <w:spacing w:after="360"/>
      </w:pPr>
      <w:r>
        <w:rPr>
          <w:b/>
          <w:bCs/>
          <w:sz w:val="28"/>
          <w:szCs w:val="28"/>
        </w:rPr>
        <w:t xml:space="preserve">今こそ行動の時じゃ！</w:t>
      </w:r>
    </w:p>
    <w:p>
      <w:pPr>
        <w:spacing w:before="720"/>
      </w:pPr>
      <w:r>
        <w:t xml:space="preserve"/>
      </w:r>
    </w:p>
    <w:p>
      <w:pPr>
        <w:jc w:val="right"/>
      </w:pPr>
      <w:r>
        <w:rPr>
          <w:sz w:val="24"/>
          <w:szCs w:val="24"/>
        </w:rPr>
        <w:t xml:space="preserve">以上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200"/>
      <w:outlineLvl w:val="1"/>
    </w:pPr>
    <w:rPr>
      <w:rFonts w:ascii="Arial" w:cs="Arial" w:eastAsia="Arial" w:hAnsi="Arial"/>
      <w:b/>
      <w:bCs/>
      <w:sz w:val="30"/>
      <w:szCs w:val="30"/>
    </w:rPr>
  </w:style>
  <w:style w:type="paragraph" w:styleId="Heading3">
    <w:name w:val="Heading 3"/>
    <w:basedOn w:val="Normal"/>
    <w:next w:val="Normal"/>
    <w:qFormat/>
    <w:pPr>
      <w:spacing w:before="240" w:after="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2026-02-12T00:45:15.582Z</dcterms:created>
  <dcterms:modified xsi:type="dcterms:W3CDTF">2026-02-12T00:45:15.583Z</dcterms:modified>
</cp:coreProperties>
</file>

<file path=docProps/custom.xml><?xml version="1.0" encoding="utf-8"?>
<Properties xmlns="http://schemas.openxmlformats.org/officeDocument/2006/custom-properties" xmlns:vt="http://schemas.openxmlformats.org/officeDocument/2006/docPropsVTypes"/>
</file>