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C00000"/>
          <w:sz w:val="48"/>
          <w:szCs w:val="48"/>
        </w:rPr>
        <w:t xml:space="preserve">極秘戦略文書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過剰メモリ在庫</w:t>
      </w:r>
    </w:p>
    <w:p>
      <w:pPr>
        <w:spacing w:after="1440"/>
        <w:jc w:val="center"/>
      </w:pPr>
      <w:r>
        <w:rPr>
          <w:b/>
          <w:bCs/>
          <w:sz w:val="40"/>
          <w:szCs w:val="40"/>
        </w:rPr>
        <w:t xml:space="preserve">戦略的廃棄計画</w:t>
      </w:r>
    </w:p>
    <w:p>
      <w:pPr>
        <w:spacing w:after="240"/>
        <w:jc w:val="center"/>
      </w:pPr>
      <w:r>
        <w:rPr>
          <w:sz w:val="28"/>
          <w:szCs w:val="28"/>
        </w:rPr>
        <w:t xml:space="preserve">～市場価格維持のための供給調整～</w:t>
      </w:r>
    </w:p>
    <w:p>
      <w:pPr>
        <w:spacing w:before="720"/>
        <w:jc w:val="center"/>
      </w:pPr>
      <w:r>
        <w:rPr>
          <w:sz w:val="24"/>
          <w:szCs w:val="24"/>
        </w:rPr>
        <w:t xml:space="preserve">2031年</w:t>
      </w:r>
    </w:p>
    <w:p>
      <w:pPr>
        <w:spacing w:before="240"/>
        <w:jc w:val="center"/>
      </w:pPr>
      <w:r>
        <w:rPr>
          <w:b/>
          <w:bCs/>
          <w:color w:val="C00000"/>
          <w:sz w:val="20"/>
          <w:szCs w:val="20"/>
        </w:rPr>
        <w:t xml:space="preserve">機密度：最高機密</w:t>
      </w:r>
    </w:p>
    <w:p>
      <w:r>class PageBreak extends Run {
  constructor() {
    super({});
    this.root.push(new Break2(BreakType.PAGE));
  }
}</w:r>
    </w:p>
    <w:p>
      <w:pPr>
        <w:pStyle w:val="Heading1"/>
      </w:pPr>
      <w:r>
        <w:t xml:space="preserve">1. エグゼクティブサマリー</w:t>
      </w:r>
    </w:p>
    <w:p>
      <w:pPr>
        <w:spacing w:after="240"/>
      </w:pPr>
      <w:r>
        <w:t xml:space="preserve">世界メモリ市場の95%を掌握した我々じゃが、生産能力が需要を大きく上回っておる。このまま全ての生産施設を稼働させると、市場に供給過剰が発生し、我々が苦労して築き上げた高価格体制が崩壊してしまうのじゃ。</w:t>
      </w:r>
    </w:p>
    <w:p>
      <w:pPr>
        <w:spacing w:after="360"/>
      </w:pPr>
      <w:r>
        <w:t xml:space="preserve">よって、意図的に生産量を調整し、一部の在庫を戦略的に廃棄することで、市場価格を維持し、利益を最大化する必要があるのじゃ。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年間生産能力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450エクサバイト（EB）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世界需要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280エクサバイト（EB）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供給過剰分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170エクサバイト（EB）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年間廃棄目標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150-170エクサバイト（EB）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廃棄コスト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年間120-150億ドル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価格維持効果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+800億ドル/年の利益増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</w:pPr>
      <w:r>
        <w:t xml:space="preserve">2. 現状分析：なぜ廃棄が必要なのか</w:t>
      </w:r>
    </w:p>
    <w:p>
      <w:pPr>
        <w:pStyle w:val="Heading2"/>
      </w:pPr>
      <w:r>
        <w:t xml:space="preserve">2.1 統合による生産過剰</w:t>
      </w:r>
    </w:p>
    <w:p>
      <w:pPr>
        <w:spacing w:after="120"/>
      </w:pPr>
      <w:r>
        <w:t xml:space="preserve">Samsung、SK Hynix、Micronを買収した結果、以下の施設を保有しておるのじゃ：</w:t>
      </w:r>
    </w:p>
    <w:p>
      <w:pPr>
        <w:pStyle w:val="ListParagraph"/>
        <w:numPr>
          <w:ilvl w:val="0"/>
          <w:numId w:val="2"/>
        </w:numPr>
      </w:pPr>
      <w:r>
        <w:t xml:space="preserve">韓国のファブ施設：18か所</w:t>
      </w:r>
    </w:p>
    <w:p>
      <w:pPr>
        <w:pStyle w:val="ListParagraph"/>
        <w:numPr>
          <w:ilvl w:val="0"/>
          <w:numId w:val="2"/>
        </w:numPr>
      </w:pPr>
      <w:r>
        <w:t xml:space="preserve">米国のファブ施設：8か所</w:t>
      </w:r>
    </w:p>
    <w:p>
      <w:pPr>
        <w:pStyle w:val="ListParagraph"/>
        <w:numPr>
          <w:ilvl w:val="0"/>
          <w:numId w:val="2"/>
        </w:numPr>
      </w:pPr>
      <w:r>
        <w:t xml:space="preserve">中国・台湾のファブ施設：12か所</w:t>
      </w:r>
    </w:p>
    <w:p>
      <w:pPr>
        <w:pStyle w:val="ListParagraph"/>
        <w:numPr>
          <w:ilvl w:val="0"/>
          <w:numId w:val="2"/>
        </w:numPr>
      </w:pPr>
      <w:r>
        <w:t xml:space="preserve">その他のファブ施設：5か所</w:t>
      </w:r>
    </w:p>
    <w:p>
      <w:pPr>
        <w:spacing w:before="240" w:after="120"/>
      </w:pPr>
      <w:r>
        <w:rPr>
          <w:b/>
          <w:bCs/>
        </w:rPr>
        <w:t xml:space="preserve">合計43か所のファブが全て稼働すると、世界需要の1.6倍の生産能力じゃ。</w:t>
      </w:r>
    </w:p>
    <w:p>
      <w:pPr>
        <w:pStyle w:val="Heading2"/>
        <w:spacing w:before="360"/>
      </w:pPr>
      <w:r>
        <w:t xml:space="preserve">2.2 供給過剰がもたらす悪影響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シナリオ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市場価格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年間利益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現状（独占価格）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$1.20/GB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1,000億ドル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全量生産時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$0.45/GB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200億ドル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利益差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-62%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-800億ドル/年</w:t>
            </w:r>
          </w:p>
        </w:tc>
      </w:tr>
    </w:tbl>
    <w:p>
      <w:pPr>
        <w:spacing w:before="360"/>
      </w:pPr>
      <w:r>
        <w:t xml:space="preserve"/>
      </w:r>
    </w:p>
    <w:p>
      <w:pPr>
        <w:spacing w:after="240"/>
      </w:pPr>
      <w:r>
        <w:rPr>
          <w:b/>
          <w:bCs/>
          <w:color w:val="70AD47"/>
          <w:sz w:val="26"/>
          <w:szCs w:val="26"/>
        </w:rPr>
        <w:t xml:space="preserve">つまり、廃棄に150億ドルかけても、価格維持により800億ドルの利益増となる。差し引き650億ドルのプラスじゃ！</w:t>
      </w:r>
    </w:p>
    <w:p>
      <w:r>class PageBreak extends Run {
  constructor() {
    super({});
    this.root.push(new Break2(BreakType.PAGE));
  }
}</w:r>
    </w:p>
    <w:p>
      <w:pPr>
        <w:pStyle w:val="Heading1"/>
      </w:pPr>
      <w:r>
        <w:t xml:space="preserve">3. 戦略的廃棄計画</w:t>
      </w:r>
    </w:p>
    <w:p>
      <w:pPr>
        <w:pStyle w:val="Heading2"/>
      </w:pPr>
      <w:r>
        <w:t xml:space="preserve">3.1 廃棄方法の選定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コスト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環境影響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推奨度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物理的破壊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★☆☆☆☆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リサイクル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★★★★☆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生産削減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★★★★★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新興国援助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★★☆☆☆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3.2 推奨戦略：段階的生産削減</w:t>
      </w:r>
    </w:p>
    <w:p>
      <w:pPr>
        <w:spacing w:after="120"/>
      </w:pPr>
      <w:r>
        <w:t xml:space="preserve">最もコスト効率が良く、環境にも優しい方法じゃ：</w:t>
      </w:r>
    </w:p>
    <w:p>
      <w:pPr>
        <w:pStyle w:val="ListParagraph"/>
        <w:numPr>
          <w:ilvl w:val="0"/>
          <w:numId w:val="3"/>
        </w:numPr>
      </w:pPr>
      <w:r>
        <w:t xml:space="preserve">段階1：老朽化施設の閉鎖（10施設）</w:t>
      </w:r>
    </w:p>
    <w:p>
      <w:pPr>
        <w:pStyle w:val="ListParagraph"/>
        <w:numPr>
          <w:ilvl w:val="0"/>
          <w:numId w:val="2"/>
        </w:numPr>
      </w:pPr>
      <w:r>
        <w:t xml:space="preserve">稼働年数20年以上の古い施設</w:t>
      </w:r>
    </w:p>
    <w:p>
      <w:pPr>
        <w:pStyle w:val="ListParagraph"/>
        <w:numPr>
          <w:ilvl w:val="0"/>
          <w:numId w:val="2"/>
        </w:numPr>
      </w:pPr>
      <w:r>
        <w:t xml:space="preserve">維持コストの高い施設</w:t>
      </w:r>
    </w:p>
    <w:p>
      <w:pPr>
        <w:pStyle w:val="ListParagraph"/>
        <w:numPr>
          <w:ilvl w:val="0"/>
          <w:numId w:val="2"/>
        </w:numPr>
      </w:pPr>
      <w:r>
        <w:t xml:space="preserve">生産効率の低い施設</w:t>
      </w:r>
    </w:p>
    <w:p>
      <w:pPr>
        <w:spacing w:before="240" w:after="120"/>
      </w:pPr>
      <w:r>
        <w:rPr>
          <w:b/>
          <w:bCs/>
        </w:rPr>
        <w:t xml:space="preserve">生産削減効果：年間60EB</w:t>
      </w:r>
    </w:p>
    <w:p>
      <w:pPr>
        <w:pStyle w:val="ListParagraph"/>
        <w:numPr>
          <w:ilvl w:val="0"/>
          <w:numId w:val="3"/>
        </w:numPr>
        <w:spacing w:before="240"/>
      </w:pPr>
      <w:r>
        <w:t xml:space="preserve">段階2：余剰施設の一時停止（8施設）</w:t>
      </w:r>
    </w:p>
    <w:p>
      <w:pPr>
        <w:pStyle w:val="ListParagraph"/>
        <w:numPr>
          <w:ilvl w:val="0"/>
          <w:numId w:val="2"/>
        </w:numPr>
      </w:pPr>
      <w:r>
        <w:t xml:space="preserve">完全閉鎖ではなく一時停止</w:t>
      </w:r>
    </w:p>
    <w:p>
      <w:pPr>
        <w:pStyle w:val="ListParagraph"/>
        <w:numPr>
          <w:ilvl w:val="0"/>
          <w:numId w:val="2"/>
        </w:numPr>
      </w:pPr>
      <w:r>
        <w:t xml:space="preserve">需要増加時に再稼働可能</w:t>
      </w:r>
    </w:p>
    <w:p>
      <w:pPr>
        <w:pStyle w:val="ListParagraph"/>
        <w:numPr>
          <w:ilvl w:val="0"/>
          <w:numId w:val="2"/>
        </w:numPr>
      </w:pPr>
      <w:r>
        <w:t xml:space="preserve">最小限の保守要員のみ配置</w:t>
      </w:r>
    </w:p>
    <w:p>
      <w:pPr>
        <w:spacing w:before="240" w:after="120"/>
      </w:pPr>
      <w:r>
        <w:rPr>
          <w:b/>
          <w:bCs/>
        </w:rPr>
        <w:t xml:space="preserve">生産削減効果：年間50EB</w:t>
      </w:r>
    </w:p>
    <w:p>
      <w:pPr>
        <w:pStyle w:val="ListParagraph"/>
        <w:numPr>
          <w:ilvl w:val="0"/>
          <w:numId w:val="3"/>
        </w:numPr>
        <w:spacing w:before="240"/>
      </w:pPr>
      <w:r>
        <w:t xml:space="preserve">段階3：最新施設の稼働率調整（残り25施設）</w:t>
      </w:r>
    </w:p>
    <w:p>
      <w:pPr>
        <w:pStyle w:val="ListParagraph"/>
        <w:numPr>
          <w:ilvl w:val="0"/>
          <w:numId w:val="2"/>
        </w:numPr>
      </w:pPr>
      <w:r>
        <w:t xml:space="preserve">最新技術を持つ施設を優先稼働</w:t>
      </w:r>
    </w:p>
    <w:p>
      <w:pPr>
        <w:pStyle w:val="ListParagraph"/>
        <w:numPr>
          <w:ilvl w:val="0"/>
          <w:numId w:val="2"/>
        </w:numPr>
      </w:pPr>
      <w:r>
        <w:t xml:space="preserve">稼働率を70-80%に調整</w:t>
      </w:r>
    </w:p>
    <w:p>
      <w:pPr>
        <w:pStyle w:val="ListParagraph"/>
        <w:numPr>
          <w:ilvl w:val="0"/>
          <w:numId w:val="2"/>
        </w:numPr>
      </w:pPr>
      <w:r>
        <w:t xml:space="preserve">需要に応じて柔軟に増産可能</w:t>
      </w:r>
    </w:p>
    <w:p>
      <w:pPr>
        <w:spacing w:before="240" w:after="120"/>
      </w:pPr>
      <w:r>
        <w:rPr>
          <w:b/>
          <w:bCs/>
        </w:rPr>
        <w:t xml:space="preserve">生産削減効果：年間60EB</w:t>
      </w:r>
    </w:p>
    <w:p>
      <w:pPr>
        <w:spacing w:before="480"/>
      </w:pPr>
      <w:r>
        <w:t xml:space="preserve"/>
      </w:r>
    </w:p>
    <w:p>
      <w:pPr>
        <w:spacing w:after="240"/>
      </w:pPr>
      <w:r>
        <w:rPr>
          <w:b/>
          <w:bCs/>
          <w:color w:val="70AD47"/>
          <w:sz w:val="28"/>
          <w:szCs w:val="28"/>
        </w:rPr>
        <w:t xml:space="preserve">合計削減量：170EB/年 → 需要とぴったり一致！</w:t>
      </w:r>
    </w:p>
    <w:p>
      <w:r>class PageBreak extends Run {
  constructor() {
    super({});
    this.root.push(new Break2(BreakType.PAGE));
  }
}</w:r>
    </w:p>
    <w:p>
      <w:pPr>
        <w:pStyle w:val="Heading1"/>
      </w:pPr>
      <w:r>
        <w:t xml:space="preserve">4. 施設別実行計画</w:t>
      </w:r>
    </w:p>
    <w:p>
      <w:pPr>
        <w:pStyle w:val="Heading2"/>
      </w:pPr>
      <w:r>
        <w:t xml:space="preserve">4.1 閉鎖対象施設（10施設）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72"/>
        <w:gridCol w:w="1872"/>
        <w:gridCol w:w="2496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施設名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所在地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稼働年数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閉鎖時期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旧Samsung Line 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韓国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28年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2031年Q2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旧Hynix M10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韓国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25年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2031年Q2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旧Micron Virginia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米国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22年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2031年Q3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他7施設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複数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20-26年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2031年Q3-Q4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4.2 一時停止対象施設（8施設）</w:t>
      </w:r>
    </w:p>
    <w:p>
      <w:pPr>
        <w:spacing w:after="120"/>
      </w:pPr>
      <w:r>
        <w:t xml:space="preserve">中程度の効率を持つ施設を一時停止するのじゃ：</w:t>
      </w:r>
    </w:p>
    <w:p>
      <w:pPr>
        <w:pStyle w:val="ListParagraph"/>
        <w:numPr>
          <w:ilvl w:val="0"/>
          <w:numId w:val="2"/>
        </w:numPr>
      </w:pPr>
      <w:r>
        <w:t xml:space="preserve">中国の4施設（政治的配慮も含む）</w:t>
      </w:r>
    </w:p>
    <w:p>
      <w:pPr>
        <w:pStyle w:val="ListParagraph"/>
        <w:numPr>
          <w:ilvl w:val="0"/>
          <w:numId w:val="2"/>
        </w:numPr>
      </w:pPr>
      <w:r>
        <w:t xml:space="preserve">台湾の2施設</w:t>
      </w:r>
    </w:p>
    <w:p>
      <w:pPr>
        <w:pStyle w:val="ListParagraph"/>
        <w:numPr>
          <w:ilvl w:val="0"/>
          <w:numId w:val="2"/>
        </w:numPr>
      </w:pPr>
      <w:r>
        <w:t xml:space="preserve">米国の2施設</w:t>
      </w:r>
    </w:p>
    <w:p>
      <w:pPr>
        <w:spacing w:before="360"/>
      </w:pPr>
      <w:r>
        <w:t xml:space="preserve"/>
      </w:r>
    </w:p>
    <w:p>
      <w:pPr>
        <w:pStyle w:val="Heading2"/>
      </w:pPr>
      <w:r>
        <w:t xml:space="preserve">4.3 継続稼働施設（25施設）</w:t>
      </w:r>
    </w:p>
    <w:p>
      <w:pPr>
        <w:spacing w:after="120"/>
      </w:pPr>
      <w:r>
        <w:t xml:space="preserve">最新技術を持つ最高効率施設を70-80%稼働率で維持するのじゃ：</w:t>
      </w:r>
    </w:p>
    <w:p>
      <w:pPr>
        <w:pStyle w:val="ListParagraph"/>
        <w:numPr>
          <w:ilvl w:val="0"/>
          <w:numId w:val="2"/>
        </w:numPr>
      </w:pPr>
      <w:r>
        <w:t xml:space="preserve">韓国の最新ファブ：12施設（EUV対応）</w:t>
      </w:r>
    </w:p>
    <w:p>
      <w:pPr>
        <w:pStyle w:val="ListParagraph"/>
        <w:numPr>
          <w:ilvl w:val="0"/>
          <w:numId w:val="2"/>
        </w:numPr>
      </w:pPr>
      <w:r>
        <w:t xml:space="preserve">米国の最新ファブ：6施設（補助金対象）</w:t>
      </w:r>
    </w:p>
    <w:p>
      <w:pPr>
        <w:pStyle w:val="ListParagraph"/>
        <w:numPr>
          <w:ilvl w:val="0"/>
          <w:numId w:val="2"/>
        </w:numPr>
      </w:pPr>
      <w:r>
        <w:t xml:space="preserve">その他の最新施設：7施設</w:t>
      </w:r>
    </w:p>
    <w:p>
      <w:r>class PageBreak extends Run {
  constructor() {
    super({});
    this.root.push(new Break2(BreakType.PAGE));
  }
}</w:r>
    </w:p>
    <w:p>
      <w:pPr>
        <w:pStyle w:val="Heading1"/>
      </w:pPr>
      <w:r>
        <w:t xml:space="preserve">5. 労働者対策</w:t>
      </w:r>
    </w:p>
    <w:p>
      <w:pPr>
        <w:spacing w:after="120"/>
      </w:pPr>
      <w:r>
        <w:t xml:space="preserve">施設閉鎖により約45,000人の雇用が影響を受けるのじゃ。適切な対応が必要じゃよ：</w:t>
      </w:r>
    </w:p>
    <w:p>
      <w:pPr>
        <w:pStyle w:val="Heading2"/>
      </w:pPr>
      <w:r>
        <w:t xml:space="preserve">5.1 配置転換プログラム</w:t>
      </w:r>
    </w:p>
    <w:p>
      <w:pPr>
        <w:pStyle w:val="ListParagraph"/>
        <w:numPr>
          <w:ilvl w:val="0"/>
          <w:numId w:val="2"/>
        </w:numPr>
      </w:pPr>
      <w:r>
        <w:t xml:space="preserve">優秀な技術者：継続稼働施設への異動（20,000人）</w:t>
      </w:r>
    </w:p>
    <w:p>
      <w:pPr>
        <w:pStyle w:val="ListParagraph"/>
        <w:numPr>
          <w:ilvl w:val="0"/>
          <w:numId w:val="2"/>
        </w:numPr>
      </w:pPr>
      <w:r>
        <w:t xml:space="preserve">管理職：本社・研究所への配置転換（5,000人）</w:t>
      </w:r>
    </w:p>
    <w:p>
      <w:pPr>
        <w:pStyle w:val="ListParagraph"/>
        <w:numPr>
          <w:ilvl w:val="0"/>
          <w:numId w:val="2"/>
        </w:numPr>
      </w:pPr>
      <w:r>
        <w:t xml:space="preserve">転居支援：最大50万ドル/人の支援金</w:t>
      </w:r>
    </w:p>
    <w:p>
      <w:pPr>
        <w:pStyle w:val="Heading2"/>
        <w:spacing w:before="360"/>
      </w:pPr>
      <w:r>
        <w:t xml:space="preserve">5.2 早期退職プログラム</w:t>
      </w:r>
    </w:p>
    <w:p>
      <w:pPr>
        <w:pStyle w:val="ListParagraph"/>
        <w:numPr>
          <w:ilvl w:val="0"/>
          <w:numId w:val="2"/>
        </w:numPr>
      </w:pPr>
      <w:r>
        <w:t xml:space="preserve">対象者：55歳以上の従業員（8,000人）</w:t>
      </w:r>
    </w:p>
    <w:p>
      <w:pPr>
        <w:pStyle w:val="ListParagraph"/>
        <w:numPr>
          <w:ilvl w:val="0"/>
          <w:numId w:val="2"/>
        </w:numPr>
      </w:pPr>
      <w:r>
        <w:t xml:space="preserve">退職金：通常の2倍</w:t>
      </w:r>
    </w:p>
    <w:p>
      <w:pPr>
        <w:pStyle w:val="ListParagraph"/>
        <w:numPr>
          <w:ilvl w:val="0"/>
          <w:numId w:val="2"/>
        </w:numPr>
      </w:pPr>
      <w:r>
        <w:t xml:space="preserve">医療保険：生涯補償</w:t>
      </w:r>
    </w:p>
    <w:p>
      <w:pPr>
        <w:pStyle w:val="Heading2"/>
        <w:spacing w:before="360"/>
      </w:pPr>
      <w:r>
        <w:t xml:space="preserve">5.3 再就職支援</w:t>
      </w:r>
    </w:p>
    <w:p>
      <w:pPr>
        <w:pStyle w:val="ListParagraph"/>
        <w:numPr>
          <w:ilvl w:val="0"/>
          <w:numId w:val="2"/>
        </w:numPr>
      </w:pPr>
      <w:r>
        <w:t xml:space="preserve">残り12,000人への再就職支援プログラム</w:t>
      </w:r>
    </w:p>
    <w:p>
      <w:pPr>
        <w:pStyle w:val="ListParagraph"/>
        <w:numPr>
          <w:ilvl w:val="0"/>
          <w:numId w:val="2"/>
        </w:numPr>
      </w:pPr>
      <w:r>
        <w:t xml:space="preserve">職業訓練費用全額負担</w:t>
      </w:r>
    </w:p>
    <w:p>
      <w:pPr>
        <w:pStyle w:val="ListParagraph"/>
        <w:numPr>
          <w:ilvl w:val="0"/>
          <w:numId w:val="2"/>
        </w:numPr>
      </w:pPr>
      <w:r>
        <w:t xml:space="preserve">転職斡旋サービス</w:t>
      </w:r>
    </w:p>
    <w:p>
      <w:pPr>
        <w:pStyle w:val="ListParagraph"/>
        <w:numPr>
          <w:ilvl w:val="0"/>
          <w:numId w:val="2"/>
        </w:numPr>
      </w:pPr>
      <w:r>
        <w:t xml:space="preserve">2年間の生活費補助</w:t>
      </w:r>
    </w:p>
    <w:p>
      <w:pPr>
        <w:spacing w:before="3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労働者対策総予算：180億ドル</w:t>
      </w:r>
    </w:p>
    <w:p>
      <w:pPr>
        <w:spacing w:before="360"/>
      </w:pPr>
      <w:r>
        <w:t xml:space="preserve"/>
      </w:r>
    </w:p>
    <w:p>
      <w:pPr>
        <w:pStyle w:val="Heading1"/>
      </w:pPr>
      <w:r>
        <w:t xml:space="preserve">6. 環境配慮とCSR</w:t>
      </w:r>
    </w:p>
    <w:p>
      <w:pPr>
        <w:spacing w:after="120"/>
      </w:pPr>
      <w:r>
        <w:t xml:space="preserve">我々の行動が環境破壊と批判されぬよう、適切な対策を講じるのじゃ：</w:t>
      </w:r>
    </w:p>
    <w:p>
      <w:pPr>
        <w:pStyle w:val="Heading2"/>
      </w:pPr>
      <w:r>
        <w:t xml:space="preserve">6.1 グリーン廃棄プログラム</w:t>
      </w:r>
    </w:p>
    <w:p>
      <w:pPr>
        <w:pStyle w:val="ListParagraph"/>
        <w:numPr>
          <w:ilvl w:val="0"/>
          <w:numId w:val="2"/>
        </w:numPr>
      </w:pPr>
      <w:r>
        <w:t xml:space="preserve">製造装置の完全リサイクル</w:t>
      </w:r>
    </w:p>
    <w:p>
      <w:pPr>
        <w:pStyle w:val="ListParagraph"/>
        <w:numPr>
          <w:ilvl w:val="0"/>
          <w:numId w:val="2"/>
        </w:numPr>
      </w:pPr>
      <w:r>
        <w:t xml:space="preserve">レアメタルの回収・再利用</w:t>
      </w:r>
    </w:p>
    <w:p>
      <w:pPr>
        <w:pStyle w:val="ListParagraph"/>
        <w:numPr>
          <w:ilvl w:val="0"/>
          <w:numId w:val="2"/>
        </w:numPr>
      </w:pPr>
      <w:r>
        <w:t xml:space="preserve">建物の解体材を建設資材として再利用</w:t>
      </w:r>
    </w:p>
    <w:p>
      <w:pPr>
        <w:pStyle w:val="ListParagraph"/>
        <w:numPr>
          <w:ilvl w:val="0"/>
          <w:numId w:val="2"/>
        </w:numPr>
      </w:pPr>
      <w:r>
        <w:t xml:space="preserve">有害物質の適切な処理</w:t>
      </w:r>
    </w:p>
    <w:p>
      <w:pPr>
        <w:pStyle w:val="Heading2"/>
        <w:spacing w:before="360"/>
      </w:pPr>
      <w:r>
        <w:t xml:space="preserve">6.2 社会貢献プログラム</w:t>
      </w:r>
    </w:p>
    <w:p>
      <w:pPr>
        <w:pStyle w:val="ListParagraph"/>
        <w:numPr>
          <w:ilvl w:val="0"/>
          <w:numId w:val="2"/>
        </w:numPr>
      </w:pPr>
      <w:r>
        <w:t xml:space="preserve">閉鎖施設の跡地を公園・教育施設に転換</w:t>
      </w:r>
    </w:p>
    <w:p>
      <w:pPr>
        <w:pStyle w:val="ListParagraph"/>
        <w:numPr>
          <w:ilvl w:val="0"/>
          <w:numId w:val="2"/>
        </w:numPr>
      </w:pPr>
      <w:r>
        <w:t xml:space="preserve">地域への経済支援金：施設あたり5億ドル</w:t>
      </w:r>
    </w:p>
    <w:p>
      <w:pPr>
        <w:pStyle w:val="ListParagraph"/>
        <w:numPr>
          <w:ilvl w:val="0"/>
          <w:numId w:val="2"/>
        </w:numPr>
      </w:pPr>
      <w:r>
        <w:t xml:space="preserve">新興国への旧型設備の無償譲渡（一部）</w:t>
      </w:r>
    </w:p>
    <w:p>
      <w:pPr>
        <w:pStyle w:val="ListParagraph"/>
        <w:numPr>
          <w:ilvl w:val="0"/>
          <w:numId w:val="2"/>
        </w:numPr>
      </w:pPr>
      <w:r>
        <w:t xml:space="preserve">STEM教育への投資</w:t>
      </w:r>
    </w:p>
    <w:p>
      <w:pPr>
        <w:spacing w:before="3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環境・CSR予算：120億ドル</w:t>
      </w:r>
    </w:p>
    <w:p>
      <w:r>class PageBreak extends Run {
  constructor() {
    super({});
    this.root.push(new Break2(BreakType.PAGE));
  }
}</w:r>
    </w:p>
    <w:p>
      <w:pPr>
        <w:pStyle w:val="Heading1"/>
      </w:pPr>
      <w:r>
        <w:t xml:space="preserve">7. 総合財務分析</w:t>
      </w:r>
    </w:p>
    <w:p>
      <w:pPr>
        <w:pStyle w:val="Heading2"/>
      </w:pPr>
      <w:r>
        <w:t xml:space="preserve">7.1 コスト構造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費用項目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金額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施設閉鎖・解体費用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50億ドル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労働者対策費用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180億ドル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環境・CSR対策費用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120億ドル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一時停止施設の維持費（年間）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20億ドル/年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初年度総費用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370億ドル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7.2 収益構造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収益項目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金額（年間）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価格維持による追加利益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+800億ドル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生産コスト削減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+150億ドル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リサイクル収益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+30億ドル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年間総利益増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+980億ドル/年</w:t>
            </w:r>
          </w:p>
        </w:tc>
      </w:tr>
    </w:tbl>
    <w:p>
      <w:pPr>
        <w:spacing w:before="480"/>
      </w:pPr>
      <w:r>
        <w:t xml:space="preserve"/>
      </w:r>
    </w:p>
    <w:p>
      <w:pPr>
        <w:pStyle w:val="Heading2"/>
      </w:pPr>
      <w:r>
        <w:t xml:space="preserve">7.3 ROI分析</w:t>
      </w:r>
    </w:p>
    <w:p>
      <w:pPr>
        <w:spacing w:after="120"/>
      </w:pPr>
      <w:r>
        <w:t xml:space="preserve">初年度費用：370億ドル</w:t>
      </w:r>
    </w:p>
    <w:p>
      <w:pPr>
        <w:spacing w:after="120"/>
      </w:pPr>
      <w:r>
        <w:t xml:space="preserve">年間利益増：980億ドル</w:t>
      </w:r>
    </w:p>
    <w:p>
      <w:pPr>
        <w:spacing w:after="360"/>
      </w:pPr>
      <w:r>
        <w:rPr>
          <w:b/>
          <w:bCs/>
          <w:color w:val="70AD47"/>
          <w:sz w:val="32"/>
          <w:szCs w:val="32"/>
        </w:rPr>
        <w:t xml:space="preserve">投資回収期間：約5ヶ月！</w:t>
      </w:r>
    </w:p>
    <w:p>
      <w:pPr>
        <w:spacing w:after="240"/>
      </w:pPr>
      <w:r>
        <w:t xml:space="preserve">つまり、たった5ヶ月で全ての費用を回収し、その後は毎年980億ドルの追加利益が永続するのじゃ！</w:t>
      </w:r>
    </w:p>
    <w:p>
      <w:r>class PageBreak extends Run {
  constructor() {
    super({});
    this.root.push(new Break2(BreakType.PAGE));
  }
}</w:r>
    </w:p>
    <w:p>
      <w:pPr>
        <w:pStyle w:val="Heading1"/>
      </w:pPr>
      <w:r>
        <w:t xml:space="preserve">8. リスク管理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リスク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対策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確率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影響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独占禁止法違反の告発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生産調整を「正常な経営判断」として説明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労働組合の反発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手厚い補償・早期通知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顧客の不満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段階的値上げ・大口割引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新規参入の脅威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技術特許の独占・参入障壁維持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環境団体の批判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グリーン廃棄・CSR活動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</w:tr>
    </w:tbl>
    <w:p>
      <w:pPr>
        <w:spacing w:before="480"/>
      </w:pPr>
      <w:r>
        <w:t xml:space="preserve"/>
      </w:r>
    </w:p>
    <w:p>
      <w:pPr>
        <w:pStyle w:val="Heading1"/>
      </w:pPr>
      <w:r>
        <w:t xml:space="preserve">9. 結論</w:t>
      </w:r>
    </w:p>
    <w:p>
      <w:pPr>
        <w:spacing w:after="240"/>
      </w:pPr>
      <w:r>
        <w:t xml:space="preserve">世界メモリ市場を独占した我々じゃが、真の利益最大化には戦略的な供給調整が不可欠なのじゃ。</w:t>
      </w:r>
    </w:p>
    <w:p>
      <w:pPr>
        <w:spacing w:after="240"/>
      </w:pPr>
      <w:r>
        <w:t xml:space="preserve">初年度に370億ドルを投じて18施設を閉鎖・停止し、生産量を需要に合わせて調整することで、年間980億ドルの追加利益を永続的に獲得できるのじゃよ。</w:t>
      </w:r>
    </w:p>
    <w:p>
      <w:pPr>
        <w:spacing w:after="240"/>
      </w:pPr>
      <w:r>
        <w:t xml:space="preserve">労働者への手厚い補償と環境への配慮により、社会的批判を最小限に抑えつつ、株主価値を最大化する。これこそが真の経営じゃ！</w:t>
      </w:r>
    </w:p>
    <w:p>
      <w:pPr>
        <w:spacing w:before="360"/>
      </w:pPr>
      <w:r>
        <w:t xml:space="preserve"/>
      </w:r>
    </w:p>
    <w:p>
      <w:pPr>
        <w:spacing w:before="720" w:after="240"/>
        <w:jc w:val="center"/>
      </w:pPr>
      <w:r>
        <w:rPr>
          <w:b/>
          <w:bCs/>
          <w:color w:val="70AD47"/>
          <w:sz w:val="32"/>
          <w:szCs w:val="32"/>
        </w:rPr>
        <w:t xml:space="preserve">～市場支配の完成形～</w:t>
      </w:r>
    </w:p>
    <w:p>
      <w:pPr>
        <w:spacing w:before="720"/>
      </w:pPr>
      <w:r>
        <w:t xml:space="preserve"/>
      </w:r>
    </w:p>
    <w:p>
      <w:pPr>
        <w:jc w:val="right"/>
      </w:pPr>
      <w:r>
        <w:rPr>
          <w:sz w:val="24"/>
          <w:szCs w:val="24"/>
        </w:rPr>
        <w:t xml:space="preserve">以上</w:t>
      </w:r>
    </w:p>
    <w:p>
      <w:pPr>
        <w:spacing w:before="240"/>
      </w:pPr>
      <w:r>
        <w:t xml:space="preserve"/>
      </w:r>
    </w:p>
    <w:p>
      <w:pPr>
        <w:spacing w:before="480"/>
        <w:jc w:val="center"/>
      </w:pPr>
      <w:r>
        <w:rPr>
          <w:b/>
          <w:bCs/>
          <w:color w:val="C00000"/>
          <w:sz w:val="20"/>
          <w:szCs w:val="20"/>
        </w:rPr>
        <w:t xml:space="preserve">この計画は最高機密じゃ。取り扱いには十分注意するのじゃよ。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2026-02-12T00:59:25.523Z</dcterms:created>
  <dcterms:modified xsi:type="dcterms:W3CDTF">2026-02-12T00:59:25.524Z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