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МИНИСТЕРСТВО НАУКИ И ВЫСШЕГО ОБРАЗОВАНИЯ РОССИЙСКОЙ ФЕДЕРАЦИИ</w:t>
      </w:r>
      <w:r/>
    </w:p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 «МАГНИТОГОРСКИЙ ГОСУДАРСТВЕННЫЙ ТЕХНИЧЕСКИЙ УНИВЕРСИТЕТ </w:t>
      </w:r>
      <w:r/>
    </w:p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ИМ. Г. И. НОСОВА»</w:t>
      </w:r>
      <w:r/>
    </w:p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(ФГБОУ ВО «МГТУ ИМ. Г.И. НОСОВА»)</w:t>
      </w:r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Кафедра вычислительной техники и программирования</w:t>
      </w:r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  <w:br w:type="textWrapping" w:clear="all"/>
      </w:r>
      <w:r/>
    </w:p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b/>
          <w:color w:val="000000"/>
        </w:rPr>
        <w:t xml:space="preserve">Отчет по лабораторной работе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b/>
          <w:color w:val="000000"/>
        </w:rPr>
        <w:t xml:space="preserve">№</w:t>
      </w:r>
      <w:r>
        <w:rPr>
          <w:rFonts w:eastAsia="Times New Roman"/>
          <w:b/>
          <w:color w:val="000000"/>
        </w:rPr>
        <w:t xml:space="preserve">4</w:t>
      </w:r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по дисциплине «</w:t>
      </w:r>
      <w:r>
        <w:rPr>
          <w:rFonts w:eastAsia="Times New Roman"/>
          <w:color w:val="000000"/>
        </w:rPr>
        <w:t xml:space="preserve">Обработка экспериментальных данных</w:t>
      </w:r>
      <w:r>
        <w:rPr>
          <w:rFonts w:eastAsia="Times New Roman"/>
          <w:color w:val="000000"/>
        </w:rPr>
        <w:t xml:space="preserve">»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  <w:br w:type="textWrapping" w:clear="all"/>
        <w:br w:type="textWrapping" w:clear="all"/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Исполнитель: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 xml:space="preserve">Варламов М.Н.</w:t>
      </w:r>
      <w:r>
        <w:rPr>
          <w:rFonts w:eastAsia="Times New Roman"/>
          <w:color w:val="000000"/>
        </w:rPr>
        <w:t xml:space="preserve">, студент 4 курса, группа АВб–19–1 </w:t>
      </w:r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Руководитель: Ильина Е.А.,</w:t>
      </w:r>
      <w:r>
        <w:rPr>
          <w:rFonts w:eastAsia="Times New Roman"/>
          <w:color w:val="000000"/>
        </w:rPr>
        <w:t xml:space="preserve"> к.</w:t>
      </w:r>
      <w:r>
        <w:rPr>
          <w:rFonts w:eastAsia="Times New Roman"/>
          <w:color w:val="000000"/>
        </w:rPr>
        <w:t xml:space="preserve">п.н., доцент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кафедры ВТиП</w:t>
      </w:r>
      <w:r>
        <w:rPr>
          <w:rFonts w:eastAsia="Times New Roman"/>
          <w:color w:val="000000"/>
        </w:rPr>
        <w:t xml:space="preserve">.</w:t>
      </w:r>
      <w:r>
        <w:rPr>
          <w:color w:val="000000"/>
        </w:rPr>
      </w:r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</w:r>
      <w:r/>
    </w:p>
    <w:p>
      <w:pPr>
        <w:pStyle w:val="824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24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24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4"/>
        <w:jc w:val="center"/>
        <w:rPr>
          <w:rFonts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Магнитогорск, 2022</w:t>
      </w:r>
      <w:r>
        <w:rPr>
          <w:rFonts w:eastAsia="Times New Roman"/>
          <w:color w:val="000000"/>
        </w:rPr>
      </w:r>
      <w:r/>
    </w:p>
    <w:p>
      <w:pPr>
        <w:pStyle w:val="650"/>
      </w:pPr>
      <w:r>
        <w:rPr>
          <w:rFonts w:eastAsia="Times New Roman"/>
          <w:color w:val="000000"/>
        </w:rPr>
        <w:br w:type="page" w:clear="all"/>
        <w:t xml:space="preserve">Расчет статистических показателей</w:t>
      </w:r>
      <w:r/>
    </w:p>
    <w:p>
      <w:pPr>
        <w:rPr>
          <w:highlight w:val="none"/>
        </w:rPr>
      </w:pPr>
      <w:r>
        <w:t xml:space="preserve">На рисунке 1 представлены исходные данные.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887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5229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788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55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1 – Исходные данные</w:t>
      </w:r>
      <w:r>
        <w:rPr>
          <w:highlight w:val="none"/>
        </w:rPr>
      </w:r>
      <w:r/>
    </w:p>
    <w:p>
      <w:pPr>
        <w:pStyle w:val="665"/>
        <w:rPr>
          <w:i w:val="0"/>
        </w:rPr>
      </w:pPr>
      <w:r>
        <w:rPr>
          <w:i w:val="0"/>
          <w:highlight w:val="none"/>
        </w:rPr>
        <w:t xml:space="preserve">Для предоставленных данных, для каждого столбца, произведем расчет следующих статистических параметров:</w:t>
      </w:r>
      <w:r>
        <w:rPr>
          <w:i w:val="0"/>
        </w:rPr>
      </w:r>
      <w:r/>
    </w:p>
    <w:p>
      <w:pPr>
        <w:pStyle w:val="664"/>
        <w:numPr>
          <w:ilvl w:val="0"/>
          <w:numId w:val="1"/>
        </w:numPr>
      </w:pPr>
      <w:r>
        <w:t xml:space="preserve">Среднее значение</w:t>
      </w:r>
      <w:r/>
    </w:p>
    <w:p>
      <w:pPr>
        <w:pStyle w:val="664"/>
        <w:numPr>
          <w:ilvl w:val="0"/>
          <w:numId w:val="1"/>
        </w:numPr>
      </w:pPr>
      <w:r>
        <w:rPr>
          <w:highlight w:val="none"/>
        </w:rPr>
        <w:t xml:space="preserve">Дисперсия</w:t>
      </w:r>
      <w:r>
        <w:rPr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highlight w:val="none"/>
        </w:rPr>
        <w:t xml:space="preserve">Размах</w:t>
      </w:r>
      <w:r>
        <w:rPr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highlight w:val="none"/>
        </w:rPr>
        <w:t xml:space="preserve">Коэффициент вариации</w:t>
      </w:r>
      <w:r>
        <w:rPr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highlight w:val="none"/>
        </w:rPr>
        <w:t xml:space="preserve">Максимальное отклонение</w:t>
      </w:r>
      <w:r>
        <w:rPr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τ</w:t>
      </w:r>
      <w:r>
        <w:rPr>
          <w:b w:val="0"/>
          <w:highlight w:val="none"/>
        </w:rPr>
        <w:t xml:space="preserve"> максимальное</w:t>
      </w:r>
      <w:r>
        <w:rPr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b w:val="0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t для погрешности в 0.1%</w:t>
      </w:r>
      <w:r>
        <w:rPr>
          <w:b w:val="0"/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t для погрешности в 5%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τ для погрешности в 0.1%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pStyle w:val="664"/>
        <w:numPr>
          <w:ilvl w:val="0"/>
          <w:numId w:val="1"/>
        </w:num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τ для погрешности в 5%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/>
    </w:p>
    <w:p>
      <w:pPr>
        <w:rPr>
          <w:highlight w:val="none"/>
        </w:rPr>
      </w:pPr>
      <w:r>
        <w:t xml:space="preserve">На основе рассчитанных данных произведем решение об отсеве. Данное решение принимается по критерию на рисунке 2.</w: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9125" cy="8572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175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29125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8.8pt;height:67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2 – Критерий отсева</w:t>
      </w:r>
      <w:r>
        <w:rPr>
          <w:i/>
          <w:highlight w:val="none"/>
        </w:rPr>
      </w:r>
      <w:r/>
    </w:p>
    <w:p>
      <w:pPr>
        <w:pStyle w:val="665"/>
      </w:pPr>
      <w:r>
        <w:rPr>
          <w:highlight w:val="none"/>
        </w:rPr>
        <w:t xml:space="preserve">Если значение </w:t>
      </w:r>
      <w:r>
        <w:t xml:space="preserve">τ  попало в центральн</w:t>
      </w:r>
      <w:r>
        <w:t xml:space="preserve">ый промежуток, то в таком случае решение об отсеве принимается на основании коэффициента вариации, который должен быть менее 33%. Если данный коэффициент больше заданного значения, то в таблице отклонений отсеиваем знаечния больше максимального отклонения.</w:t>
      </w:r>
      <w:r>
        <w:rPr>
          <w:highlight w:val="none"/>
        </w:rPr>
      </w:r>
      <w:r/>
    </w:p>
    <w:p>
      <w:pPr>
        <w:pStyle w:val="665"/>
      </w:pPr>
      <w:r>
        <w:t xml:space="preserve">В результате расчета статистических параметров была получена таблица на рисунке 3.</w:t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2294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2553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22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35.7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3 – Результаты расчета статистических параметров</w:t>
      </w:r>
      <w:r>
        <w:rPr>
          <w:i/>
          <w:highlight w:val="none"/>
        </w:rPr>
      </w:r>
      <w:r/>
    </w:p>
    <w:p>
      <w:pPr>
        <w:pStyle w:val="665"/>
        <w:rPr>
          <w:i/>
        </w:rPr>
      </w:pPr>
      <w:r>
        <w:rPr>
          <w:i w:val="0"/>
          <w:highlight w:val="none"/>
        </w:rPr>
        <w:t xml:space="preserve">Также, для расчетов была построена таблица отклонений (рис. 4).</w:t>
      </w:r>
      <w:r>
        <w:rPr>
          <w:i/>
          <w:highlight w:val="none"/>
        </w:rPr>
      </w:r>
      <w:r/>
    </w:p>
    <w:p>
      <w:r/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65341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84580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95924" cy="653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2.8pt;height:514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4 – Таблица отклонений</w:t>
      </w:r>
      <w:r>
        <w:rPr>
          <w:i/>
          <w:highlight w:val="none"/>
        </w:rPr>
      </w:r>
      <w:r/>
    </w:p>
    <w:p>
      <w:pPr>
        <w:shd w:val="nil" w:color="auto"/>
        <w:rPr>
          <w:rStyle w:val="651"/>
          <w:rFonts w:eastAsia="Times New Roman"/>
        </w:rPr>
      </w:pPr>
      <w:r>
        <w:rPr>
          <w:rFonts w:eastAsia="Times New Roman"/>
          <w:color w:val="000000"/>
          <w:highlight w:val="none"/>
        </w:rPr>
        <w:br w:type="page" w:clear="all"/>
      </w:r>
      <w:r>
        <w:rPr>
          <w:rStyle w:val="651"/>
          <w:rFonts w:eastAsia="Times New Roman"/>
        </w:rPr>
        <w:t xml:space="preserve">Отсев грубых погрешностей по критерию Стьюдента</w:t>
      </w:r>
      <w:r>
        <w:rPr>
          <w:rStyle w:val="651"/>
          <w:rFonts w:eastAsia="Times New Roman"/>
        </w:rPr>
      </w:r>
      <w:r/>
    </w:p>
    <w:p>
      <w:pPr>
        <w:pStyle w:val="665"/>
      </w:pPr>
      <w:r>
        <w:t xml:space="preserve">На основании рассчитанных данных произведем отсев грубых погрешностей. Отсев производится до тех пор, пок</w:t>
      </w:r>
      <w:r>
        <w:t xml:space="preserve">а в таблице на рисунке 3 в строке решение не будет значений «Yes» или «V» при условии отсутствия в таблице отклонений таких значений, которые превосходят максимальное отклонение. Также, отсев может быть остановлен по решению человека, который его проводит.</w:t>
      </w:r>
      <w:r>
        <w:t xml:space="preserve"> На рисунках 5 и 6 отображена динамика отсева.</w:t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63531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3535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34024" cy="6353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5.8pt;height:500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5 – Динамика отсева (1 шаг)</w:t>
      </w:r>
      <w:r>
        <w:rPr>
          <w:i/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63341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4284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24499" cy="6334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5.0pt;height:498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6 – Динамика отсева (2 шаг)</w:t>
      </w:r>
      <w:r>
        <w:rPr>
          <w:i/>
          <w:highlight w:val="none"/>
        </w:rPr>
      </w:r>
      <w:r/>
    </w:p>
    <w:p>
      <w:pPr>
        <w:pStyle w:val="665"/>
        <w:rPr>
          <w:i w:val="0"/>
          <w:highlight w:val="none"/>
        </w:rPr>
      </w:pPr>
      <w:r>
        <w:rPr>
          <w:i w:val="0"/>
          <w:highlight w:val="none"/>
        </w:rPr>
        <w:t xml:space="preserve">На 2 шаге было принято решение об остановке, т.к. наблюдалась тенденция полного отсева данных. Это объясняется тем, что дан</w:t>
      </w:r>
      <w:r>
        <w:rPr>
          <w:i w:val="0"/>
          <w:highlight w:val="none"/>
        </w:rPr>
        <w:t xml:space="preserve">ные имеют накопительный характер, т.к. каждая следующая запись зависит от предыдущей. Также, в ходе сбора данных был изменен алгоритм работы системы, с которой эти данные и были взяты. Таким образом данные имеют плохой характер и нуждаются в корректировке.</w:t>
      </w:r>
      <w:r>
        <w:rPr>
          <w:i w:val="0"/>
          <w:highlight w:val="none"/>
        </w:rPr>
      </w:r>
      <w:r/>
    </w:p>
    <w:p>
      <w:r>
        <w:t xml:space="preserve">На рисунке 7 представлена динамика отсева значений.</w:t>
      </w:r>
      <w:r/>
    </w:p>
    <w:p>
      <w:r/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1051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18578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2000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0.0pt;height:244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</w:pPr>
      <w:r>
        <w:rPr>
          <w:i/>
          <w:highlight w:val="none"/>
        </w:rPr>
        <w:t xml:space="preserve">Рисунок 7 – Динамика отсева значений</w:t>
      </w:r>
      <w:r>
        <w:rPr>
          <w:i w:val="0"/>
          <w:highlight w:val="none"/>
        </w:rPr>
      </w:r>
      <w:r/>
    </w:p>
    <w:p>
      <w:pPr>
        <w:pStyle w:val="665"/>
        <w:rPr>
          <w:i w:val="0"/>
          <w:highlight w:val="none"/>
        </w:rPr>
      </w:pPr>
      <w:r>
        <w:rPr>
          <w:rStyle w:val="651"/>
        </w:rPr>
        <w:t xml:space="preserve">Проверка гипотезы о нормальном распределении отклонений по САО </w:t>
      </w:r>
      <w:r>
        <w:rPr>
          <w:rStyle w:val="651"/>
        </w:rPr>
      </w:r>
      <w:r/>
    </w:p>
    <w:p>
      <w:pPr>
        <w:pStyle w:val="665"/>
        <w:rPr>
          <w:highlight w:val="none"/>
        </w:rPr>
      </w:pPr>
      <w:r>
        <w:rPr>
          <w:highlight w:val="none"/>
        </w:rPr>
        <w:t xml:space="preserve">Для столбца imironets проверим </w:t>
      </w:r>
      <w:r>
        <w:rPr>
          <w:highlight w:val="none"/>
        </w:rPr>
        <w:t xml:space="preserve">гипотезу о нормальном распределении, для этого воспользуемся неравенством (рис. 8)</w: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7810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313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90849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35.5pt;height:61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8 – Неравенство для проверки по САО</w:t>
      </w:r>
      <w:r>
        <w:rPr>
          <w:highlight w:val="none"/>
        </w:rPr>
      </w:r>
      <w:r/>
    </w:p>
    <w:p>
      <w:pPr>
        <w:pStyle w:val="665"/>
        <w:rPr>
          <w:highlight w:val="none"/>
        </w:rPr>
      </w:pPr>
      <w:r>
        <w:rPr>
          <w:i w:val="0"/>
          <w:highlight w:val="none"/>
        </w:rPr>
        <w:t xml:space="preserve">В результате вычислений получим (рис. 9)</w:t>
      </w:r>
      <w:r>
        <w:rPr>
          <w:i/>
          <w:highlight w:val="none"/>
        </w:rPr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9675" cy="7429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2775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209674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95.2pt;height:58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  <w:t xml:space="preserve">Рисунок 9 – Результат проверки на нормальное распределение по САО</w:t>
      </w:r>
      <w:r>
        <w:rPr>
          <w:highlight w:val="none"/>
        </w:rPr>
      </w:r>
      <w:r/>
    </w:p>
    <w:p>
      <w:pPr>
        <w:pStyle w:val="665"/>
      </w:pPr>
      <w:r>
        <w:rPr>
          <w:highlight w:val="none"/>
        </w:rPr>
        <w:t xml:space="preserve">Это говорит о том, что отклонение величин не подвержено нормальному распределению.</w:t>
      </w:r>
      <w:r>
        <w:rPr>
          <w:highlight w:val="none"/>
        </w:rPr>
      </w:r>
      <w:r/>
    </w:p>
    <w:p>
      <w:r>
        <w:t xml:space="preserve">Построим распределение данных величин (рис. 10). </w:t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73367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769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72000" cy="2733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60.0pt;height:215.2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</w:t>
      </w:r>
      <w:r>
        <w:rPr>
          <w:i/>
          <w:highlight w:val="none"/>
        </w:rPr>
        <w:t xml:space="preserve">исунок 10 – График распределения величин для столбца imironets</w:t>
      </w:r>
      <w:r>
        <w:rPr>
          <w:i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Style w:val="651"/>
        </w:rPr>
        <w:t xml:space="preserve">Проверка гипотезы о нормальном распределении отклонений по критерию Пирсона </w:t>
      </w:r>
      <w:r>
        <w:rPr>
          <w:highlight w:val="none"/>
        </w:rPr>
      </w:r>
      <w:r/>
    </w:p>
    <w:p>
      <w:pPr>
        <w:pStyle w:val="665"/>
        <w:rPr>
          <w:highlight w:val="none"/>
        </w:rPr>
      </w:pPr>
      <w:r>
        <w:rPr>
          <w:highlight w:val="none"/>
        </w:rPr>
        <w:t xml:space="preserve">Для проверки гипотезы о нормальном распределении по критерию Пирсона построим таблицу эмпирических частот. Данная таблица представлена на рисунке 11. Рассчитаем ожидаемое отклонение и его меру.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4378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7511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64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36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11 – Расчет параметров для проверки гипотезы по критерию Пирсона</w:t>
      </w:r>
      <w:r>
        <w:rPr>
          <w:highlight w:val="none"/>
        </w:rPr>
      </w:r>
      <w:r/>
    </w:p>
    <w:p>
      <w:pPr>
        <w:pStyle w:val="665"/>
        <w:rPr>
          <w:highlight w:val="none"/>
        </w:rPr>
      </w:pPr>
      <w:r>
        <w:rPr>
          <w:i w:val="0"/>
          <w:highlight w:val="none"/>
        </w:rPr>
        <w:t xml:space="preserve">Для того, чтобы понять, подвержены ли нормальному распределению наши данные – воспользуемся формулой для расчета наблюдаемого «хи квадрат» (рис. 12).</w:t>
      </w:r>
      <w:r>
        <w:rPr>
          <w:i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8763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00631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257425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77.8pt;height:69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Рисунок 12 – Формула расчета «хи квадрат»</w:t>
      </w:r>
      <w:r>
        <w:rPr>
          <w:highlight w:val="none"/>
        </w:rPr>
      </w:r>
      <w:r/>
    </w:p>
    <w:p>
      <w:pPr>
        <w:pStyle w:val="665"/>
        <w:rPr>
          <w:highlight w:val="none"/>
        </w:rPr>
      </w:pPr>
      <w:r>
        <w:rPr>
          <w:highlight w:val="none"/>
        </w:rPr>
        <w:t xml:space="preserve">Также, для проверки нам понадобится рассчитать критическое «хи квадрат». Для этого в Excel существует формула </w:t>
      </w:r>
      <w:r>
        <w:rPr>
          <w:highlight w:val="none"/>
        </w:rPr>
        <w:t xml:space="preserve">ХИ2.ОБР.ПХ. В результате вычислений получим (рис. 13).</w:t>
      </w:r>
      <w:r>
        <w:rPr>
          <w:highlight w:val="none"/>
        </w:rPr>
      </w:r>
      <w:r/>
    </w:p>
    <w:p>
      <w:pPr>
        <w:pStyle w:val="665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7400" cy="37147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9612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057400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62.0pt;height:29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65"/>
        <w:jc w:val="center"/>
      </w:pPr>
      <w:r>
        <w:rPr>
          <w:i/>
        </w:rPr>
        <w:t xml:space="preserve">Рисунок 13 – </w:t>
      </w:r>
      <w:r>
        <w:rPr>
          <w:i/>
          <w:highlight w:val="none"/>
        </w:rPr>
        <w:t xml:space="preserve">Результат проверки на нормальное распределение по Пирсону</w:t>
      </w:r>
      <w:r/>
    </w:p>
    <w:p>
      <w:pPr>
        <w:pStyle w:val="665"/>
        <w:rPr>
          <w:highlight w:val="none"/>
        </w:rPr>
      </w:pPr>
      <w:r>
        <w:t xml:space="preserve">Полученное </w:t>
      </w:r>
      <w:r>
        <w:rPr>
          <w:highlight w:val="none"/>
        </w:rPr>
        <w:t xml:space="preserve">«хи квадрат» меньше критического, что говорит о том, что данные подвержены нормальному распределению.</w:t>
      </w:r>
      <w:r>
        <w:t xml:space="preserve"> На рисунке 14 отображено распределение наблюдаемых отклонений.</w: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66700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1077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543425" cy="266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57.8pt;height:21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</w:rPr>
      </w:pPr>
      <w:r>
        <w:rPr>
          <w:i/>
          <w:highlight w:val="none"/>
        </w:rPr>
        <w:t xml:space="preserve">Рисунок 14 - </w:t>
      </w:r>
      <w:r>
        <w:rPr>
          <w:i/>
        </w:rPr>
        <w:t xml:space="preserve">Распределение наблюдаемых отклонений</w:t>
      </w:r>
      <w:r>
        <w:rPr>
          <w:i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енения статистических показателей в процессе отсева.я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Style w:val="651"/>
        </w:rPr>
        <w:t xml:space="preserve">Проверка гипотезы о нормальном распределении отклонений по критерию Колмогорова–Смирнова </w:t>
      </w:r>
      <w:r>
        <w:rPr>
          <w:highlight w:val="none"/>
        </w:rPr>
      </w:r>
      <w:r/>
    </w:p>
    <w:p>
      <w:pPr>
        <w:pStyle w:val="665"/>
        <w:rPr>
          <w:highlight w:val="none"/>
        </w:rPr>
      </w:pPr>
      <w:r>
        <w:rPr>
          <w:highlight w:val="none"/>
        </w:rPr>
        <w:t xml:space="preserve">Для проверки гипотезы о нормальном распределении по критерию Колмагорова смирнова построим таблицу эмпирических частот, рассчитаем теоретические частоты и наблюдаемое значение критерия согласия (формула рис. 15). Данная таблица представлена на рисунке 16.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7450" cy="7905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917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457450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93.5pt;height:62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16 – Формула расчета значения критерия согласия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2968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6843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62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36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i/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17 – </w:t>
      </w:r>
      <w:r>
        <w:rPr>
          <w:i/>
          <w:highlight w:val="none"/>
        </w:rPr>
        <w:t xml:space="preserve">Расчет параметров для проверки гипотезы по критерию Колмогорова-Смирнова</w:t>
      </w:r>
      <w:r>
        <w:rPr>
          <w:i/>
          <w:highlight w:val="none"/>
        </w:rPr>
      </w:r>
      <w:r/>
    </w:p>
    <w:p>
      <w:pPr>
        <w:pStyle w:val="665"/>
        <w:rPr>
          <w:i/>
          <w:highlight w:val="none"/>
        </w:rPr>
      </w:pPr>
      <w:r>
        <w:rPr>
          <w:i/>
          <w:highlight w:val="none"/>
        </w:rPr>
      </w:r>
      <w:r>
        <w:rPr>
          <w:i w:val="0"/>
          <w:highlight w:val="none"/>
        </w:rPr>
        <w:t xml:space="preserve">Чтобы понять, что данные подвержены нормальному </w:t>
      </w:r>
      <w:r>
        <w:rPr>
          <w:i w:val="0"/>
          <w:highlight w:val="none"/>
        </w:rPr>
        <w:t xml:space="preserve">распределению, необходимо узнать критическую точку распределения. Для этого воспользуемся специальной таблицей, в которой нам необходимо взять значение для степени свободы равной 27 (рис. 18). </w:t>
      </w:r>
      <w:r>
        <w:rPr>
          <w:i/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32004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0806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33949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88.5pt;height:252.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18 – Таблица критических точек Колмогорова-Смирнова.</w:t>
      </w:r>
      <w:r>
        <w:rPr>
          <w:highlight w:val="none"/>
        </w:rPr>
      </w:r>
      <w:r/>
    </w:p>
    <w:p>
      <w:pPr>
        <w:pStyle w:val="665"/>
      </w:pPr>
      <w:r>
        <w:rPr>
          <w:i w:val="0"/>
          <w:highlight w:val="none"/>
        </w:rPr>
        <w:t xml:space="preserve">В результате получим, что данные подвергаются нормальному распределению (рис. 19).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8275" cy="361950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6282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438274" cy="36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13.2pt;height:28.5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i/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19 -</w:t>
      </w:r>
      <w:r>
        <w:rPr>
          <w:i/>
        </w:rPr>
        <w:t xml:space="preserve"> </w:t>
      </w:r>
      <w:r>
        <w:rPr>
          <w:i/>
          <w:highlight w:val="none"/>
        </w:rPr>
        <w:t xml:space="preserve">Результат проверки на нормальное распределение по Колмогорову-Смирнову</w:t>
      </w:r>
      <w:r>
        <w:rPr>
          <w:i/>
          <w:highlight w:val="none"/>
        </w:rPr>
      </w:r>
      <w:r/>
    </w:p>
    <w:p>
      <w:pPr>
        <w:pStyle w:val="665"/>
        <w:rPr>
          <w:highlight w:val="none"/>
        </w:rPr>
      </w:pPr>
      <w:r>
        <w:rPr>
          <w:i w:val="0"/>
          <w:highlight w:val="none"/>
        </w:rPr>
        <w:t xml:space="preserve">Для проверки построим график эмпирического распределения. Для этого, необходимо рассчитать функцию распределения. Данный расчет представлен на рисунке 20.</w:t>
      </w:r>
      <w:r>
        <w:rPr>
          <w:i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84776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139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184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67.8pt;height:172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</w:rPr>
        <w:t xml:space="preserve">Рисунок 20 – Расчет функции распределения</w:t>
      </w:r>
      <w:r/>
    </w:p>
    <w:p>
      <w:pPr>
        <w:pStyle w:val="665"/>
      </w:pPr>
      <w:r>
        <w:rPr>
          <w:highlight w:val="none"/>
        </w:rPr>
        <w:t xml:space="preserve">На основе полученных данных построим график эмпирического распределения (рис. 21)</w:t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3438525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8814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057775" cy="3438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98.2pt;height:270.8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  <w:t xml:space="preserve">Рисунок 21 – График эмпирического распределения</w:t>
      </w:r>
      <w:r>
        <w:rPr>
          <w:highlight w:val="none"/>
        </w:rPr>
      </w:r>
      <w:r/>
    </w:p>
    <w:p>
      <w:pPr>
        <w:pStyle w:val="650"/>
      </w:pPr>
      <w:r>
        <w:rPr>
          <w:i w:val="0"/>
          <w:highlight w:val="none"/>
        </w:rPr>
        <w:t xml:space="preserve">Вывод</w:t>
      </w:r>
      <w:r>
        <w:rPr>
          <w:i/>
          <w:highlight w:val="none"/>
        </w:rPr>
      </w:r>
      <w:r/>
    </w:p>
    <w:p>
      <w:pPr>
        <w:pStyle w:val="665"/>
      </w:pPr>
      <w:r>
        <w:t xml:space="preserve">В результате проделанной работы мы выполнили отсев грубых погрешностей, провели проверку на соответствие данных нормальному распределению, построили графики.</w:t>
      </w:r>
      <w:r/>
    </w:p>
    <w:p>
      <w:pPr>
        <w:pStyle w:val="665"/>
        <w:rPr>
          <w:i w:val="0"/>
          <w:highlight w:val="none"/>
        </w:rPr>
      </w:pPr>
      <w:r>
        <w:t xml:space="preserve">На основе проверок на нормальное распределение можно сказать, что данные ему не подвержены, так как имеют накопительный характер. В</w:t>
      </w:r>
      <w:r>
        <w:rPr>
          <w:i w:val="0"/>
          <w:highlight w:val="none"/>
        </w:rPr>
        <w:t xml:space="preserve"> ходе сбора данных был изменен алгоритм работы системы, с которой эти данные и были взяты. Алгоритмы проверок дают разные результаты и потому что метод САО дал отрицательный результат и построенные графики не имеют характера нормального распределения. </w:t>
      </w:r>
      <w:r>
        <w:rPr>
          <w:i w:val="0"/>
          <w:highlight w:val="none"/>
        </w:rPr>
        <w:t xml:space="preserve">Таким образом данные имеют плохой характер и нуждаются в корректировке.</w:t>
      </w:r>
      <w:r>
        <w:t xml:space="preserve">Также, в ходе сбора данных был изменен алгоритм работы системы, с которой эти данные и были взяты. Таким образом данные имеют плохой характер и нуждаются в корректировке.</w:t>
      </w:r>
      <w:r>
        <w:rPr>
          <w:i w:val="0"/>
          <w:highlight w:val="none"/>
        </w:rPr>
      </w:r>
      <w:r/>
    </w:p>
    <w:p>
      <w:r/>
      <w:r/>
    </w:p>
    <w:p>
      <w:pPr>
        <w:pStyle w:val="650"/>
      </w:pPr>
      <w:r>
        <w:t xml:space="preserve">Приложение А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9727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0504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349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263.8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65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94062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311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3094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243.6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jc w:val="center"/>
      </w:pPr>
      <w:r>
        <w:rPr>
          <w:i/>
        </w:rPr>
        <w:t xml:space="preserve">Рисунок 22 – Расчёты для imironets и yremizov</w:t>
      </w:r>
      <w:r/>
    </w:p>
    <w:p>
      <w:pPr>
        <w:pStyle w:val="65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93635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4821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3893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67.8pt;height:306.6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pStyle w:val="65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97912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409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4097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7.8pt;height:322.7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jc w:val="center"/>
      </w:pPr>
      <w:r/>
      <w:r>
        <w:rPr>
          <w:i/>
        </w:rPr>
        <w:t xml:space="preserve">Рисунок 23 – Расчёты для ipanov и tsosed</w:t>
      </w:r>
      <w:r/>
    </w:p>
    <w:p>
      <w:pPr>
        <w:pStyle w:val="650"/>
      </w:pPr>
      <w:r/>
      <w:r>
        <w:t xml:space="preserve"> </w:t>
      </w:r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5899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5050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2855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224.9pt;" stroked="false">
                <v:path textboxrect="0,0,0,0"/>
                <v:imagedata r:id="rId33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4499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2520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2424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67.8pt;height:190.9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i/>
        </w:rPr>
        <w:t xml:space="preserve">Рисунок 22 – Расчёты для dchernienko и mvarlamov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02199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4733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390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67.8pt;height:307.3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8162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3063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288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67.8pt;height:227.4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i/>
        </w:rPr>
        <w:t xml:space="preserve">Рисунок 22 – Расчёты для avoloshchuk и vgavrilkovich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4"/>
    <w:next w:val="824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4"/>
    <w:next w:val="824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4"/>
    <w:next w:val="824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Times New Roman" w:hAnsi="Times New Roman" w:cs="Times New Roman" w:eastAsia="Times New Roman"/>
      <w:b/>
      <w:bCs/>
      <w:sz w:val="30"/>
      <w:szCs w:val="28"/>
      <w:lang w:eastAsia="ru-RU"/>
    </w:rPr>
  </w:style>
  <w:style w:type="character" w:styleId="651">
    <w:name w:val="Heading 3 Char"/>
    <w:link w:val="650"/>
    <w:uiPriority w:val="9"/>
    <w:rPr>
      <w:rFonts w:ascii="Times New Roman" w:hAnsi="Times New Roman" w:cs="Times New Roman" w:eastAsia="Times New Roman"/>
      <w:b/>
      <w:bCs/>
      <w:szCs w:val="28"/>
      <w:lang w:eastAsia="ru-RU"/>
    </w:rPr>
  </w:style>
  <w:style w:type="paragraph" w:styleId="652">
    <w:name w:val="Heading 4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List Paragraph"/>
    <w:basedOn w:val="824"/>
    <w:uiPriority w:val="34"/>
    <w:qFormat/>
    <w:pPr>
      <w:contextualSpacing/>
      <w:ind w:left="720"/>
    </w:pPr>
  </w:style>
  <w:style w:type="paragraph" w:styleId="665">
    <w:name w:val="No Spacing"/>
    <w:basedOn w:val="824"/>
    <w:next w:val="824"/>
    <w:uiPriority w:val="1"/>
    <w:qFormat/>
    <w:pPr>
      <w:jc w:val="both"/>
      <w:spacing w:after="0" w:line="360" w:lineRule="auto"/>
    </w:pPr>
    <w:rPr>
      <w:i w:val="0"/>
      <w:sz w:val="28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next w:val="824"/>
    <w:link w:val="824"/>
    <w:pPr>
      <w:spacing w:after="160"/>
    </w:pPr>
    <w:rPr>
      <w:rFonts w:ascii="Times New Roman" w:hAnsi="Times New Roman"/>
      <w:sz w:val="28"/>
      <w:szCs w:val="22"/>
      <w:lang w:val="ru-RU" w:bidi="ar-SA" w:eastAsia="en-US"/>
    </w:rPr>
  </w:style>
  <w:style w:type="paragraph" w:styleId="825">
    <w:name w:val="Заголовок 1"/>
    <w:basedOn w:val="824"/>
    <w:next w:val="825"/>
    <w:link w:val="831"/>
    <w:pPr>
      <w:spacing w:before="100" w:beforeAutospacing="1" w:after="100" w:afterAutospacing="1"/>
      <w:outlineLvl w:val="0"/>
    </w:pPr>
    <w:rPr>
      <w:rFonts w:eastAsia="Times New Roman"/>
      <w:b/>
      <w:bCs/>
      <w:sz w:val="48"/>
      <w:szCs w:val="48"/>
      <w:lang w:eastAsia="ru-RU"/>
    </w:rPr>
  </w:style>
  <w:style w:type="character" w:styleId="826">
    <w:name w:val="Основной шрифт абзаца"/>
    <w:next w:val="826"/>
    <w:link w:val="824"/>
    <w:semiHidden/>
  </w:style>
  <w:style w:type="table" w:styleId="827">
    <w:name w:val="Обычная таблица"/>
    <w:next w:val="827"/>
    <w:link w:val="824"/>
    <w:semiHidden/>
    <w:tblPr/>
  </w:style>
  <w:style w:type="numbering" w:styleId="828">
    <w:name w:val="Нет списка"/>
    <w:next w:val="828"/>
    <w:link w:val="824"/>
    <w:semiHidden/>
  </w:style>
  <w:style w:type="character" w:styleId="829">
    <w:name w:val="Замещающий текст"/>
    <w:next w:val="829"/>
    <w:link w:val="824"/>
    <w:semiHidden/>
    <w:rPr>
      <w:color w:val="A9A9A9"/>
    </w:rPr>
  </w:style>
  <w:style w:type="table" w:styleId="830">
    <w:name w:val="Сетка таблицы"/>
    <w:basedOn w:val="827"/>
    <w:next w:val="830"/>
    <w:link w:val="824"/>
    <w:pPr>
      <w:spacing w:after="0" w:line="240" w:lineRule="auto"/>
    </w:pPr>
    <w:tblPr/>
  </w:style>
  <w:style w:type="character" w:styleId="831">
    <w:name w:val="Заголовок 1 Знак"/>
    <w:next w:val="831"/>
    <w:link w:val="825"/>
    <w:rPr>
      <w:rFonts w:ascii="Times New Roman" w:hAnsi="Times New Roman" w:eastAsia="Times New Roman"/>
      <w:b/>
      <w:bCs/>
      <w:sz w:val="48"/>
      <w:szCs w:val="48"/>
      <w:lang w:eastAsia="ru-RU"/>
    </w:rPr>
  </w:style>
  <w:style w:type="character" w:styleId="832" w:default="1">
    <w:name w:val="Default Paragraph Font"/>
    <w:uiPriority w:val="1"/>
    <w:semiHidden/>
    <w:unhideWhenUsed/>
  </w:style>
  <w:style w:type="numbering" w:styleId="833" w:default="1">
    <w:name w:val="No List"/>
    <w:uiPriority w:val="99"/>
    <w:semiHidden/>
    <w:unhideWhenUsed/>
  </w:style>
  <w:style w:type="table" w:styleId="83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2022-10-28T19:54:48Z</dcterms:modified>
</cp:coreProperties>
</file>