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МИНИСТЕРСТВО НАУКИ И ВЫСШЕГО ОБРАЗОВАНИЯ РОССИЙСКОЙ ФЕДЕРАЦИИ</w:t>
      </w:r>
      <w:r/>
    </w:p>
    <w:p>
      <w:pPr>
        <w:pStyle w:val="85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85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 «МАГНИТОГОРСКИЙ ГОСУДАРСТВЕННЫЙ ТЕХНИЧЕСКИЙ УНИВЕРСИТЕТ </w:t>
      </w:r>
      <w:r/>
    </w:p>
    <w:p>
      <w:pPr>
        <w:pStyle w:val="85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ИМ. Г. И. НОСОВА»</w:t>
      </w:r>
      <w:r/>
    </w:p>
    <w:p>
      <w:pPr>
        <w:pStyle w:val="85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(ФГБОУ ВО «МГТУ ИМ. Г.И. НОСОВА»)</w:t>
      </w:r>
      <w:r/>
    </w:p>
    <w:p>
      <w:pPr>
        <w:pStyle w:val="850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5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Кафедра вычислительной техники и программирования</w:t>
      </w:r>
      <w:r/>
    </w:p>
    <w:p>
      <w:pPr>
        <w:pStyle w:val="850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textWrapping" w:clear="all"/>
        <w:br w:type="textWrapping" w:clear="all"/>
      </w:r>
      <w:r/>
    </w:p>
    <w:p>
      <w:pPr>
        <w:pStyle w:val="85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b/>
          <w:color w:val="000000"/>
        </w:rPr>
        <w:t xml:space="preserve">Отчет по лабораторной работе</w:t>
      </w:r>
      <w:r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b/>
          <w:color w:val="000000"/>
        </w:rPr>
        <w:t xml:space="preserve">№</w:t>
      </w:r>
      <w:r>
        <w:rPr>
          <w:rFonts w:eastAsia="Times New Roman"/>
          <w:b/>
          <w:color w:val="000000"/>
        </w:rPr>
        <w:t xml:space="preserve">5</w:t>
      </w:r>
      <w:r/>
    </w:p>
    <w:p>
      <w:pPr>
        <w:pStyle w:val="850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5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по дисциплине «</w:t>
      </w:r>
      <w:r>
        <w:rPr>
          <w:rFonts w:eastAsia="Times New Roman"/>
          <w:color w:val="000000"/>
        </w:rPr>
        <w:t xml:space="preserve">Обработка экспериментальных данных</w:t>
      </w:r>
      <w:r>
        <w:rPr>
          <w:rFonts w:eastAsia="Times New Roman"/>
          <w:color w:val="000000"/>
        </w:rPr>
        <w:t xml:space="preserve">»</w:t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50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textWrapping" w:clear="all"/>
        <w:br w:type="textWrapping" w:clear="all"/>
        <w:br w:type="textWrapping" w:clear="all"/>
      </w:r>
      <w:r/>
    </w:p>
    <w:p>
      <w:pPr>
        <w:pStyle w:val="8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Исполнитель: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000000" w:themeColor="text1"/>
        </w:rPr>
        <w:t xml:space="preserve">Варламов М.Н.</w:t>
      </w:r>
      <w:r>
        <w:rPr>
          <w:rFonts w:eastAsia="Times New Roman"/>
          <w:color w:val="000000"/>
        </w:rPr>
        <w:t xml:space="preserve">, студент 4 курса, группа АВб–19–1 </w:t>
      </w:r>
      <w:r/>
    </w:p>
    <w:p>
      <w:pPr>
        <w:pStyle w:val="850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5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Руководитель: Ильина Е.А.,</w:t>
      </w:r>
      <w:r>
        <w:rPr>
          <w:rFonts w:eastAsia="Times New Roman"/>
          <w:color w:val="000000"/>
        </w:rPr>
        <w:t xml:space="preserve"> к.</w:t>
      </w:r>
      <w:r>
        <w:rPr>
          <w:rFonts w:eastAsia="Times New Roman"/>
          <w:color w:val="000000"/>
        </w:rPr>
        <w:t xml:space="preserve">п.н., доцент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кафедры ВТиП</w:t>
      </w:r>
      <w:r>
        <w:rPr>
          <w:rFonts w:eastAsia="Times New Roman"/>
          <w:color w:val="000000"/>
        </w:rPr>
        <w:t xml:space="preserve">.</w:t>
      </w:r>
      <w:r>
        <w:rPr>
          <w:color w:val="000000"/>
        </w:rPr>
      </w:r>
      <w:r/>
    </w:p>
    <w:p>
      <w:pPr>
        <w:pStyle w:val="850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textWrapping" w:clear="all"/>
      </w:r>
      <w:r/>
    </w:p>
    <w:p>
      <w:pPr>
        <w:pStyle w:val="850"/>
        <w:ind w:left="120" w:right="120"/>
        <w:spacing w:before="120" w:after="120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</w:r>
      <w:r/>
    </w:p>
    <w:p>
      <w:pPr>
        <w:pStyle w:val="850"/>
        <w:ind w:left="120" w:right="120"/>
        <w:spacing w:before="120" w:after="120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</w:r>
      <w:r/>
    </w:p>
    <w:p>
      <w:pPr>
        <w:pStyle w:val="850"/>
        <w:ind w:left="120" w:right="120"/>
        <w:spacing w:before="120" w:after="120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</w:r>
      <w:r/>
    </w:p>
    <w:p>
      <w:pPr>
        <w:pStyle w:val="850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50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50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50"/>
        <w:jc w:val="center"/>
        <w:rPr>
          <w:rFonts w:eastAsia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Магнитогорск, 2022</w:t>
      </w:r>
      <w:r>
        <w:rPr>
          <w:rFonts w:eastAsia="Times New Roman"/>
          <w:color w:val="000000"/>
        </w:rPr>
      </w:r>
      <w:r/>
    </w:p>
    <w:p>
      <w:pPr>
        <w:pStyle w:val="676"/>
      </w:pPr>
      <w:r>
        <w:rPr>
          <w:rFonts w:eastAsia="Times New Roman"/>
          <w:color w:val="000000"/>
        </w:rPr>
        <w:br w:type="page" w:clear="all"/>
      </w:r>
      <w:r>
        <w:t xml:space="preserve">Расчет матрицы коэффициентов сопоставимости по факторам и наблюдениям</w:t>
      </w:r>
      <w:r>
        <w:rPr>
          <w:rFonts w:eastAsia="Times New Roman"/>
          <w:color w:val="000000"/>
        </w:rPr>
      </w:r>
      <w:r/>
    </w:p>
    <w:p>
      <w:pPr>
        <w:rPr>
          <w:highlight w:val="none"/>
        </w:rPr>
      </w:pPr>
      <w:r>
        <w:t xml:space="preserve">На рисунке 1 представлены исходные данные.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8875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5229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5788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55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highlight w:val="none"/>
        </w:rPr>
        <w:t xml:space="preserve">Рисунок 1 – Исходные данные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Для расчета матрицы сопоставимости необходимо представить матрицу исходных данных в двоичном виде (рисунок 2).</w:t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660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794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5566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38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i/>
          <w:highlight w:val="none"/>
        </w:rPr>
        <w:t xml:space="preserve">Рисунок 2 – Исходные данные</w:t>
      </w:r>
      <w:r>
        <w:rPr>
          <w:highlight w:val="none"/>
        </w:rPr>
        <w:t xml:space="preserve"> в двоичном виде</w:t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К коэффициентам сопоставимости относят следующие:</w:t>
      </w:r>
      <w:r>
        <w:rPr>
          <w:highlight w:val="none"/>
        </w:rPr>
      </w:r>
      <w:r/>
    </w:p>
    <w:p>
      <w:pPr>
        <w:pStyle w:val="690"/>
        <w:numPr>
          <w:ilvl w:val="0"/>
          <w:numId w:val="9"/>
        </w:numPr>
        <w:jc w:val="left"/>
        <w:rPr>
          <w:highlight w:val="none"/>
        </w:rPr>
      </w:pPr>
      <w:r>
        <w:rPr>
          <w:highlight w:val="none"/>
        </w:rPr>
        <w:t xml:space="preserve">Коэффициент совстречаемости;</w:t>
      </w:r>
      <w:r>
        <w:rPr>
          <w:highlight w:val="none"/>
        </w:rPr>
      </w:r>
      <w:r/>
    </w:p>
    <w:p>
      <w:pPr>
        <w:pStyle w:val="690"/>
        <w:numPr>
          <w:ilvl w:val="0"/>
          <w:numId w:val="9"/>
        </w:numPr>
        <w:jc w:val="left"/>
        <w:rPr>
          <w:highlight w:val="none"/>
        </w:rPr>
      </w:pPr>
      <w:r>
        <w:rPr>
          <w:highlight w:val="none"/>
        </w:rPr>
        <w:t xml:space="preserve">Коэффициент Рао;</w:t>
      </w:r>
      <w:r>
        <w:rPr>
          <w:highlight w:val="none"/>
        </w:rPr>
      </w:r>
      <w:r/>
    </w:p>
    <w:p>
      <w:pPr>
        <w:pStyle w:val="690"/>
        <w:numPr>
          <w:ilvl w:val="0"/>
          <w:numId w:val="9"/>
        </w:numPr>
        <w:jc w:val="left"/>
        <w:rPr>
          <w:highlight w:val="none"/>
        </w:rPr>
      </w:pPr>
      <w:r>
        <w:rPr>
          <w:highlight w:val="none"/>
        </w:rPr>
        <w:t xml:space="preserve">Коэффициент Хаммана;</w:t>
      </w:r>
      <w:r>
        <w:rPr>
          <w:highlight w:val="none"/>
        </w:rPr>
      </w:r>
      <w:r/>
    </w:p>
    <w:p>
      <w:pPr>
        <w:pStyle w:val="690"/>
        <w:numPr>
          <w:ilvl w:val="0"/>
          <w:numId w:val="9"/>
        </w:numPr>
        <w:jc w:val="left"/>
        <w:rPr>
          <w:highlight w:val="none"/>
        </w:rPr>
      </w:pPr>
      <w:r>
        <w:rPr>
          <w:highlight w:val="none"/>
        </w:rPr>
        <w:t xml:space="preserve">Коэффициент Роджерса.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На рисунке 3 изображены формулы расчета данных коэффициентов.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5487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5201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6354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500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jc w:val="center"/>
        <w:rPr>
          <w:bCs/>
          <w:i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3 – Формулы расчета коэффициентов сопоставимости</w:t>
      </w:r>
      <w:r>
        <w:rPr>
          <w:highlight w:val="none"/>
        </w:rPr>
      </w:r>
      <w:r/>
    </w:p>
    <w:p>
      <w:pPr>
        <w:ind w:left="0" w:firstLine="0"/>
        <w:jc w:val="left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Параметры в формулах:</w:t>
      </w:r>
      <w:r>
        <w:rPr>
          <w:bCs w:val="0"/>
          <w:i w:val="0"/>
          <w:highlight w:val="none"/>
        </w:rPr>
      </w:r>
      <w:r/>
    </w:p>
    <w:p>
      <w:pPr>
        <w:pStyle w:val="690"/>
        <w:numPr>
          <w:ilvl w:val="0"/>
          <w:numId w:val="10"/>
        </w:numPr>
        <w:jc w:val="left"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vertAlign w:val="baseline"/>
        </w:rPr>
        <w:t xml:space="preserve">S – Количество разрядов;</w:t>
      </w:r>
      <w:r>
        <w:rPr>
          <w:i w:val="0"/>
          <w:iCs w:val="0"/>
          <w:highlight w:val="none"/>
          <w:vertAlign w:val="baseline"/>
        </w:rPr>
      </w:r>
      <w:r/>
    </w:p>
    <w:p>
      <w:pPr>
        <w:pStyle w:val="690"/>
        <w:numPr>
          <w:ilvl w:val="0"/>
          <w:numId w:val="10"/>
        </w:numPr>
        <w:jc w:val="left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P</w:t>
      </w:r>
      <w:r>
        <w:rPr>
          <w:i w:val="0"/>
          <w:iCs w:val="0"/>
          <w:highlight w:val="none"/>
          <w:vertAlign w:val="subscript"/>
        </w:rPr>
        <w:t xml:space="preserve">kl </w:t>
      </w:r>
      <w:r>
        <w:rPr>
          <w:i w:val="0"/>
          <w:iCs w:val="0"/>
          <w:highlight w:val="none"/>
          <w:vertAlign w:val="baseline"/>
        </w:rPr>
        <w:t xml:space="preserve">– Количество совпадений;</w:t>
      </w:r>
      <w:r>
        <w:rPr>
          <w:i w:val="0"/>
          <w:iCs w:val="0"/>
          <w:highlight w:val="none"/>
        </w:rPr>
      </w:r>
      <w:r/>
    </w:p>
    <w:p>
      <w:pPr>
        <w:pStyle w:val="690"/>
        <w:numPr>
          <w:ilvl w:val="0"/>
          <w:numId w:val="10"/>
        </w:numPr>
        <w:jc w:val="left"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vertAlign w:val="baseline"/>
        </w:rPr>
      </w:r>
      <w:r>
        <w:rPr>
          <w:i w:val="0"/>
          <w:iCs w:val="0"/>
          <w:highlight w:val="none"/>
        </w:rPr>
        <w:t xml:space="preserve">P</w:t>
      </w:r>
      <w:r>
        <w:rPr>
          <w:i w:val="0"/>
          <w:iCs w:val="0"/>
          <w:highlight w:val="none"/>
          <w:vertAlign w:val="subscript"/>
        </w:rPr>
        <w:t xml:space="preserve">k</w:t>
      </w:r>
      <w:r>
        <w:rPr>
          <w:i w:val="0"/>
          <w:iCs w:val="0"/>
          <w:highlight w:val="none"/>
          <w:vertAlign w:val="subscript"/>
        </w:rPr>
        <w:t xml:space="preserve">l</w:t>
      </w:r>
      <w:r>
        <w:rPr>
          <w:i w:val="0"/>
          <w:iCs w:val="0"/>
          <w:highlight w:val="none"/>
          <w:vertAlign w:val="superscript"/>
        </w:rPr>
        <w:t xml:space="preserve">1,1</w:t>
      </w:r>
      <w:r>
        <w:rPr>
          <w:i w:val="0"/>
          <w:iCs w:val="0"/>
          <w:highlight w:val="none"/>
          <w:vertAlign w:val="baseline"/>
        </w:rPr>
        <w:t xml:space="preserve"> – Количество совпадений единиц;</w:t>
      </w:r>
      <w:r>
        <w:rPr>
          <w:i w:val="0"/>
          <w:iCs w:val="0"/>
          <w:highlight w:val="none"/>
          <w:vertAlign w:val="baseline"/>
        </w:rPr>
      </w:r>
      <w:r/>
    </w:p>
    <w:p>
      <w:pPr>
        <w:pStyle w:val="690"/>
        <w:numPr>
          <w:ilvl w:val="0"/>
          <w:numId w:val="10"/>
        </w:numPr>
        <w:jc w:val="left"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vertAlign w:val="baseline"/>
        </w:rPr>
        <w:t xml:space="preserve">Q</w:t>
      </w:r>
      <w:r>
        <w:rPr>
          <w:i w:val="0"/>
          <w:iCs w:val="0"/>
          <w:highlight w:val="none"/>
          <w:vertAlign w:val="subscript"/>
        </w:rPr>
        <w:t xml:space="preserve">k</w:t>
      </w:r>
      <w:r>
        <w:rPr>
          <w:i w:val="0"/>
          <w:iCs w:val="0"/>
          <w:highlight w:val="none"/>
          <w:vertAlign w:val="subscript"/>
        </w:rPr>
        <w:t xml:space="preserve">l</w:t>
      </w:r>
      <w:r>
        <w:rPr>
          <w:i w:val="0"/>
          <w:iCs w:val="0"/>
          <w:highlight w:val="none"/>
          <w:vertAlign w:val="baseline"/>
        </w:rPr>
        <w:t xml:space="preserve"> </w:t>
      </w:r>
      <w:r>
        <w:rPr>
          <w:i w:val="0"/>
          <w:iCs w:val="0"/>
          <w:highlight w:val="none"/>
          <w:vertAlign w:val="baseline"/>
        </w:rPr>
        <w:t xml:space="preserve">– Количество несовпадений;</w:t>
      </w:r>
      <w:r>
        <w:rPr>
          <w:i w:val="0"/>
          <w:iCs w:val="0"/>
          <w:highlight w:val="none"/>
          <w:vertAlign w:val="baseline"/>
        </w:rPr>
      </w:r>
      <w:r/>
    </w:p>
    <w:p>
      <w:pPr>
        <w:pStyle w:val="690"/>
        <w:numPr>
          <w:ilvl w:val="0"/>
          <w:numId w:val="10"/>
        </w:numPr>
        <w:jc w:val="left"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vertAlign w:val="baseline"/>
        </w:rPr>
      </w:r>
      <w:r>
        <w:rPr>
          <w:i w:val="0"/>
          <w:iCs w:val="0"/>
          <w:highlight w:val="none"/>
        </w:rPr>
        <w:t xml:space="preserve">P</w:t>
      </w:r>
      <w:r>
        <w:rPr>
          <w:i w:val="0"/>
          <w:iCs w:val="0"/>
          <w:highlight w:val="none"/>
          <w:vertAlign w:val="subscript"/>
        </w:rPr>
        <w:t xml:space="preserve">k</w:t>
      </w:r>
      <w:r>
        <w:rPr>
          <w:i w:val="0"/>
          <w:iCs w:val="0"/>
          <w:highlight w:val="none"/>
          <w:vertAlign w:val="superscript"/>
        </w:rPr>
        <w:t xml:space="preserve">1,1</w:t>
      </w:r>
      <w:r>
        <w:rPr>
          <w:i w:val="0"/>
          <w:iCs w:val="0"/>
          <w:highlight w:val="none"/>
          <w:vertAlign w:val="baseline"/>
        </w:rPr>
        <w:t xml:space="preserve"> </w:t>
      </w:r>
      <w:r>
        <w:rPr>
          <w:i w:val="0"/>
          <w:iCs w:val="0"/>
          <w:highlight w:val="none"/>
          <w:vertAlign w:val="baseline"/>
        </w:rPr>
        <w:t xml:space="preserve">– Количество совпадений единиц в наблюдениях;</w:t>
      </w:r>
      <w:r>
        <w:rPr>
          <w:i w:val="0"/>
          <w:iCs w:val="0"/>
          <w:highlight w:val="none"/>
          <w:vertAlign w:val="baseline"/>
        </w:rPr>
      </w:r>
      <w:r/>
    </w:p>
    <w:p>
      <w:pPr>
        <w:pStyle w:val="690"/>
        <w:numPr>
          <w:ilvl w:val="0"/>
          <w:numId w:val="14"/>
        </w:numPr>
        <w:jc w:val="left"/>
        <w:rPr>
          <w:bCs w:val="0"/>
          <w:highlight w:val="none"/>
        </w:rPr>
      </w:pPr>
      <w:r>
        <w:rPr>
          <w:i w:val="0"/>
          <w:iCs w:val="0"/>
          <w:highlight w:val="none"/>
          <w:vertAlign w:val="baseline"/>
        </w:rPr>
      </w:r>
      <w:r>
        <w:rPr>
          <w:i w:val="0"/>
          <w:iCs w:val="0"/>
          <w:highlight w:val="none"/>
        </w:rPr>
        <w:t xml:space="preserve">P</w:t>
      </w:r>
      <w:r>
        <w:rPr>
          <w:i w:val="0"/>
          <w:iCs w:val="0"/>
          <w:highlight w:val="none"/>
          <w:vertAlign w:val="subscript"/>
        </w:rPr>
        <w:t xml:space="preserve">l</w:t>
      </w:r>
      <w:r>
        <w:rPr>
          <w:i w:val="0"/>
          <w:iCs w:val="0"/>
          <w:highlight w:val="none"/>
        </w:rPr>
        <w:t xml:space="preserve"> </w:t>
      </w:r>
      <w:r>
        <w:rPr>
          <w:i w:val="0"/>
          <w:iCs w:val="0"/>
          <w:highlight w:val="none"/>
          <w:vertAlign w:val="superscript"/>
        </w:rPr>
        <w:t xml:space="preserve">1,1</w:t>
      </w:r>
      <w:r>
        <w:rPr>
          <w:i w:val="0"/>
          <w:iCs w:val="0"/>
          <w:highlight w:val="none"/>
          <w:vertAlign w:val="baseline"/>
        </w:rPr>
        <w:t xml:space="preserve"> </w:t>
      </w:r>
      <w:r>
        <w:rPr>
          <w:i w:val="0"/>
          <w:iCs w:val="0"/>
          <w:highlight w:val="none"/>
          <w:vertAlign w:val="baseline"/>
        </w:rPr>
        <w:t xml:space="preserve">– Количество совпадений единиц в факторах.</w:t>
      </w:r>
      <w:r>
        <w:rPr>
          <w:bCs w:val="0"/>
          <w:i w:val="0"/>
          <w:highlight w:val="none"/>
        </w:rPr>
      </w:r>
      <w:r/>
    </w:p>
    <w:p>
      <w:pPr>
        <w:jc w:val="left"/>
        <w:rPr>
          <w:highlight w:val="none"/>
        </w:rPr>
      </w:pPr>
      <w:r>
        <w:t xml:space="preserve">Данные формулы необходимо применить для каждого k-ой строки и l-го столбца. Таким образом, необходимо произвести вычисления имеющие вид каждый с каждым. </w:t>
      </w:r>
      <w:r>
        <w:t xml:space="preserve">Расчет должен производиться по наблюдениям (строкам) и факторам (столбцам).</w:t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Ввиду массовости операции был разработан макрос на языке JavaScript для расчетов. Листинг макроса представлен на рисунке 4 и 5.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91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1906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0837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7190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566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14:ligatures w14:val="none"/>
        </w:rPr>
      </w:r>
      <w:r/>
    </w:p>
    <w:p>
      <w:pPr>
        <w:ind w:left="0" w:firstLine="0"/>
        <w:jc w:val="center"/>
        <w:rPr>
          <w:bCs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4 – Листинг макроса для расчета коэффициентов сопоставимости по наблюдениям ч.1</w:t>
      </w:r>
      <w:r/>
    </w:p>
    <w:p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4942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765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749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37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0" w:firstLine="0"/>
        <w:jc w:val="center"/>
        <w:rPr>
          <w:bCs/>
          <w:i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5 – Листинг макроса для расчета коэффициентов сопоставимости по наблюдениям ч.2</w:t>
      </w:r>
      <w:r>
        <w:rPr>
          <w:bCs/>
          <w:i/>
          <w:highlight w:val="none"/>
        </w:rPr>
      </w:r>
      <w:r/>
    </w:p>
    <w:p>
      <w:pPr>
        <w:ind w:left="0" w:firstLine="0"/>
        <w:jc w:val="left"/>
        <w:rPr>
          <w:bCs w:val="0"/>
          <w:i w:val="0"/>
          <w:highlight w:val="none"/>
        </w:rPr>
      </w:pPr>
      <w:r>
        <w:rPr>
          <w:bCs/>
          <w:i w:val="0"/>
          <w:iCs w:val="0"/>
          <w:highlight w:val="none"/>
        </w:rPr>
        <w:t xml:space="preserve">В результате выполнения макроса мы получим 4 таблицы, соответствующие каждому коэффициенту сопоставимости. На рисунках 6-9 отображены фрагменты рассчитанных матриц.</w:t>
      </w:r>
      <w:r>
        <w:rPr>
          <w:bCs w:val="0"/>
          <w:i w:val="0"/>
          <w:highlight w:val="none"/>
        </w:rPr>
      </w:r>
      <w:r/>
    </w:p>
    <w:p>
      <w:pPr>
        <w:ind w:left="0" w:firstLine="0"/>
        <w:jc w:val="left"/>
        <w:rPr>
          <w:bCs w:val="0"/>
          <w:i w:val="0"/>
          <w:highlight w:val="none"/>
        </w:rPr>
      </w:pPr>
      <w:r>
        <w:rPr>
          <w:bCs/>
          <w:i w:val="0"/>
          <w:i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7988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745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579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81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Cs/>
          <w:i w:val="0"/>
          <w:iCs w:val="0"/>
          <w:highlight w:val="none"/>
        </w:rPr>
      </w:r>
      <w:r/>
    </w:p>
    <w:p>
      <w:pPr>
        <w:ind w:left="0" w:firstLine="0"/>
        <w:jc w:val="center"/>
        <w:rPr>
          <w:bCs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6 – Фрагмент матрицы результата расчета матрицы Коэффициента совстречаемости</w:t>
      </w:r>
      <w:r/>
    </w:p>
    <w:p>
      <w:pPr>
        <w:ind w:left="0" w:firstLine="0"/>
        <w:jc w:val="left"/>
        <w:rPr>
          <w:bCs w:val="0"/>
          <w:i w:val="0"/>
          <w:highlight w:val="none"/>
        </w:rPr>
      </w:pPr>
      <w:r>
        <w:rPr>
          <w:bCs/>
          <w:i w:val="0"/>
          <w:iCs w:val="0"/>
          <w:highlight w:val="none"/>
        </w:rPr>
      </w:r>
      <w:r>
        <w:rPr>
          <w:bCs/>
          <w:i w:val="0"/>
          <w:iCs w:val="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5027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9278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450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71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jc w:val="center"/>
        <w:rPr>
          <w:bCs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7 – Фрагмент матрицы результата расчета матрицы Коэффициента Рао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8767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623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487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274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jc w:val="center"/>
        <w:rPr>
          <w:bCs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8 – Фрагмент матрицы результата расчета матрицы Коэффициента Хаммана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8767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5963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487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274.6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jc w:val="center"/>
        <w:rPr>
          <w:bCs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9 – Фрагмент матрицы результата расчета матрицы Коэффициента Роджерса</w:t>
      </w:r>
      <w:r/>
    </w:p>
    <w:p>
      <w:pPr>
        <w:rPr>
          <w:highlight w:val="none"/>
        </w:rPr>
      </w:pPr>
      <w:r>
        <w:rPr>
          <w:highlight w:val="none"/>
        </w:rPr>
        <w:t xml:space="preserve">Для расчета коэффициентов сопоставимости для наблюден</w:t>
      </w:r>
      <w:r>
        <w:rPr>
          <w:highlight w:val="none"/>
        </w:rPr>
        <w:t xml:space="preserve">ий воспользуемся исходным макросом. Однако необходимо транспонировать матрицу двоичного представления исходных данных и немного изменить сам макрос для корректной работы. На рисунке 10 представлена транспонированная матрица исходных данных в двоичном виде.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6496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1151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064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83.9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jc w:val="center"/>
        <w:rPr>
          <w:bCs/>
          <w:i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10 – Фрагмент транспонированной матрицы исходных данных в двоичном виде</w:t>
      </w:r>
      <w:r/>
    </w:p>
    <w:p>
      <w:pPr>
        <w:ind w:left="0" w:firstLine="0"/>
        <w:jc w:val="left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rPr>
          <w:bCs/>
          <w:i w:val="0"/>
          <w:iCs w:val="0"/>
          <w:highlight w:val="none"/>
        </w:rPr>
        <w:t xml:space="preserve">На рисунке 11 отображены рассчитанные матрицы коэффициентов сопоставимости для факторов.</w:t>
      </w:r>
      <w:r>
        <w:rPr>
          <w:bCs w:val="0"/>
          <w:i w:val="0"/>
          <w:highlight w:val="none"/>
        </w:rPr>
      </w:r>
      <w:r/>
    </w:p>
    <w:p>
      <w:pPr>
        <w:ind w:left="0" w:firstLine="0"/>
        <w:jc w:val="center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77438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3312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486400" cy="774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32.0pt;height:609.8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i w:val="0"/>
          <w:iCs w:val="0"/>
          <w:highlight w:val="none"/>
        </w:rPr>
      </w:r>
      <w:r/>
    </w:p>
    <w:p>
      <w:pPr>
        <w:ind w:left="0" w:firstLine="0"/>
        <w:jc w:val="center"/>
        <w:rPr>
          <w:bCs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11 – </w:t>
      </w:r>
      <w:r>
        <w:rPr>
          <w:bCs/>
          <w:i w:val="0"/>
          <w:iCs w:val="0"/>
          <w:highlight w:val="none"/>
        </w:rPr>
        <w:t xml:space="preserve">Матрицы коэффициентов сопоставимости для факторов</w:t>
      </w:r>
      <w:r>
        <w:rPr>
          <w:i/>
          <w:highlight w:val="none"/>
        </w:rPr>
      </w:r>
      <w:r/>
    </w:p>
    <w:p>
      <w:pPr>
        <w:pStyle w:val="678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t xml:space="preserve">Матрица парной корреляции</w:t>
      </w:r>
      <w:r>
        <w:rPr>
          <w:i w:val="0"/>
          <w:iCs w:val="0"/>
          <w:highlight w:val="none"/>
        </w:rPr>
      </w:r>
      <w:r/>
    </w:p>
    <w:p>
      <w:pPr>
        <w:rPr>
          <w:highlight w:val="none"/>
        </w:rPr>
      </w:pPr>
      <w:r>
        <w:t xml:space="preserve">Для расчета матрицы парной корреляции был использован статистический пакет «Excel». На рисунке 12 можно наблюдать результат построения матрицы.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5180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10300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65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130.1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jc w:val="center"/>
        <w:rPr>
          <w:bCs w:val="0"/>
          <w:i w:val="0"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12 – </w:t>
      </w:r>
      <w:r>
        <w:rPr>
          <w:bCs/>
          <w:i w:val="0"/>
          <w:iCs w:val="0"/>
          <w:highlight w:val="none"/>
        </w:rPr>
        <w:t xml:space="preserve">Матрица парной корреляции</w:t>
      </w:r>
      <w:r/>
    </w:p>
    <w:p>
      <w:pPr>
        <w:pStyle w:val="678"/>
        <w:rPr>
          <w:bCs w:val="0"/>
          <w:highlight w:val="none"/>
        </w:rPr>
      </w:pPr>
      <w:r>
        <w:rPr>
          <w:i w:val="0"/>
          <w:iCs w:val="0"/>
          <w:highlight w:val="none"/>
        </w:rPr>
      </w:r>
      <w:r>
        <w:t xml:space="preserve">Матрица расстояний</w:t>
      </w:r>
      <w:r>
        <w:rPr>
          <w:bCs w:val="0"/>
          <w:i w:val="0"/>
          <w:highlight w:val="none"/>
        </w:rPr>
      </w:r>
      <w:r/>
    </w:p>
    <w:p>
      <w:pPr>
        <w:rPr>
          <w:highlight w:val="none"/>
        </w:rPr>
      </w:pPr>
      <w:r>
        <w:t xml:space="preserve">Расчет матрицы расстояний производился по методу Евклида. Расчет коэффициентов матрицы расстояний Евклида представлен на рисунке 13.</w:t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7750" cy="11430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9122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857750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82.5pt;height:90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jc w:val="center"/>
        <w:rPr>
          <w:bCs w:val="0"/>
          <w:i w:val="0"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13 – </w:t>
      </w:r>
      <w:r>
        <w:rPr>
          <w:bCs/>
          <w:i w:val="0"/>
          <w:iCs w:val="0"/>
          <w:highlight w:val="none"/>
        </w:rPr>
        <w:t xml:space="preserve">Расчет матрицы расстояний Евклида</w:t>
      </w:r>
      <w:r/>
    </w:p>
    <w:p>
      <w:pPr>
        <w:ind w:left="0" w:firstLine="0"/>
        <w:jc w:val="left"/>
        <w:rPr>
          <w:bCs w:val="0"/>
          <w:i w:val="0"/>
          <w:highlight w:val="none"/>
        </w:rPr>
      </w:pPr>
      <w:r>
        <w:rPr>
          <w:bCs/>
          <w:i w:val="0"/>
          <w:iCs w:val="0"/>
          <w:highlight w:val="none"/>
        </w:rPr>
        <w:t xml:space="preserve">Вычисления производятся на основе матрицы парной корреляции. Результат расчета представлен на рисунке 14.</w:t>
      </w:r>
      <w:r>
        <w:rPr>
          <w:bCs w:val="0"/>
          <w:i w:val="0"/>
          <w:highlight w:val="none"/>
        </w:rPr>
      </w:r>
      <w:r/>
    </w:p>
    <w:p>
      <w:pPr>
        <w:ind w:left="0" w:firstLine="0"/>
        <w:jc w:val="left"/>
        <w:rPr>
          <w:bCs w:val="0"/>
          <w:i w:val="0"/>
          <w:highlight w:val="none"/>
        </w:rPr>
      </w:pPr>
      <w:r>
        <w:rPr>
          <w:bCs/>
          <w:i w:val="0"/>
          <w:i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13092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87142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1713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8pt;height:134.9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Cs/>
          <w:i w:val="0"/>
          <w:iCs w:val="0"/>
          <w:highlight w:val="none"/>
        </w:rPr>
      </w:r>
      <w:r/>
    </w:p>
    <w:p>
      <w:pPr>
        <w:ind w:left="0" w:firstLine="0"/>
        <w:jc w:val="center"/>
        <w:rPr>
          <w:bCs w:val="0"/>
          <w:i w:val="0"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14 – </w:t>
      </w:r>
      <w:r>
        <w:rPr>
          <w:bCs/>
          <w:i w:val="0"/>
          <w:iCs w:val="0"/>
          <w:highlight w:val="none"/>
        </w:rPr>
        <w:t xml:space="preserve">Матрица расстояний Евклида</w:t>
      </w:r>
      <w:r/>
    </w:p>
    <w:p>
      <w:pPr>
        <w:pStyle w:val="678"/>
        <w:rPr>
          <w:bCs w:val="0"/>
          <w:highlight w:val="none"/>
        </w:rPr>
      </w:pPr>
      <w:r>
        <w:rPr>
          <w:i w:val="0"/>
          <w:iCs w:val="0"/>
          <w:highlight w:val="none"/>
        </w:rPr>
      </w:r>
      <w:r>
        <w:t xml:space="preserve">Выполнить кластеризацию факторов по методу корреляционных плеяд</w:t>
      </w:r>
      <w:r>
        <w:rPr>
          <w:bCs w:val="0"/>
          <w:i w:val="0"/>
          <w:highlight w:val="none"/>
        </w:rPr>
      </w:r>
      <w:r/>
    </w:p>
    <w:p>
      <w:pPr>
        <w:rPr>
          <w:highlight w:val="none"/>
        </w:rPr>
      </w:pPr>
      <w:r>
        <w:t xml:space="preserve">Кластеризация факторов выполняется с помощью матрицы межфакторной корреляции. Данную матрицу можно получить, убрав из матрицы расстояний столбец и строку с функцией отклика. На рисунке 15 изображена такая матрица.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17240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746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34074" cy="172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2pt;height:135.8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jc w:val="center"/>
        <w:rPr>
          <w:bCs w:val="0"/>
          <w:i w:val="0"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15 – </w:t>
      </w:r>
      <w:r>
        <w:rPr>
          <w:bCs/>
          <w:i w:val="0"/>
          <w:iCs w:val="0"/>
          <w:highlight w:val="none"/>
        </w:rPr>
        <w:t xml:space="preserve">Матрица межфакторной корреляции</w:t>
      </w:r>
      <w:r/>
    </w:p>
    <w:p>
      <w:pPr>
        <w:ind w:left="0" w:firstLine="0"/>
        <w:jc w:val="left"/>
        <w:rPr>
          <w:bCs w:val="0"/>
          <w:i w:val="0"/>
          <w:highlight w:val="none"/>
        </w:rPr>
      </w:pPr>
      <w:r>
        <w:rPr>
          <w:bCs/>
          <w:i w:val="0"/>
          <w:iCs w:val="0"/>
          <w:highlight w:val="none"/>
        </w:rPr>
        <w:t xml:space="preserve">На основе данной матрицы выполним кластеризацию факторов по методу корреляционных плеяд. Результат изображен на рисунке 16.</w:t>
      </w:r>
      <w:r>
        <w:rPr>
          <w:bCs/>
          <w:i w:val="0"/>
          <w:iCs w:val="0"/>
          <w:highlight w:val="none"/>
        </w:rPr>
      </w:r>
      <w:r/>
    </w:p>
    <w:p>
      <w:pPr>
        <w:ind w:left="0" w:firstLine="0"/>
        <w:jc w:val="center"/>
        <w:rPr>
          <w:bCs w:val="0"/>
          <w:i w:val="0"/>
          <w:highlight w:val="none"/>
        </w:rPr>
      </w:pPr>
      <w:r>
        <w:rPr>
          <w:bCs/>
          <w:i w:val="0"/>
          <w:i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34575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6643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848099" cy="3457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03.0pt;height:272.2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Cs/>
          <w:i w:val="0"/>
          <w:iCs w:val="0"/>
          <w:highlight w:val="none"/>
        </w:rPr>
      </w:r>
      <w:r/>
    </w:p>
    <w:p>
      <w:pPr>
        <w:ind w:left="0" w:firstLine="0"/>
        <w:jc w:val="center"/>
        <w:rPr>
          <w:bCs w:val="0"/>
          <w:highlight w:val="none"/>
        </w:rPr>
      </w:pPr>
      <w:r>
        <w:rPr>
          <w:highlight w:val="none"/>
        </w:rPr>
      </w:r>
      <w:r>
        <w:rPr>
          <w:i/>
          <w:highlight w:val="none"/>
        </w:rPr>
        <w:t xml:space="preserve">Рисунок 16 – Кластеризация факторов по методу корреляционных плеяд</w:t>
      </w:r>
      <w:r/>
    </w:p>
    <w:p>
      <w:pPr>
        <w:ind w:left="0" w:firstLine="0"/>
        <w:jc w:val="center"/>
        <w:rPr>
          <w:bCs w:val="0"/>
          <w:i w:val="0"/>
          <w:highlight w:val="none"/>
        </w:rPr>
      </w:pPr>
      <w:r>
        <w:rPr>
          <w:bCs/>
          <w:i w:val="0"/>
          <w:iCs w:val="0"/>
          <w:highlight w:val="none"/>
        </w:rPr>
      </w:r>
      <w:r>
        <w:rPr>
          <w:bCs/>
          <w:i w:val="0"/>
          <w:iCs w:val="0"/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bCs w:val="0"/>
          <w:i w:val="0"/>
          <w:highlight w:val="none"/>
        </w:rPr>
      </w:pPr>
      <w:r>
        <w:rPr>
          <w:bCs/>
          <w:i w:val="0"/>
          <w:iCs w:val="0"/>
          <w:highlight w:val="none"/>
        </w:rPr>
      </w:r>
      <w:r>
        <w:rPr>
          <w:bCs/>
          <w:i w:val="0"/>
          <w:iCs w:val="0"/>
          <w:highlight w:val="none"/>
        </w:rPr>
      </w:r>
      <w:r/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bCs/>
          <w:i/>
          <w:highlight w:val="none"/>
        </w:rPr>
      </w:pPr>
      <w:r>
        <w:rPr>
          <w:bCs/>
          <w:i w:val="0"/>
          <w:iCs w:val="0"/>
          <w:highlight w:val="none"/>
        </w:rPr>
      </w:r>
      <w:r>
        <w:rPr>
          <w:bCs/>
          <w:i w:val="0"/>
          <w:iCs w:val="0"/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link w:val="672"/>
    <w:uiPriority w:val="9"/>
    <w:rPr>
      <w:rFonts w:ascii="Arial" w:hAnsi="Arial" w:eastAsia="Arial" w:cs="Arial"/>
      <w:sz w:val="40"/>
      <w:szCs w:val="40"/>
    </w:rPr>
  </w:style>
  <w:style w:type="paragraph" w:styleId="674">
    <w:name w:val="Heading 2"/>
    <w:basedOn w:val="850"/>
    <w:next w:val="850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link w:val="674"/>
    <w:uiPriority w:val="9"/>
    <w:rPr>
      <w:rFonts w:ascii="Arial" w:hAnsi="Arial" w:eastAsia="Arial" w:cs="Arial"/>
      <w:sz w:val="34"/>
    </w:rPr>
  </w:style>
  <w:style w:type="paragraph" w:styleId="676">
    <w:name w:val="Heading 3"/>
    <w:basedOn w:val="850"/>
    <w:next w:val="850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Times New Roman" w:hAnsi="Times New Roman" w:eastAsia="Times New Roman" w:cs="Times New Roman"/>
      <w:b/>
      <w:bCs/>
      <w:sz w:val="30"/>
      <w:szCs w:val="28"/>
      <w:lang w:eastAsia="ru-RU"/>
    </w:rPr>
  </w:style>
  <w:style w:type="character" w:styleId="677">
    <w:name w:val="Heading 3 Char"/>
    <w:link w:val="676"/>
    <w:uiPriority w:val="9"/>
    <w:rPr>
      <w:rFonts w:ascii="Times New Roman" w:hAnsi="Times New Roman" w:eastAsia="Times New Roman" w:cs="Times New Roman"/>
      <w:b/>
      <w:bCs/>
      <w:szCs w:val="28"/>
      <w:lang w:eastAsia="ru-RU"/>
    </w:rPr>
  </w:style>
  <w:style w:type="paragraph" w:styleId="678">
    <w:name w:val="Heading 4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link w:val="678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List Paragraph"/>
    <w:basedOn w:val="850"/>
    <w:uiPriority w:val="34"/>
    <w:qFormat/>
    <w:pPr>
      <w:contextualSpacing/>
      <w:ind w:left="720"/>
    </w:pPr>
  </w:style>
  <w:style w:type="paragraph" w:styleId="691">
    <w:name w:val="No Spacing"/>
    <w:basedOn w:val="850"/>
    <w:next w:val="850"/>
    <w:uiPriority w:val="1"/>
    <w:qFormat/>
    <w:pPr>
      <w:jc w:val="both"/>
      <w:spacing w:after="0" w:line="360" w:lineRule="auto"/>
    </w:pPr>
    <w:rPr>
      <w:i w:val="0"/>
      <w:sz w:val="28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next w:val="850"/>
    <w:link w:val="850"/>
    <w:pPr>
      <w:spacing w:after="160"/>
    </w:pPr>
    <w:rPr>
      <w:rFonts w:ascii="Times New Roman" w:hAnsi="Times New Roman"/>
      <w:sz w:val="28"/>
      <w:szCs w:val="22"/>
      <w:lang w:val="ru-RU" w:eastAsia="en-US" w:bidi="ar-SA"/>
    </w:rPr>
  </w:style>
  <w:style w:type="paragraph" w:styleId="851">
    <w:name w:val="Заголовок 1"/>
    <w:basedOn w:val="850"/>
    <w:next w:val="851"/>
    <w:link w:val="857"/>
    <w:pPr>
      <w:spacing w:before="100" w:beforeAutospacing="1" w:after="100" w:afterAutospacing="1"/>
      <w:outlineLvl w:val="0"/>
    </w:pPr>
    <w:rPr>
      <w:rFonts w:eastAsia="Times New Roman"/>
      <w:b/>
      <w:bCs/>
      <w:sz w:val="48"/>
      <w:szCs w:val="48"/>
      <w:lang w:eastAsia="ru-RU"/>
    </w:rPr>
  </w:style>
  <w:style w:type="character" w:styleId="852">
    <w:name w:val="Основной шрифт абзаца"/>
    <w:next w:val="852"/>
    <w:link w:val="850"/>
    <w:semiHidden/>
  </w:style>
  <w:style w:type="table" w:styleId="853">
    <w:name w:val="Обычная таблица"/>
    <w:next w:val="853"/>
    <w:link w:val="850"/>
    <w:semiHidden/>
    <w:tblPr/>
  </w:style>
  <w:style w:type="numbering" w:styleId="854">
    <w:name w:val="Нет списка"/>
    <w:next w:val="854"/>
    <w:link w:val="850"/>
    <w:semiHidden/>
  </w:style>
  <w:style w:type="character" w:styleId="855">
    <w:name w:val="Замещающий текст"/>
    <w:next w:val="855"/>
    <w:link w:val="850"/>
    <w:semiHidden/>
    <w:rPr>
      <w:color w:val="a9a9a9"/>
    </w:rPr>
  </w:style>
  <w:style w:type="table" w:styleId="856">
    <w:name w:val="Сетка таблицы"/>
    <w:basedOn w:val="853"/>
    <w:next w:val="856"/>
    <w:link w:val="850"/>
    <w:pPr>
      <w:spacing w:after="0" w:line="240" w:lineRule="auto"/>
    </w:pPr>
    <w:tblPr/>
  </w:style>
  <w:style w:type="character" w:styleId="857">
    <w:name w:val="Заголовок 1 Знак"/>
    <w:next w:val="857"/>
    <w:link w:val="851"/>
    <w:rPr>
      <w:rFonts w:ascii="Times New Roman" w:hAnsi="Times New Roman" w:eastAsia="Times New Roman"/>
      <w:b/>
      <w:bCs/>
      <w:sz w:val="48"/>
      <w:szCs w:val="48"/>
      <w:lang w:eastAsia="ru-RU"/>
    </w:rPr>
  </w:style>
  <w:style w:type="character" w:styleId="858" w:default="1">
    <w:name w:val="Default Paragraph Font"/>
    <w:uiPriority w:val="1"/>
    <w:semiHidden/>
    <w:unhideWhenUsed/>
  </w:style>
  <w:style w:type="numbering" w:styleId="859" w:default="1">
    <w:name w:val="No List"/>
    <w:uiPriority w:val="99"/>
    <w:semiHidden/>
    <w:unhideWhenUsed/>
  </w:style>
  <w:style w:type="table" w:styleId="860" w:default="1">
    <w:name w:val="Normal Table"/>
    <w:uiPriority w:val="99"/>
    <w:semiHidden/>
    <w:unhideWhenUsed/>
    <w:tblPr/>
  </w:style>
  <w:style w:type="paragraph" w:styleId="861" w:customStyle="1">
    <w:name w:val="Plain Text"/>
    <w:basedOn w:val="732"/>
    <w:link w:val="745"/>
    <w:unhideWhenUsed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Consola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1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862" w:customStyle="1">
    <w:name w:val="Таблица"/>
    <w:basedOn w:val="746"/>
    <w:next w:val="744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Consolas"/>
      <w:b w:val="0"/>
      <w:bCs w:val="0"/>
      <w:i/>
      <w:iCs w:val="0"/>
      <w:caps w:val="0"/>
      <w:smallCaps w:val="0"/>
      <w:strike w:val="0"/>
      <w:vanish w:val="0"/>
      <w:color w:val="auto"/>
      <w:spacing w:val="0"/>
      <w:position w:val="0"/>
      <w:sz w:val="28"/>
      <w:szCs w:val="21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863" w:customStyle="1">
    <w:name w:val="Текстик"/>
    <w:basedOn w:val="732"/>
    <w:qFormat/>
    <w:pPr>
      <w:contextualSpacing w:val="0"/>
      <w:ind w:left="0" w:right="0" w:firstLine="567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2022-11-17T07:27:48Z</dcterms:modified>
</cp:coreProperties>
</file>