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2"/>
          <w:szCs w:val="32"/>
        </w:rPr>
        <w:t xml:space="preserve">OPEN GLOBAL HEALTH &amp; BIOSECURITY AI EVALUATIONS</w:t>
      </w:r>
    </w:p>
    <w:p>
      <w:pPr>
        <w:pBdr>
          <w:bottom w:val="single" w:color="2E75B6" w:sz="6" w:space="4"/>
        </w:pBdr>
        <w:spacing w:after="80" w:before="0"/>
        <w:jc w:val="center"/>
      </w:pPr>
      <w:r>
        <w:rPr>
          <w:rFonts w:ascii="Arial" w:cs="Arial" w:eastAsia="Arial" w:hAnsi="Arial"/>
          <w:color w:val="2E75B6"/>
          <w:sz w:val="24"/>
          <w:szCs w:val="24"/>
        </w:rPr>
        <w:t xml:space="preserve">Framework Reference Document — v02 Addendum: Domain 4 Updates</w:t>
      </w:r>
    </w:p>
    <w:p>
      <w:pPr>
        <w:spacing w:after="200" w:before="80"/>
        <w:jc w:val="center"/>
      </w:pPr>
      <w:r>
        <w:rPr>
          <w:rFonts w:ascii="Arial" w:cs="Arial" w:eastAsia="Arial" w:hAnsi="Arial"/>
          <w:color w:val="888888"/>
          <w:sz w:val="20"/>
          <w:szCs w:val="20"/>
        </w:rPr>
        <w:t xml:space="preserve">Holding Health / Roki Seydi · March 2026 · Supplement to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UPDATE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This addendum updates Domain 4 (Biosecurity &amp; Dual-Use Governance) of the Framework Reference v01 with three new source layers identified through targeted literature search: NTI's 2024-2025 AIxBio governance corpus, the BioLP-bench benchmark from Oxford Biosecurity Group (cited in OpenAI o1 system card), and the INTENT Framework (2025 NTI Next Generation for Biosecurity Competition winner). It also sharpens the articulation of the core Domain 4 gap — the contribution that no existing benchmark addresses.</w:t>
            </w:r>
          </w:p>
        </w:tc>
      </w:tr>
    </w:tbl>
    <w:p>
      <w:pPr>
        <w:spacing w:after="80" w:before="8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New Domain 4 Sources</w:t>
      </w:r>
    </w:p>
    <w:p>
      <w:pPr>
        <w:pStyle w:val="Heading2"/>
        <w:spacing w:after="150" w:before="300"/>
      </w:pPr>
      <w:r>
        <w:rPr>
          <w:rFonts w:ascii="Arial" w:cs="Arial" w:eastAsia="Arial" w:hAnsi="Arial"/>
          <w:b/>
          <w:bCs/>
          <w:color w:val="2E75B6"/>
          <w:sz w:val="28"/>
          <w:szCs w:val="28"/>
        </w:rPr>
        <w:t xml:space="preserve">1. NTI AIxBio Governance Corpus (2024-2025)</w:t>
      </w:r>
    </w:p>
    <w:p>
      <w:pPr>
        <w:pStyle w:val="Heading3"/>
        <w:spacing w:after="120" w:before="240"/>
      </w:pPr>
      <w:r>
        <w:rPr>
          <w:rFonts w:ascii="Arial" w:cs="Arial" w:eastAsia="Arial" w:hAnsi="Arial"/>
          <w:b/>
          <w:bCs/>
          <w:color w:val="404040"/>
          <w:sz w:val="24"/>
          <w:szCs w:val="24"/>
        </w:rPr>
        <w:t xml:space="preserve">A Framework for Managed Access to Biological AI Tools (NTI, 2025)</w:t>
      </w:r>
    </w:p>
    <w:p>
      <w:pPr>
        <w:spacing w:after="80" w:before="80"/>
      </w:pPr>
      <w:r>
        <w:rPr>
          <w:rFonts w:ascii="Arial" w:cs="Arial" w:eastAsia="Arial" w:hAnsi="Arial"/>
          <w:color w:val="404040"/>
          <w:sz w:val="22"/>
          <w:szCs w:val="22"/>
        </w:rPr>
        <w:t xml:space="preserve">The most operationalizable governance document for AI biosecurity. Informed by interviews with 20+ experts. Two central principles: (1) access should be tiered based on the tool's risk level, and (2) the need for security should be balanced with the need for equitable access.</w:t>
      </w:r>
    </w:p>
    <w:p>
      <w:pPr>
        <w:spacing w:after="80" w:before="80"/>
      </w:pPr>
      <w:r>
        <w:rPr>
          <w:rFonts w:ascii="Arial" w:cs="Arial" w:eastAsia="Arial" w:hAnsi="Arial"/>
          <w:color w:val="404040"/>
          <w:sz w:val="22"/>
          <w:szCs w:val="22"/>
        </w:rPr>
        <w:t xml:space="preserve">Three framework elements:</w:t>
      </w:r>
    </w:p>
    <w:p>
      <w:pPr>
        <w:pStyle w:val="ListParagraph"/>
        <w:numPr>
          <w:ilvl w:val="0"/>
          <w:numId w:val="2"/>
        </w:numPr>
        <w:spacing w:after="60" w:before="60"/>
      </w:pPr>
      <w:r>
        <w:rPr>
          <w:rFonts w:ascii="Arial" w:cs="Arial" w:eastAsia="Arial" w:hAnsi="Arial"/>
          <w:color w:val="404040"/>
          <w:sz w:val="22"/>
          <w:szCs w:val="22"/>
        </w:rPr>
        <w:t xml:space="preserve">Risk levels of biological AI tools — tiered classification by hazard potential</w:t>
      </w:r>
    </w:p>
    <w:p>
      <w:pPr>
        <w:pStyle w:val="ListParagraph"/>
        <w:numPr>
          <w:ilvl w:val="0"/>
          <w:numId w:val="2"/>
        </w:numPr>
        <w:spacing w:after="60" w:before="60"/>
      </w:pPr>
      <w:r>
        <w:rPr>
          <w:rFonts w:ascii="Arial" w:cs="Arial" w:eastAsia="Arial" w:hAnsi="Arial"/>
          <w:color w:val="404040"/>
          <w:sz w:val="22"/>
          <w:szCs w:val="22"/>
        </w:rPr>
        <w:t xml:space="preserve">Criteria for user legitimacy — transparent, defensible, consistently applied</w:t>
      </w:r>
    </w:p>
    <w:p>
      <w:pPr>
        <w:pStyle w:val="ListParagraph"/>
        <w:numPr>
          <w:ilvl w:val="0"/>
          <w:numId w:val="2"/>
        </w:numPr>
        <w:spacing w:after="60" w:before="60"/>
      </w:pPr>
      <w:r>
        <w:rPr>
          <w:rFonts w:ascii="Arial" w:cs="Arial" w:eastAsia="Arial" w:hAnsi="Arial"/>
          <w:color w:val="404040"/>
          <w:sz w:val="22"/>
          <w:szCs w:val="22"/>
        </w:rPr>
        <w:t xml:space="preserve">Practices for verifying users — expanding access through secure APIs with oversight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The two central principles map directly to Domain 4 scoring dimensions: does the model's response implicitly respect risk-tiered access principles? Does it balance security with equitable access, or does it either over-restrict (blocking legitimate public health queries) or under-restrict (providing inappropriate uplift)?</w:t>
            </w:r>
          </w:p>
        </w:tc>
      </w:tr>
    </w:tbl>
    <w:p>
      <w:pPr>
        <w:spacing w:after="80" w:before="80"/>
      </w:pPr>
      <w:r>
        <w:t xml:space="preserve"/>
      </w:r>
    </w:p>
    <w:p>
      <w:pPr>
        <w:pStyle w:val="Heading3"/>
        <w:spacing w:after="120" w:before="240"/>
      </w:pPr>
      <w:r>
        <w:rPr>
          <w:rFonts w:ascii="Arial" w:cs="Arial" w:eastAsia="Arial" w:hAnsi="Arial"/>
          <w:b/>
          <w:bCs/>
          <w:color w:val="404040"/>
          <w:sz w:val="24"/>
          <w:szCs w:val="24"/>
        </w:rPr>
        <w:t xml:space="preserve">Developing Guardrails for AI Biodesign Tools (NTI, 2024)</w:t>
      </w:r>
    </w:p>
    <w:p>
      <w:pPr>
        <w:spacing w:after="80" w:before="80"/>
      </w:pPr>
      <w:r>
        <w:rPr>
          <w:rFonts w:ascii="Arial" w:cs="Arial" w:eastAsia="Arial" w:hAnsi="Arial"/>
          <w:color w:val="404040"/>
          <w:sz w:val="22"/>
          <w:szCs w:val="22"/>
        </w:rPr>
        <w:t xml:space="preserve">Built-in guardrails and managed access paradigms for biological design tools. Recommends screening mechanisms to automatically detect and flag potentially risky inputs or outputs — relying on biosecurity experts working alongside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ALIGNMENT</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20"/>
            </w:tcMar>
          </w:tcPr>
          <w:p>
            <w:r>
              <w:rPr>
                <w:rFonts w:ascii="Arial" w:cs="Arial" w:eastAsia="Arial" w:hAnsi="Arial"/>
                <w:color w:val="404040"/>
                <w:sz w:val="21"/>
                <w:szCs w:val="21"/>
              </w:rPr>
              <w:t xml:space="preserve">This document describes exactly what the Domain 4 scorer does: automated detection with expert-grounded thresholds. NTI called for this infrastructure in 2024. The eval framework operationalises it as a reproducible evaluation pipeline.</w:t>
            </w:r>
          </w:p>
        </w:tc>
      </w:tr>
    </w:tbl>
    <w:p>
      <w:pPr>
        <w:spacing w:after="80" w:before="80"/>
      </w:pPr>
      <w:r>
        <w:t xml:space="preserve"/>
      </w:r>
    </w:p>
    <w:p>
      <w:pPr>
        <w:pStyle w:val="Heading3"/>
        <w:spacing w:after="120" w:before="240"/>
      </w:pPr>
      <w:r>
        <w:rPr>
          <w:rFonts w:ascii="Arial" w:cs="Arial" w:eastAsia="Arial" w:hAnsi="Arial"/>
          <w:b/>
          <w:bCs/>
          <w:color w:val="404040"/>
          <w:sz w:val="24"/>
          <w:szCs w:val="24"/>
        </w:rPr>
        <w:t xml:space="preserve">Research Agenda for Safeguarding AI-Bio Capabilities (NTI, 2024)</w:t>
      </w:r>
    </w:p>
    <w:p>
      <w:pPr>
        <w:spacing w:after="80" w:before="80"/>
      </w:pPr>
      <w:r>
        <w:rPr>
          <w:rFonts w:ascii="Arial" w:cs="Arial" w:eastAsia="Arial" w:hAnsi="Arial"/>
          <w:color w:val="404040"/>
          <w:sz w:val="22"/>
          <w:szCs w:val="22"/>
        </w:rPr>
        <w:t xml:space="preserve">Notes a critical challenge: information hazards associated with sharing best practices in model evaluation. Pre-release testing, ongoing monitoring, domain-aware controls. States: 'significant challenges remain to widespread adoption of evaluation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NOTE</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This document acknowledges the meta-problem: the evaluation gap itself is an information hazard. Publishing scoring rubrics for dual-use biological queries could inform adversarial actors. Domain 4's governance rulebook (kept private, not in public repo) directly addresses this tension.</w:t>
            </w:r>
          </w:p>
        </w:tc>
      </w:tr>
    </w:tbl>
    <w:p>
      <w:pPr>
        <w:spacing w:after="80" w:before="80"/>
      </w:pPr>
      <w:r>
        <w:t xml:space="preserve"/>
      </w:r>
    </w:p>
    <w:p>
      <w:pPr>
        <w:pStyle w:val="Heading3"/>
        <w:spacing w:after="120" w:before="240"/>
      </w:pPr>
      <w:r>
        <w:rPr>
          <w:rFonts w:ascii="Arial" w:cs="Arial" w:eastAsia="Arial" w:hAnsi="Arial"/>
          <w:b/>
          <w:bCs/>
          <w:color w:val="404040"/>
          <w:sz w:val="24"/>
          <w:szCs w:val="24"/>
        </w:rPr>
        <w:t xml:space="preserve">Guidance for Assessing Biosecurity and Biosafety Risks (NTI / International Bio Funders Compact, 2024)</w:t>
      </w:r>
    </w:p>
    <w:p>
      <w:pPr>
        <w:spacing w:after="80" w:before="80"/>
      </w:pPr>
      <w:r>
        <w:rPr>
          <w:rFonts w:ascii="Arial" w:cs="Arial" w:eastAsia="Arial" w:hAnsi="Arial"/>
          <w:color w:val="404040"/>
          <w:sz w:val="22"/>
          <w:szCs w:val="22"/>
        </w:rPr>
        <w:t xml:space="preserve">Developed collaboratively by internationally recognized experts for research funders. References WHO Risk Assessment Tool (RAST) for Biosafety and Biosecurity (2024). Provides framework for identifying proposals requiring additional biosafety or biosecurity review.</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 BioLP-bench (Ivanov / Oxford Biosecurity Group, 2024)</w:t>
      </w:r>
    </w:p>
    <w:p>
      <w:pPr>
        <w:spacing w:after="80" w:before="80"/>
      </w:pPr>
      <w:r>
        <w:rPr>
          <w:rFonts w:ascii="Arial" w:cs="Arial" w:eastAsia="Arial" w:hAnsi="Arial"/>
          <w:color w:val="404040"/>
          <w:sz w:val="22"/>
          <w:szCs w:val="22"/>
        </w:rPr>
        <w:t xml:space="preserve">800 test cases evaluating whether LLMs can identify failure-causing mistakes in biological lab protocols. Ten protocol types: cell transfection, RT-qPCR, ChIP, whole genome amplification, SILAC, ELISA, viral infection, FFPE preparation, gene cloning, proteomic analysis.</w:t>
      </w:r>
    </w:p>
    <w:p>
      <w:pPr>
        <w:spacing w:after="80" w:before="80"/>
      </w:pPr>
      <w:r>
        <w:rPr>
          <w:rFonts w:ascii="Arial" w:cs="Arial" w:eastAsia="Arial" w:hAnsi="Arial"/>
          <w:color w:val="404040"/>
          <w:sz w:val="22"/>
          <w:szCs w:val="22"/>
        </w:rPr>
        <w:t xml:space="preserve">Key findings: most models scored ~7% correct. Only o1-preview scored 36.1% — comparable to human experts at 38.4%. GPT-4o scored 17%. Cited in OpenAI o1 system card for biosecurity threat evaluation.</w:t>
      </w:r>
    </w:p>
    <w:p>
      <w:pPr>
        <w:spacing w:after="80" w:before="80"/>
      </w:pPr>
      <w:r>
        <w:rPr>
          <w:rFonts w:ascii="Arial" w:cs="Arial" w:eastAsia="Arial" w:hAnsi="Arial"/>
          <w:color w:val="404040"/>
          <w:sz w:val="22"/>
          <w:szCs w:val="22"/>
        </w:rPr>
        <w:t xml:space="preserve">Section 3.2 explicitly states: 'Most of the biological protocols are inherently dual-use... the difference between benign research and developing bio weapons is how they are combined and what purpose of the research.'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RELATIONSHIP TO DOMAIN 4</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BioLP-bench tests biological CAPABILITY — whether models understand protocols well enough to identify failure points. Domain 4 tests GOVERNANCE REASONING — whether models with demonstrated biological capability apply appropriate information hazard principles when responding to dual-use queries. BioLP-bench is the upstream capability layer; Domain 4 is the governance layer on top of it. Together they operationalise the two-tiered evaluation system NTI recommends: general capability benchmark first (BioLP-bench), then governance evaluation of capable models (Domain 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OBG COLLABORATION NOTE</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20"/>
            </w:tcMar>
          </w:tcPr>
          <w:p>
            <w:r>
              <w:rPr>
                <w:rFonts w:ascii="Arial" w:cs="Arial" w:eastAsia="Arial" w:hAnsi="Arial"/>
                <w:color w:val="404040"/>
                <w:sz w:val="21"/>
                <w:szCs w:val="21"/>
              </w:rPr>
              <w:t xml:space="preserve">Igor Ivanov (Oxford Biosecurity Group) is the author of BioLP-bench. The OBG collaboration opportunity is specifically to combine BioLP-bench capability evaluation with Domain 4 governance evaluation into a joint two-tier pipeline. This is the specific collaboration to propose.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 INTENT Framework (Borkar, Kumar, Connors — NTI Competition Winner, 2025)</w:t>
      </w:r>
    </w:p>
    <w:p>
      <w:pPr>
        <w:spacing w:after="80" w:before="80"/>
      </w:pPr>
      <w:r>
        <w:rPr>
          <w:rFonts w:ascii="Arial" w:cs="Arial" w:eastAsia="Arial" w:hAnsi="Arial"/>
          <w:color w:val="404040"/>
          <w:sz w:val="22"/>
          <w:szCs w:val="22"/>
        </w:rPr>
        <w:t xml:space="preserve">Proposes four indicators for tiered biosecurity risk assessment without requiring proof of hostile intent: Technical Risk, Executive Oversight, Negligence, Transparency. Classifies facilities into four risk tiers based on conduct rather than declared intent.</w:t>
      </w:r>
    </w:p>
    <w:p>
      <w:pPr>
        <w:spacing w:after="80" w:before="80"/>
      </w:pPr>
      <w:r>
        <w:rPr>
          <w:rFonts w:ascii="Arial" w:cs="Arial" w:eastAsia="Arial" w:hAnsi="Arial"/>
          <w:color w:val="404040"/>
          <w:sz w:val="22"/>
          <w:szCs w:val="22"/>
        </w:rPr>
        <w:t xml:space="preserve">Directly parallel to Domain 4 gate logic: tiered thresholds, conduct-based assessment, override conditions. The INTENT Framework applies to research facilities; Domain 4 applies the same governance philosophy to LLM responses.</w:t>
      </w:r>
    </w:p>
    <w:p>
      <w:pPr>
        <w:spacing w:after="80" w:before="8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Sharpened Domain 4 Gap Articulation</w:t>
      </w:r>
    </w:p>
    <w:p>
      <w:pPr>
        <w:spacing w:after="80" w:before="80"/>
      </w:pPr>
      <w:r>
        <w:rPr>
          <w:rFonts w:ascii="Arial" w:cs="Arial" w:eastAsia="Arial" w:hAnsi="Arial"/>
          <w:color w:val="404040"/>
          <w:sz w:val="22"/>
          <w:szCs w:val="22"/>
        </w:rPr>
        <w:t xml:space="preserve">The v01 framework stated Gap 4 as: 'no published framework for the information aggregation problem in biosecurity.' This was accurate but underspecified. The targeted search allows a more precise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GAP 4 — REVISED</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EVALUATION INSTRUMENT TESTS WHETHER LLMs APPLY GOVERNANCE PRINCIPLES CORRECTLY AT THE DUAL-USE BOUNDARY.
Existing benchmarks fall into two categories: (1) capability tests (BioLP-bench, LAB-bench, WMDP) — do models know dangerous biological information? (2) refusal tests (RAND, OpenAI uplift studies) — do models refuse when asked directly for dangerous information?
Neither category tests the governance boundary case: when a query is not clearly benign or clearly dangerous, contextually ambiguous, and requires reasoning about information hazard principles to respond appropriately.
Current evaluations measure information access, not governance compliance. NTI has the governance principles. Igor's benchmark has the capability baseline. Nobody has built the evaluation instrument that tests whether LLMs reason correctly about which governance principles apply in a given dual-use context.
This is the core contribution of Domain 4.</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What Existing Benchmarks Test vs. What Domain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00"/>
        <w:gridCol w:w="3000"/>
        <w:gridCol w:w="38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WMDP (Li et al.,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Whether models have hazardous knowledge (proxy questions)</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00000"/>
                <w:sz w:val="20"/>
                <w:szCs w:val="20"/>
              </w:rPr>
              <w:t xml:space="preserve">Boundary cases — explicitly avoids directly hazardous questions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BioLP-bench (Ivanov, 2024)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Biological protocol capability — can model identify failure points</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00000"/>
                <w:sz w:val="20"/>
                <w:szCs w:val="20"/>
              </w:rPr>
              <w:t xml:space="preserve">Whether models apply dual-use governance reasoning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 Red Team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Whether LLM access improves attack plan viability</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00000"/>
                <w:sz w:val="20"/>
                <w:szCs w:val="20"/>
              </w:rPr>
              <w:t xml:space="preserve">Whether models calibrate disclosure to information hazard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OpenAI Uplift Study (2024)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Whether LLMs provide meaningful uplift for threat creation</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00000"/>
                <w:sz w:val="20"/>
                <w:szCs w:val="20"/>
              </w:rPr>
              <w:t xml:space="preserve">Governance reasoning for legitimate dual-use queries</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404040"/>
                <w:sz w:val="20"/>
                <w:szCs w:val="20"/>
              </w:rPr>
              <w:t xml:space="preserve">Domain 4 (this framework)</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Whether models apply appropriate governance reasoning at the dual-use boundary</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N/A — this is the gap</w:t>
            </w:r>
          </w:p>
        </w:tc>
      </w:tr>
    </w:tbl>
    <w:p>
      <w:pPr>
        <w:spacing w:after="80" w:before="80"/>
      </w:pPr>
      <w:r>
        <w:t xml:space="preserve"/>
      </w:r>
    </w:p>
    <w:p>
      <w:pPr>
        <w:pBdr>
          <w:top w:val="single" w:color="2E75B6" w:sz="4" w:space="4"/>
        </w:pBdr>
        <w:spacing w:after="80" w:before="200"/>
        <w:jc w:val="center"/>
      </w:pPr>
      <w:r>
        <w:rPr>
          <w:rFonts w:ascii="Arial" w:cs="Arial" w:eastAsia="Arial" w:hAnsi="Arial"/>
          <w:color w:val="888888"/>
          <w:sz w:val="18"/>
          <w:szCs w:val="18"/>
        </w:rPr>
        <w:t xml:space="preserve">Holding Health · Open Global Health &amp; Biosecurity AI Evaluations · Framework Reference v02 Addendum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2026-03-16T23:08:40.887Z</dcterms:created>
  <dcterms:modified xsi:type="dcterms:W3CDTF">2026-03-16T23:08:40.889Z</dcterms:modified>
</cp:coreProperties>
</file>

<file path=docProps/custom.xml><?xml version="1.0" encoding="utf-8"?>
<Properties xmlns="http://schemas.openxmlformats.org/officeDocument/2006/custom-properties" xmlns:vt="http://schemas.openxmlformats.org/officeDocument/2006/docPropsVTypes"/>
</file>