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pPr>
        <w:pStyle w:val="Heading1"/>
      </w:pPr>
      <w:r>
        <w:t>Leave Policy</w:t>
      </w:r>
    </w:p>
    <w:p>
      <w:r>
        <w:t>All full-time employees are entitled to paid leave. Leave must be requested through the HR portal at least two weeks in advance, except in emergencies.</w:t>
      </w:r>
    </w:p>
    <w:p>
      <w:pPr>
        <w:pStyle w:val="Heading2"/>
      </w:pPr>
      <w:r>
        <w:t>Annual Leave</w:t>
      </w:r>
    </w:p>
    <w:p>
      <w:r>
        <w:t>Employees receive 20 days of annual leave per calendar year. Unused days can be carried over into the next year, up to a maximum of five days.</w:t>
      </w:r>
    </w:p>
    <w:p>
      <w:pPr>
        <w:pStyle w:val="ListBullet"/>
      </w:pPr>
      <w:r>
        <w:t>Public holidays are not counted as annual leave.</w:t>
      </w:r>
    </w:p>
    <w:p>
      <w:pPr>
        <w:pStyle w:val="ListBullet"/>
      </w:pPr>
      <w:r>
        <w:t>Leave balances are shown in the HR portal.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Seniority</w:t>
            </w:r>
          </w:p>
        </w:tc>
        <w:tc>
          <w:tcPr>
            <w:tcW w:type="dxa" w:w="2880"/>
          </w:tcPr>
          <w:p>
            <w:r>
              <w:t>Extra days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0-2 years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</w:tr>
      <w:tr>
        <w:tc>
          <w:tcPr>
            <w:tcW w:type="dxa" w:w="2880"/>
          </w:tcPr>
          <w:p>
            <w:r>
              <w:t>3+ years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Added to annual leave</w:t>
            </w:r>
          </w:p>
        </w:tc>
      </w:tr>
    </w:tbl>
    <w:p>
      <w:pPr>
        <w:pStyle w:val="Heading1"/>
      </w:pPr>
      <w:r>
        <w:t>Remote Work</w:t>
      </w:r>
    </w:p>
    <w:p>
      <w:r>
        <w:t>Employees may work remotely up to three days per week with manager approval. Remote workers must be reachable during core hours and use the company VPN.</w:t>
      </w:r>
    </w:p>
    <w:p>
      <w:r>
        <w:t>Home office equipment is reimbursed up to 200 dollars per year.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Employee Handbook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Leave year runs from 1 January to 31 December.</w:t>
      </w:r>
    </w:p>
  </w:footnote>
  <w:footnote w:id="2">
    <w:p>
      <w:r>
        <w:t>Core hours are 10:00 to 16:00 local time.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HR -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Fn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Handbook</dc:title>
  <dc:subject/>
  <dc:creator>Acme HR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