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r w:rsidR="00220952">
        <w:rPr>
          <w:lang w:val="en-US"/>
        </w:rPr>
        <w:t>HomeBuh</w:t>
      </w:r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 xml:space="preserve">клиент-серверное приложение (десктопный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XUnit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Moq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>4.4. Web-client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.NetCore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 xml:space="preserve">ReactJS </w:t>
      </w:r>
      <w:r w:rsidRPr="00BF3ACC">
        <w:rPr>
          <w:lang w:val="en-US"/>
        </w:rPr>
        <w:t xml:space="preserve">или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Css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 w:rsidRPr="006B341C">
        <w:rPr>
          <w:lang w:val="en-US"/>
        </w:rPr>
        <w:t>WixInstaller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EntityFramework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 xml:space="preserve">.NetCore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control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"control" means (i)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direction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otherwise,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outstanding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exercising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including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source,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transformation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(an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form,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editorial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represent,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separable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the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submitted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means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communication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excluding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designated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subsequently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copyright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publicly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worldwide,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(except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use,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where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institute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or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granted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as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modifications,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meet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stating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attribution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excluding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the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distribution,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include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pertain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documentation,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within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wherever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of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do not modify the License. You may add Your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notices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or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that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as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Your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may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for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reproduction,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You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any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by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this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names,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except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origin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agreed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implied,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appropriateness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risks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whether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unless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negligent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liable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incidental,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result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other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has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and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or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You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on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defend,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incurred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of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boilerplate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replaced with your own identifying information. (Don't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the brackets!)  The text should be enclosed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comment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file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same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identification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Наиболее современная и сбалансированная из разрешительных лицензий. Написана человеческим языком, но с оглядкой на современное правоприменение,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Для применения лицензии Apache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2021 Dmitriy Rokoth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 under the License.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r w:rsidRPr="00815F77">
        <w:rPr>
          <w:lang w:val="en-US"/>
        </w:rPr>
        <w:t>made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copyright notice — это как раз строка, указывающая правообладателя. А «made available under the License, as indicated»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///Copyright 2021 Dmitriy Rokoth</w:t>
      </w:r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>Причем, совсем необязательно в исходном коде — Apache 2.0 позволяет для этого использовать файл NOTICE («or attached to the work»).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>И еще о файле NOTICE: если в вашей работе вы используете чужой проект под лицензией Apache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(например в about-диалог);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E05EC2" w:rsidRDefault="00E05EC2" w:rsidP="00E05EC2">
      <w:pPr>
        <w:spacing w:after="0" w:line="360" w:lineRule="auto"/>
        <w:ind w:firstLine="709"/>
        <w:jc w:val="both"/>
      </w:pPr>
      <w:bookmarkStart w:id="0" w:name="_GoBack"/>
      <w:bookmarkEnd w:id="0"/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9309C5" w:rsidRDefault="009309C5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E4993"/>
    <w:rsid w:val="005F35A5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0791A"/>
    <w:rsid w:val="0071273C"/>
    <w:rsid w:val="00714F52"/>
    <w:rsid w:val="0071625A"/>
    <w:rsid w:val="00716B5A"/>
    <w:rsid w:val="00721CF8"/>
    <w:rsid w:val="00741072"/>
    <w:rsid w:val="00744770"/>
    <w:rsid w:val="00773437"/>
    <w:rsid w:val="00785345"/>
    <w:rsid w:val="007C305F"/>
    <w:rsid w:val="007C60EC"/>
    <w:rsid w:val="007D451D"/>
    <w:rsid w:val="007F3150"/>
    <w:rsid w:val="0080203B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42455</TotalTime>
  <Pages>9</Pages>
  <Words>2335</Words>
  <Characters>13314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201</cp:revision>
  <dcterms:created xsi:type="dcterms:W3CDTF">2021-03-19T03:42:00Z</dcterms:created>
  <dcterms:modified xsi:type="dcterms:W3CDTF">2021-11-23T10:49:00Z</dcterms:modified>
</cp:coreProperties>
</file>