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5C9A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D7391" w:rsidRDefault="00034BB4" w:rsidP="00034BB4">
      <w:pPr>
        <w:pStyle w:val="3"/>
        <w:rPr>
          <w:lang w:val="ru-RU"/>
        </w:rPr>
      </w:pPr>
      <w:r w:rsidRPr="005D7391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5D7391" w:rsidRDefault="00034BB4" w:rsidP="00AF4354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4"/>
        <w:rPr>
          <w:lang w:val="ru-RU"/>
        </w:rPr>
      </w:pPr>
      <w:r w:rsidRPr="005D7391">
        <w:rPr>
          <w:lang w:val="ru-RU"/>
        </w:rPr>
        <w:t xml:space="preserve">7.2.2.1. </w:t>
      </w:r>
      <w:r w:rsidRPr="00034BB4">
        <w:t>User</w:t>
      </w:r>
    </w:p>
    <w:p w:rsidR="006F042F" w:rsidRPr="005D7391" w:rsidRDefault="006F042F" w:rsidP="006F042F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5D7391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5D7391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lastRenderedPageBreak/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t>7.3.</w:t>
      </w:r>
      <w:r>
        <w:t>4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lastRenderedPageBreak/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bookmarkStart w:id="0" w:name="_GoBack"/>
      <w:bookmarkEnd w:id="0"/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Pr="009A715A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lastRenderedPageBreak/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lastRenderedPageBreak/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lastRenderedPageBreak/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494729" w:rsidRDefault="00494729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lastRenderedPageBreak/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lastRenderedPageBreak/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1213BB"/>
    <w:rsid w:val="00152957"/>
    <w:rsid w:val="00234A0D"/>
    <w:rsid w:val="002646FC"/>
    <w:rsid w:val="00267B2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FC84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25</Pages>
  <Words>4616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76</cp:revision>
  <dcterms:created xsi:type="dcterms:W3CDTF">2021-04-24T13:15:00Z</dcterms:created>
  <dcterms:modified xsi:type="dcterms:W3CDTF">2021-12-08T08:14:00Z</dcterms:modified>
</cp:coreProperties>
</file>