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9F6F35" w:rsidRDefault="009F6F35" w:rsidP="009F6F35">
      <w:pPr>
        <w:pStyle w:val="3"/>
      </w:pPr>
      <w:r>
        <w:t>8.4.5</w:t>
      </w:r>
      <w:r w:rsidRPr="00BE0693">
        <w:t xml:space="preserve">. </w:t>
      </w:r>
      <w:r>
        <w:rPr>
          <w:lang w:val="en-US"/>
        </w:rPr>
        <w:t>Delete</w:t>
      </w:r>
    </w:p>
    <w:p w:rsidR="009F6F35" w:rsidRPr="00E859E5" w:rsidRDefault="009F6F35" w:rsidP="009F6F35">
      <w:pPr>
        <w:spacing w:after="0" w:line="360" w:lineRule="auto"/>
        <w:ind w:firstLine="709"/>
        <w:jc w:val="both"/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 xml:space="preserve">Удаление записи из базы. 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9F6F35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9F6F35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9F6F35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9F6F35">
        <w:rPr>
          <w:b/>
          <w:i/>
          <w:lang w:val="en-US"/>
        </w:rPr>
        <w:t>)</w:t>
      </w:r>
    </w:p>
    <w:p w:rsidR="009F6F35" w:rsidRPr="009F6F35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lastRenderedPageBreak/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lastRenderedPageBreak/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</w:t>
      </w:r>
      <w:r>
        <w:lastRenderedPageBreak/>
        <w:t>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Pr="000E43D2" w:rsidRDefault="00644B57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 xml:space="preserve">по нажатию на которые </w:t>
      </w:r>
      <w:r>
        <w:lastRenderedPageBreak/>
        <w:t>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t>4</w:t>
      </w:r>
      <w:r w:rsidRPr="00BE0693">
        <w:rPr>
          <w:lang w:val="ru-RU"/>
        </w:rPr>
        <w:t>.</w:t>
      </w:r>
      <w:r>
        <w:t>3</w:t>
      </w:r>
      <w:bookmarkStart w:id="0" w:name="_GoBack"/>
      <w:bookmarkEnd w:id="0"/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lastRenderedPageBreak/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9E2978" w:rsidRPr="00C93708" w:rsidRDefault="009E2978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lastRenderedPageBreak/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AE031A" w:rsidRDefault="00193129" w:rsidP="00193129">
      <w:pPr>
        <w:pStyle w:val="4"/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lastRenderedPageBreak/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0E43D2"/>
    <w:rsid w:val="00105DBE"/>
    <w:rsid w:val="00106B21"/>
    <w:rsid w:val="00110B56"/>
    <w:rsid w:val="00113751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5441"/>
    <w:rsid w:val="00287704"/>
    <w:rsid w:val="002A6F80"/>
    <w:rsid w:val="002F4B2B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30B93"/>
    <w:rsid w:val="00443F7D"/>
    <w:rsid w:val="00491900"/>
    <w:rsid w:val="00492899"/>
    <w:rsid w:val="004C1672"/>
    <w:rsid w:val="004E4DE5"/>
    <w:rsid w:val="00502B15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B2C67"/>
    <w:rsid w:val="008E31C6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A6CF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30840</TotalTime>
  <Pages>44</Pages>
  <Words>7284</Words>
  <Characters>41524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158</cp:revision>
  <dcterms:created xsi:type="dcterms:W3CDTF">2021-03-19T03:42:00Z</dcterms:created>
  <dcterms:modified xsi:type="dcterms:W3CDTF">2021-06-04T03:20:00Z</dcterms:modified>
</cp:coreProperties>
</file>