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147" w:rsidRPr="00AF0147" w:rsidRDefault="00AF0147" w:rsidP="00AF0147">
      <w:pPr>
        <w:spacing w:before="100" w:beforeAutospacing="1" w:after="100" w:afterAutospacing="1" w:line="240" w:lineRule="auto"/>
        <w:outlineLvl w:val="2"/>
        <w:rPr>
          <w:rFonts w:ascii="Times New Roman" w:eastAsia="Times New Roman" w:hAnsi="Times New Roman" w:cs="Times New Roman"/>
          <w:b/>
          <w:bCs/>
          <w:sz w:val="27"/>
          <w:szCs w:val="27"/>
        </w:rPr>
      </w:pPr>
      <w:r w:rsidRPr="00AF0147">
        <w:rPr>
          <w:rFonts w:ascii="Times New Roman" w:eastAsia="Times New Roman" w:hAnsi="Times New Roman" w:cs="Times New Roman"/>
          <w:b/>
          <w:bCs/>
          <w:sz w:val="27"/>
          <w:szCs w:val="27"/>
        </w:rPr>
        <w:t xml:space="preserve">Why Did Sales Drop in April? </w:t>
      </w:r>
    </w:p>
    <w:p w:rsidR="00AF0147" w:rsidRDefault="00AF0147" w:rsidP="00B72406">
      <w:pPr>
        <w:spacing w:before="100" w:beforeAutospacing="1" w:after="100" w:afterAutospacing="1" w:line="240" w:lineRule="auto"/>
        <w:jc w:val="both"/>
        <w:rPr>
          <w:rFonts w:ascii="Times New Roman" w:eastAsia="Times New Roman" w:hAnsi="Times New Roman" w:cs="Times New Roman"/>
        </w:rPr>
      </w:pPr>
      <w:r w:rsidRPr="00AF0147">
        <w:rPr>
          <w:rFonts w:ascii="Times New Roman" w:eastAsia="Times New Roman" w:hAnsi="Times New Roman" w:cs="Times New Roman"/>
        </w:rPr>
        <w:t xml:space="preserve">In January Sales began strong at 108,759.60 dollars, indicating a solid start to the year possibly fueled by post-holiday shopping or promotions. But there was a noticeable drop to 93,694.26 dollars in </w:t>
      </w:r>
      <w:r w:rsidRPr="00AF0147">
        <w:rPr>
          <w:rFonts w:ascii="Times New Roman" w:eastAsia="Times New Roman" w:hAnsi="Times New Roman" w:cs="Times New Roman"/>
        </w:rPr>
        <w:t>February</w:t>
      </w:r>
    </w:p>
    <w:p w:rsidR="00AF0147" w:rsidRPr="00AF0147" w:rsidRDefault="00AF0147" w:rsidP="00B72406">
      <w:pPr>
        <w:spacing w:before="100" w:beforeAutospacing="1" w:after="100" w:afterAutospacing="1" w:line="240" w:lineRule="auto"/>
        <w:jc w:val="both"/>
        <w:rPr>
          <w:rFonts w:ascii="Times New Roman" w:eastAsia="Times New Roman" w:hAnsi="Times New Roman" w:cs="Times New Roman"/>
        </w:rPr>
      </w:pPr>
      <w:r w:rsidRPr="00AF0147">
        <w:rPr>
          <w:rFonts w:ascii="Times New Roman" w:eastAsia="Times New Roman" w:hAnsi="Times New Roman" w:cs="Times New Roman"/>
        </w:rPr>
        <w:t>In March Sales bounced back impressively to 109,170.11 dollars, surpassing even January sales. But a significant dip occurred with sales dropping sharply to 47,469.04 dollars in April, less than half of March's total. Sales recovered strongly to 109,501.40 dollars in May, the highest monthly figure in the period.</w:t>
      </w:r>
      <w:r>
        <w:rPr>
          <w:rFonts w:ascii="Times New Roman" w:eastAsia="Times New Roman" w:hAnsi="Times New Roman" w:cs="Times New Roman"/>
        </w:rPr>
        <w:t xml:space="preserve"> </w:t>
      </w:r>
      <w:r w:rsidRPr="00AF0147">
        <w:rPr>
          <w:rFonts w:ascii="Times New Roman" w:eastAsia="Times New Roman" w:hAnsi="Times New Roman" w:cs="Times New Roman"/>
        </w:rPr>
        <w:t>In June Sales slightly dipped to 102,643.18 dollars, still a healthy figure relative to earlier months.</w:t>
      </w:r>
    </w:p>
    <w:p w:rsidR="00AF0147" w:rsidRDefault="00AF0147" w:rsidP="00B72406">
      <w:pPr>
        <w:spacing w:before="100" w:beforeAutospacing="1" w:after="100" w:afterAutospacing="1" w:line="240" w:lineRule="auto"/>
        <w:jc w:val="both"/>
        <w:rPr>
          <w:rFonts w:ascii="Times New Roman" w:eastAsia="Times New Roman" w:hAnsi="Times New Roman" w:cs="Times New Roman"/>
        </w:rPr>
      </w:pPr>
      <w:r w:rsidRPr="00AF0147">
        <w:rPr>
          <w:rFonts w:ascii="Times New Roman" w:eastAsia="Times New Roman" w:hAnsi="Times New Roman" w:cs="Times New Roman"/>
        </w:rPr>
        <w:t xml:space="preserve">April saw a significant decline in both total sales and transaction volume. To uncover the root causes, I examined performance across </w:t>
      </w:r>
      <w:r w:rsidRPr="00AF0147">
        <w:rPr>
          <w:rFonts w:ascii="Times New Roman" w:eastAsia="Times New Roman" w:hAnsi="Times New Roman" w:cs="Times New Roman"/>
          <w:bCs/>
        </w:rPr>
        <w:t>customer types</w:t>
      </w:r>
      <w:r w:rsidRPr="00AF0147">
        <w:rPr>
          <w:rFonts w:ascii="Times New Roman" w:eastAsia="Times New Roman" w:hAnsi="Times New Roman" w:cs="Times New Roman"/>
        </w:rPr>
        <w:t xml:space="preserve">, </w:t>
      </w:r>
      <w:r w:rsidRPr="00AF0147">
        <w:rPr>
          <w:rFonts w:ascii="Times New Roman" w:eastAsia="Times New Roman" w:hAnsi="Times New Roman" w:cs="Times New Roman"/>
          <w:bCs/>
        </w:rPr>
        <w:t>product categories</w:t>
      </w:r>
      <w:r w:rsidRPr="00AF0147">
        <w:rPr>
          <w:rFonts w:ascii="Times New Roman" w:eastAsia="Times New Roman" w:hAnsi="Times New Roman" w:cs="Times New Roman"/>
        </w:rPr>
        <w:t xml:space="preserve">, and </w:t>
      </w:r>
      <w:r w:rsidRPr="00AF0147">
        <w:rPr>
          <w:rFonts w:ascii="Times New Roman" w:eastAsia="Times New Roman" w:hAnsi="Times New Roman" w:cs="Times New Roman"/>
          <w:bCs/>
        </w:rPr>
        <w:t>regions</w:t>
      </w:r>
      <w:r w:rsidRPr="00AF0147">
        <w:rPr>
          <w:rFonts w:ascii="Times New Roman" w:eastAsia="Times New Roman" w:hAnsi="Times New Roman" w:cs="Times New Roman"/>
        </w:rPr>
        <w:t>.</w:t>
      </w:r>
    </w:p>
    <w:p w:rsidR="00B72406" w:rsidRDefault="00B72406" w:rsidP="00B72406">
      <w:pPr>
        <w:spacing w:before="100" w:beforeAutospacing="1" w:after="100" w:afterAutospacing="1" w:line="240" w:lineRule="auto"/>
        <w:jc w:val="both"/>
        <w:rPr>
          <w:rFonts w:ascii="Times New Roman" w:eastAsia="Times New Roman" w:hAnsi="Times New Roman" w:cs="Times New Roman"/>
        </w:rPr>
      </w:pPr>
      <w:r>
        <w:rPr>
          <w:noProof/>
        </w:rPr>
        <w:drawing>
          <wp:inline distT="0" distB="0" distL="0" distR="0">
            <wp:extent cx="4715935" cy="2799348"/>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8883" cy="2801098"/>
                    </a:xfrm>
                    <a:prstGeom prst="rect">
                      <a:avLst/>
                    </a:prstGeom>
                    <a:noFill/>
                    <a:ln>
                      <a:noFill/>
                    </a:ln>
                  </pic:spPr>
                </pic:pic>
              </a:graphicData>
            </a:graphic>
          </wp:inline>
        </w:drawing>
      </w:r>
    </w:p>
    <w:p w:rsidR="00AF0147" w:rsidRPr="00AF0147" w:rsidRDefault="00AF0147" w:rsidP="00B72406">
      <w:pPr>
        <w:spacing w:before="100" w:beforeAutospacing="1" w:after="100" w:afterAutospacing="1" w:line="240" w:lineRule="auto"/>
        <w:jc w:val="both"/>
        <w:rPr>
          <w:rFonts w:ascii="Times New Roman" w:eastAsia="Times New Roman" w:hAnsi="Times New Roman" w:cs="Times New Roman"/>
        </w:rPr>
      </w:pPr>
    </w:p>
    <w:p w:rsidR="00AF0147" w:rsidRPr="00AF0147" w:rsidRDefault="00AF0147" w:rsidP="00B72406">
      <w:pPr>
        <w:spacing w:before="100" w:beforeAutospacing="1" w:after="100" w:afterAutospacing="1" w:line="240" w:lineRule="auto"/>
        <w:jc w:val="both"/>
        <w:outlineLvl w:val="3"/>
        <w:rPr>
          <w:rFonts w:ascii="Times New Roman" w:eastAsia="Times New Roman" w:hAnsi="Times New Roman" w:cs="Times New Roman"/>
          <w:b/>
          <w:bCs/>
        </w:rPr>
      </w:pPr>
      <w:r w:rsidRPr="00AF0147">
        <w:rPr>
          <w:rFonts w:ascii="Times New Roman" w:eastAsia="Times New Roman" w:hAnsi="Times New Roman" w:cs="Times New Roman"/>
          <w:b/>
          <w:bCs/>
        </w:rPr>
        <w:t>By Customer Type</w:t>
      </w:r>
      <w:bookmarkStart w:id="0" w:name="_GoBack"/>
      <w:bookmarkEnd w:id="0"/>
    </w:p>
    <w:tbl>
      <w:tblPr>
        <w:tblStyle w:val="DataAnalysis"/>
        <w:tblW w:w="0" w:type="auto"/>
        <w:tblLook w:val="04A0" w:firstRow="1" w:lastRow="0" w:firstColumn="1" w:lastColumn="0" w:noHBand="0" w:noVBand="1"/>
      </w:tblPr>
      <w:tblGrid>
        <w:gridCol w:w="1579"/>
        <w:gridCol w:w="1152"/>
        <w:gridCol w:w="1323"/>
        <w:gridCol w:w="1500"/>
      </w:tblGrid>
      <w:tr w:rsidR="00AF0147" w:rsidRPr="00AF0147" w:rsidTr="00AF0147">
        <w:trPr>
          <w:cnfStyle w:val="100000000000" w:firstRow="1" w:lastRow="0" w:firstColumn="0" w:lastColumn="0" w:oddVBand="0" w:evenVBand="0" w:oddHBand="0" w:evenHBand="0" w:firstRowFirstColumn="0" w:firstRowLastColumn="0" w:lastRowFirstColumn="0" w:lastRowLastColumn="0"/>
        </w:trPr>
        <w:tc>
          <w:tcPr>
            <w:tcW w:w="0" w:type="auto"/>
            <w:hideMark/>
          </w:tcPr>
          <w:p w:rsidR="00AF0147" w:rsidRPr="00AF0147" w:rsidRDefault="00AF0147" w:rsidP="00B72406">
            <w:pPr>
              <w:jc w:val="both"/>
              <w:rPr>
                <w:rFonts w:ascii="Times New Roman" w:eastAsia="Times New Roman" w:hAnsi="Times New Roman"/>
                <w:bCs/>
                <w:szCs w:val="22"/>
              </w:rPr>
            </w:pPr>
            <w:r w:rsidRPr="00AF0147">
              <w:rPr>
                <w:rFonts w:ascii="Times New Roman" w:eastAsia="Times New Roman" w:hAnsi="Times New Roman"/>
                <w:bCs/>
                <w:szCs w:val="22"/>
              </w:rPr>
              <w:t>Customer Type</w:t>
            </w:r>
          </w:p>
        </w:tc>
        <w:tc>
          <w:tcPr>
            <w:tcW w:w="0" w:type="auto"/>
            <w:hideMark/>
          </w:tcPr>
          <w:p w:rsidR="00AF0147" w:rsidRPr="00AF0147" w:rsidRDefault="00AF0147" w:rsidP="00B72406">
            <w:pPr>
              <w:jc w:val="both"/>
              <w:rPr>
                <w:rFonts w:ascii="Times New Roman" w:eastAsia="Times New Roman" w:hAnsi="Times New Roman"/>
                <w:bCs/>
                <w:szCs w:val="22"/>
              </w:rPr>
            </w:pPr>
            <w:r w:rsidRPr="00AF0147">
              <w:rPr>
                <w:rFonts w:ascii="Times New Roman" w:eastAsia="Times New Roman" w:hAnsi="Times New Roman"/>
                <w:bCs/>
                <w:szCs w:val="22"/>
              </w:rPr>
              <w:t>Units Sold</w:t>
            </w:r>
          </w:p>
        </w:tc>
        <w:tc>
          <w:tcPr>
            <w:tcW w:w="0" w:type="auto"/>
            <w:hideMark/>
          </w:tcPr>
          <w:p w:rsidR="00AF0147" w:rsidRPr="00AF0147" w:rsidRDefault="00AF0147" w:rsidP="00B72406">
            <w:pPr>
              <w:jc w:val="both"/>
              <w:rPr>
                <w:rFonts w:ascii="Times New Roman" w:eastAsia="Times New Roman" w:hAnsi="Times New Roman"/>
                <w:bCs/>
                <w:szCs w:val="22"/>
              </w:rPr>
            </w:pPr>
            <w:r w:rsidRPr="00AF0147">
              <w:rPr>
                <w:rFonts w:ascii="Times New Roman" w:eastAsia="Times New Roman" w:hAnsi="Times New Roman"/>
                <w:bCs/>
                <w:szCs w:val="22"/>
              </w:rPr>
              <w:t>Sales (USD)</w:t>
            </w:r>
          </w:p>
        </w:tc>
        <w:tc>
          <w:tcPr>
            <w:tcW w:w="0" w:type="auto"/>
            <w:hideMark/>
          </w:tcPr>
          <w:p w:rsidR="00AF0147" w:rsidRPr="00AF0147" w:rsidRDefault="00AF0147" w:rsidP="00B72406">
            <w:pPr>
              <w:jc w:val="both"/>
              <w:rPr>
                <w:rFonts w:ascii="Times New Roman" w:eastAsia="Times New Roman" w:hAnsi="Times New Roman"/>
                <w:bCs/>
                <w:szCs w:val="22"/>
              </w:rPr>
            </w:pPr>
            <w:r w:rsidRPr="00AF0147">
              <w:rPr>
                <w:rFonts w:ascii="Times New Roman" w:eastAsia="Times New Roman" w:hAnsi="Times New Roman"/>
                <w:bCs/>
                <w:szCs w:val="22"/>
              </w:rPr>
              <w:t>Avg. Discount</w:t>
            </w:r>
          </w:p>
        </w:tc>
      </w:tr>
      <w:tr w:rsidR="00AF0147" w:rsidRPr="00AF0147" w:rsidTr="00AF0147">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New</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498</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$13,998.33</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20.9%</w:t>
            </w:r>
          </w:p>
        </w:tc>
      </w:tr>
      <w:tr w:rsidR="00AF0147" w:rsidRPr="00AF0147" w:rsidTr="00AF0147">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Returning</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1161</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$33,470.71</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19.8%</w:t>
            </w:r>
          </w:p>
        </w:tc>
      </w:tr>
    </w:tbl>
    <w:p w:rsidR="00AF0147" w:rsidRPr="00AF0147" w:rsidRDefault="00AF0147" w:rsidP="00B72406">
      <w:pPr>
        <w:spacing w:before="100" w:beforeAutospacing="1" w:after="100" w:afterAutospacing="1" w:line="240" w:lineRule="auto"/>
        <w:jc w:val="both"/>
        <w:rPr>
          <w:rFonts w:ascii="Times New Roman" w:eastAsia="Times New Roman" w:hAnsi="Times New Roman" w:cs="Times New Roman"/>
        </w:rPr>
      </w:pPr>
      <w:r w:rsidRPr="00AF0147">
        <w:rPr>
          <w:rFonts w:ascii="Times New Roman" w:eastAsia="Times New Roman" w:hAnsi="Times New Roman" w:cs="Times New Roman"/>
          <w:bCs/>
        </w:rPr>
        <w:t>Returning customers</w:t>
      </w:r>
      <w:r w:rsidRPr="00AF0147">
        <w:rPr>
          <w:rFonts w:ascii="Times New Roman" w:eastAsia="Times New Roman" w:hAnsi="Times New Roman" w:cs="Times New Roman"/>
        </w:rPr>
        <w:t xml:space="preserve"> contributed over </w:t>
      </w:r>
      <w:r w:rsidRPr="00AF0147">
        <w:rPr>
          <w:rFonts w:ascii="Times New Roman" w:eastAsia="Times New Roman" w:hAnsi="Times New Roman" w:cs="Times New Roman"/>
          <w:bCs/>
        </w:rPr>
        <w:t>70% of April’s sales</w:t>
      </w:r>
      <w:r w:rsidRPr="00AF0147">
        <w:rPr>
          <w:rFonts w:ascii="Times New Roman" w:eastAsia="Times New Roman" w:hAnsi="Times New Roman" w:cs="Times New Roman"/>
        </w:rPr>
        <w:t xml:space="preserve">, which is expected, but even their numbers were </w:t>
      </w:r>
      <w:r w:rsidRPr="00AF0147">
        <w:rPr>
          <w:rFonts w:ascii="Times New Roman" w:eastAsia="Times New Roman" w:hAnsi="Times New Roman" w:cs="Times New Roman"/>
          <w:bCs/>
        </w:rPr>
        <w:t>much lower</w:t>
      </w:r>
      <w:r w:rsidRPr="00AF0147">
        <w:rPr>
          <w:rFonts w:ascii="Times New Roman" w:eastAsia="Times New Roman" w:hAnsi="Times New Roman" w:cs="Times New Roman"/>
        </w:rPr>
        <w:t xml:space="preserve"> than in other months.</w:t>
      </w:r>
    </w:p>
    <w:p w:rsidR="00AF0147" w:rsidRPr="00AF0147" w:rsidRDefault="00AF0147" w:rsidP="00B72406">
      <w:pPr>
        <w:spacing w:before="100" w:beforeAutospacing="1" w:after="100" w:afterAutospacing="1" w:line="240" w:lineRule="auto"/>
        <w:jc w:val="both"/>
        <w:rPr>
          <w:rFonts w:ascii="Times New Roman" w:eastAsia="Times New Roman" w:hAnsi="Times New Roman" w:cs="Times New Roman"/>
        </w:rPr>
      </w:pPr>
      <w:r w:rsidRPr="00AF0147">
        <w:rPr>
          <w:rFonts w:ascii="Times New Roman" w:eastAsia="Times New Roman" w:hAnsi="Times New Roman" w:cs="Times New Roman"/>
        </w:rPr>
        <w:t xml:space="preserve">Discounts for </w:t>
      </w:r>
      <w:r w:rsidRPr="00AF0147">
        <w:rPr>
          <w:rFonts w:ascii="Times New Roman" w:eastAsia="Times New Roman" w:hAnsi="Times New Roman" w:cs="Times New Roman"/>
          <w:bCs/>
        </w:rPr>
        <w:t>both customer types</w:t>
      </w:r>
      <w:r w:rsidRPr="00AF0147">
        <w:rPr>
          <w:rFonts w:ascii="Times New Roman" w:eastAsia="Times New Roman" w:hAnsi="Times New Roman" w:cs="Times New Roman"/>
        </w:rPr>
        <w:t xml:space="preserve"> were significantly </w:t>
      </w:r>
      <w:r w:rsidRPr="00AF0147">
        <w:rPr>
          <w:rFonts w:ascii="Times New Roman" w:eastAsia="Times New Roman" w:hAnsi="Times New Roman" w:cs="Times New Roman"/>
          <w:bCs/>
        </w:rPr>
        <w:t>higher</w:t>
      </w:r>
      <w:r w:rsidRPr="00AF0147">
        <w:rPr>
          <w:rFonts w:ascii="Times New Roman" w:eastAsia="Times New Roman" w:hAnsi="Times New Roman" w:cs="Times New Roman"/>
        </w:rPr>
        <w:t xml:space="preserve"> than the overall monthly average</w:t>
      </w:r>
      <w:r w:rsidR="00B72406">
        <w:rPr>
          <w:rFonts w:ascii="Times New Roman" w:eastAsia="Times New Roman" w:hAnsi="Times New Roman" w:cs="Times New Roman"/>
        </w:rPr>
        <w:t>,</w:t>
      </w:r>
      <w:r w:rsidRPr="00AF0147">
        <w:rPr>
          <w:rFonts w:ascii="Times New Roman" w:eastAsia="Times New Roman" w:hAnsi="Times New Roman" w:cs="Times New Roman"/>
        </w:rPr>
        <w:t xml:space="preserve"> possibly signaling a </w:t>
      </w:r>
      <w:r w:rsidRPr="00AF0147">
        <w:rPr>
          <w:rFonts w:ascii="Times New Roman" w:eastAsia="Times New Roman" w:hAnsi="Times New Roman" w:cs="Times New Roman"/>
          <w:bCs/>
        </w:rPr>
        <w:t>promotion strategy</w:t>
      </w:r>
      <w:r w:rsidRPr="00AF0147">
        <w:rPr>
          <w:rFonts w:ascii="Times New Roman" w:eastAsia="Times New Roman" w:hAnsi="Times New Roman" w:cs="Times New Roman"/>
        </w:rPr>
        <w:t xml:space="preserve"> that didn’t yield strong conversions.</w:t>
      </w:r>
    </w:p>
    <w:p w:rsidR="00AF0147" w:rsidRPr="00AF0147" w:rsidRDefault="00AF0147" w:rsidP="00B72406">
      <w:pPr>
        <w:spacing w:before="100" w:beforeAutospacing="1" w:after="100" w:afterAutospacing="1" w:line="240" w:lineRule="auto"/>
        <w:jc w:val="both"/>
        <w:rPr>
          <w:rFonts w:ascii="Times New Roman" w:eastAsia="Times New Roman" w:hAnsi="Times New Roman" w:cs="Times New Roman"/>
        </w:rPr>
      </w:pPr>
      <w:r w:rsidRPr="00AF0147">
        <w:rPr>
          <w:rFonts w:ascii="Times New Roman" w:eastAsia="Times New Roman" w:hAnsi="Times New Roman" w:cs="Times New Roman"/>
        </w:rPr>
        <w:t xml:space="preserve">Despite aggressive discounting, both new and returning customers </w:t>
      </w:r>
      <w:r w:rsidRPr="00AF0147">
        <w:rPr>
          <w:rFonts w:ascii="Times New Roman" w:eastAsia="Times New Roman" w:hAnsi="Times New Roman" w:cs="Times New Roman"/>
          <w:bCs/>
        </w:rPr>
        <w:t>bought fewer products</w:t>
      </w:r>
      <w:r w:rsidRPr="00AF0147">
        <w:rPr>
          <w:rFonts w:ascii="Times New Roman" w:eastAsia="Times New Roman" w:hAnsi="Times New Roman" w:cs="Times New Roman"/>
        </w:rPr>
        <w:t xml:space="preserve"> in April. This suggests that external factors (seasonality, lower traffic, etc.) may have impacted shopping activity more than price sensitivity.</w:t>
      </w:r>
    </w:p>
    <w:p w:rsidR="00AF0147" w:rsidRPr="00AF0147" w:rsidRDefault="00AF0147" w:rsidP="00B72406">
      <w:pPr>
        <w:spacing w:before="100" w:beforeAutospacing="1" w:after="100" w:afterAutospacing="1" w:line="240" w:lineRule="auto"/>
        <w:jc w:val="both"/>
        <w:outlineLvl w:val="3"/>
        <w:rPr>
          <w:rFonts w:ascii="Times New Roman" w:eastAsia="Times New Roman" w:hAnsi="Times New Roman" w:cs="Times New Roman"/>
          <w:b/>
          <w:bCs/>
        </w:rPr>
      </w:pPr>
      <w:r w:rsidRPr="00AF0147">
        <w:rPr>
          <w:rFonts w:ascii="Times New Roman" w:eastAsia="Times New Roman" w:hAnsi="Times New Roman" w:cs="Times New Roman"/>
          <w:b/>
          <w:bCs/>
        </w:rPr>
        <w:lastRenderedPageBreak/>
        <w:t>By Category</w:t>
      </w:r>
    </w:p>
    <w:tbl>
      <w:tblPr>
        <w:tblStyle w:val="DataAnalysis"/>
        <w:tblW w:w="0" w:type="auto"/>
        <w:tblLook w:val="04A0" w:firstRow="1" w:lastRow="0" w:firstColumn="1" w:lastColumn="0" w:noHBand="0" w:noVBand="1"/>
      </w:tblPr>
      <w:tblGrid>
        <w:gridCol w:w="1121"/>
        <w:gridCol w:w="1152"/>
        <w:gridCol w:w="1323"/>
        <w:gridCol w:w="1500"/>
      </w:tblGrid>
      <w:tr w:rsidR="00AF0147" w:rsidRPr="00AF0147" w:rsidTr="00AF0147">
        <w:trPr>
          <w:cnfStyle w:val="100000000000" w:firstRow="1" w:lastRow="0" w:firstColumn="0" w:lastColumn="0" w:oddVBand="0" w:evenVBand="0" w:oddHBand="0" w:evenHBand="0" w:firstRowFirstColumn="0" w:firstRowLastColumn="0" w:lastRowFirstColumn="0" w:lastRowLastColumn="0"/>
        </w:trPr>
        <w:tc>
          <w:tcPr>
            <w:tcW w:w="0" w:type="auto"/>
            <w:hideMark/>
          </w:tcPr>
          <w:p w:rsidR="00AF0147" w:rsidRPr="00AF0147" w:rsidRDefault="00AF0147" w:rsidP="00B72406">
            <w:pPr>
              <w:jc w:val="both"/>
              <w:rPr>
                <w:rFonts w:ascii="Times New Roman" w:eastAsia="Times New Roman" w:hAnsi="Times New Roman"/>
                <w:bCs/>
                <w:szCs w:val="22"/>
              </w:rPr>
            </w:pPr>
            <w:r w:rsidRPr="00AF0147">
              <w:rPr>
                <w:rFonts w:ascii="Times New Roman" w:eastAsia="Times New Roman" w:hAnsi="Times New Roman"/>
                <w:bCs/>
                <w:szCs w:val="22"/>
              </w:rPr>
              <w:t>Category</w:t>
            </w:r>
          </w:p>
        </w:tc>
        <w:tc>
          <w:tcPr>
            <w:tcW w:w="0" w:type="auto"/>
            <w:hideMark/>
          </w:tcPr>
          <w:p w:rsidR="00AF0147" w:rsidRPr="00AF0147" w:rsidRDefault="00AF0147" w:rsidP="00B72406">
            <w:pPr>
              <w:jc w:val="both"/>
              <w:rPr>
                <w:rFonts w:ascii="Times New Roman" w:eastAsia="Times New Roman" w:hAnsi="Times New Roman"/>
                <w:bCs/>
                <w:szCs w:val="22"/>
              </w:rPr>
            </w:pPr>
            <w:r w:rsidRPr="00AF0147">
              <w:rPr>
                <w:rFonts w:ascii="Times New Roman" w:eastAsia="Times New Roman" w:hAnsi="Times New Roman"/>
                <w:bCs/>
                <w:szCs w:val="22"/>
              </w:rPr>
              <w:t>Units Sold</w:t>
            </w:r>
          </w:p>
        </w:tc>
        <w:tc>
          <w:tcPr>
            <w:tcW w:w="0" w:type="auto"/>
            <w:hideMark/>
          </w:tcPr>
          <w:p w:rsidR="00AF0147" w:rsidRPr="00AF0147" w:rsidRDefault="00AF0147" w:rsidP="00B72406">
            <w:pPr>
              <w:jc w:val="both"/>
              <w:rPr>
                <w:rFonts w:ascii="Times New Roman" w:eastAsia="Times New Roman" w:hAnsi="Times New Roman"/>
                <w:bCs/>
                <w:szCs w:val="22"/>
              </w:rPr>
            </w:pPr>
            <w:r w:rsidRPr="00AF0147">
              <w:rPr>
                <w:rFonts w:ascii="Times New Roman" w:eastAsia="Times New Roman" w:hAnsi="Times New Roman"/>
                <w:bCs/>
                <w:szCs w:val="22"/>
              </w:rPr>
              <w:t>Sales (USD)</w:t>
            </w:r>
          </w:p>
        </w:tc>
        <w:tc>
          <w:tcPr>
            <w:tcW w:w="0" w:type="auto"/>
            <w:hideMark/>
          </w:tcPr>
          <w:p w:rsidR="00AF0147" w:rsidRPr="00AF0147" w:rsidRDefault="00AF0147" w:rsidP="00B72406">
            <w:pPr>
              <w:jc w:val="both"/>
              <w:rPr>
                <w:rFonts w:ascii="Times New Roman" w:eastAsia="Times New Roman" w:hAnsi="Times New Roman"/>
                <w:bCs/>
                <w:szCs w:val="22"/>
              </w:rPr>
            </w:pPr>
            <w:r w:rsidRPr="00AF0147">
              <w:rPr>
                <w:rFonts w:ascii="Times New Roman" w:eastAsia="Times New Roman" w:hAnsi="Times New Roman"/>
                <w:bCs/>
                <w:szCs w:val="22"/>
              </w:rPr>
              <w:t>Avg. Discount</w:t>
            </w:r>
          </w:p>
        </w:tc>
      </w:tr>
      <w:tr w:rsidR="00AF0147" w:rsidRPr="00AF0147" w:rsidTr="00AF0147">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Bodywear</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307</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$10,085.63</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19.9%</w:t>
            </w:r>
          </w:p>
        </w:tc>
      </w:tr>
      <w:tr w:rsidR="00AF0147" w:rsidRPr="00AF0147" w:rsidTr="00AF0147">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Footwear</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331</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$19,616.50</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20.0%</w:t>
            </w:r>
          </w:p>
        </w:tc>
      </w:tr>
      <w:tr w:rsidR="00AF0147" w:rsidRPr="00AF0147" w:rsidTr="00AF0147">
        <w:tc>
          <w:tcPr>
            <w:tcW w:w="0" w:type="auto"/>
            <w:hideMark/>
          </w:tcPr>
          <w:p w:rsidR="00AF0147" w:rsidRPr="00AF0147" w:rsidRDefault="00AF0147" w:rsidP="00B72406">
            <w:pPr>
              <w:jc w:val="both"/>
              <w:rPr>
                <w:rFonts w:ascii="Times New Roman" w:eastAsia="Times New Roman" w:hAnsi="Times New Roman"/>
                <w:szCs w:val="22"/>
              </w:rPr>
            </w:pPr>
            <w:proofErr w:type="spellStart"/>
            <w:r w:rsidRPr="00AF0147">
              <w:rPr>
                <w:rFonts w:ascii="Times New Roman" w:eastAsia="Times New Roman" w:hAnsi="Times New Roman"/>
                <w:szCs w:val="22"/>
              </w:rPr>
              <w:t>Handwear</w:t>
            </w:r>
            <w:proofErr w:type="spellEnd"/>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377</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$4,197.56</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20.3%</w:t>
            </w:r>
          </w:p>
        </w:tc>
      </w:tr>
      <w:tr w:rsidR="00AF0147" w:rsidRPr="00AF0147" w:rsidTr="00AF0147">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Headwear</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348</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$4,431.89</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20.3%</w:t>
            </w:r>
          </w:p>
        </w:tc>
      </w:tr>
      <w:tr w:rsidR="00AF0147" w:rsidRPr="00AF0147" w:rsidTr="00AF0147">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Legwear</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296</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$9,137.46</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19.9%</w:t>
            </w:r>
          </w:p>
        </w:tc>
      </w:tr>
    </w:tbl>
    <w:p w:rsidR="00AF0147" w:rsidRPr="00AF0147" w:rsidRDefault="00AF0147" w:rsidP="00B72406">
      <w:pPr>
        <w:spacing w:before="100" w:beforeAutospacing="1" w:after="100" w:afterAutospacing="1" w:line="240" w:lineRule="auto"/>
        <w:jc w:val="both"/>
        <w:rPr>
          <w:rFonts w:ascii="Times New Roman" w:eastAsia="Times New Roman" w:hAnsi="Times New Roman" w:cs="Times New Roman"/>
        </w:rPr>
      </w:pPr>
      <w:r w:rsidRPr="00AF0147">
        <w:rPr>
          <w:rFonts w:ascii="Times New Roman" w:eastAsia="Times New Roman" w:hAnsi="Times New Roman" w:cs="Times New Roman"/>
        </w:rPr>
        <w:t xml:space="preserve">All categories offered </w:t>
      </w:r>
      <w:r w:rsidRPr="00AF0147">
        <w:rPr>
          <w:rFonts w:ascii="Times New Roman" w:eastAsia="Times New Roman" w:hAnsi="Times New Roman" w:cs="Times New Roman"/>
          <w:bCs/>
        </w:rPr>
        <w:t>similar discounts</w:t>
      </w:r>
      <w:r w:rsidRPr="00AF0147">
        <w:rPr>
          <w:rFonts w:ascii="Times New Roman" w:eastAsia="Times New Roman" w:hAnsi="Times New Roman" w:cs="Times New Roman"/>
        </w:rPr>
        <w:t xml:space="preserve"> (around 20%), yet </w:t>
      </w:r>
      <w:r w:rsidRPr="00AF0147">
        <w:rPr>
          <w:rFonts w:ascii="Times New Roman" w:eastAsia="Times New Roman" w:hAnsi="Times New Roman" w:cs="Times New Roman"/>
          <w:bCs/>
        </w:rPr>
        <w:t>sales remained low across the board</w:t>
      </w:r>
      <w:r w:rsidRPr="00AF0147">
        <w:rPr>
          <w:rFonts w:ascii="Times New Roman" w:eastAsia="Times New Roman" w:hAnsi="Times New Roman" w:cs="Times New Roman"/>
        </w:rPr>
        <w:t>.</w:t>
      </w:r>
    </w:p>
    <w:p w:rsidR="00AF0147" w:rsidRPr="00AF0147" w:rsidRDefault="00AF0147" w:rsidP="00B72406">
      <w:pPr>
        <w:spacing w:before="100" w:beforeAutospacing="1" w:after="100" w:afterAutospacing="1" w:line="240" w:lineRule="auto"/>
        <w:jc w:val="both"/>
        <w:rPr>
          <w:rFonts w:ascii="Times New Roman" w:eastAsia="Times New Roman" w:hAnsi="Times New Roman" w:cs="Times New Roman"/>
        </w:rPr>
      </w:pPr>
      <w:r w:rsidRPr="00AF0147">
        <w:rPr>
          <w:rFonts w:ascii="Times New Roman" w:eastAsia="Times New Roman" w:hAnsi="Times New Roman" w:cs="Times New Roman"/>
          <w:bCs/>
        </w:rPr>
        <w:t>Footwear</w:t>
      </w:r>
      <w:r w:rsidRPr="00AF0147">
        <w:rPr>
          <w:rFonts w:ascii="Times New Roman" w:eastAsia="Times New Roman" w:hAnsi="Times New Roman" w:cs="Times New Roman"/>
        </w:rPr>
        <w:t xml:space="preserve">, which is usually the top performer, still led the month but generated </w:t>
      </w:r>
      <w:r w:rsidRPr="00AF0147">
        <w:rPr>
          <w:rFonts w:ascii="Times New Roman" w:eastAsia="Times New Roman" w:hAnsi="Times New Roman" w:cs="Times New Roman"/>
          <w:bCs/>
        </w:rPr>
        <w:t>less than half</w:t>
      </w:r>
      <w:r w:rsidRPr="00AF0147">
        <w:rPr>
          <w:rFonts w:ascii="Times New Roman" w:eastAsia="Times New Roman" w:hAnsi="Times New Roman" w:cs="Times New Roman"/>
        </w:rPr>
        <w:t xml:space="preserve"> its usual revenue.</w:t>
      </w:r>
    </w:p>
    <w:p w:rsidR="00AF0147" w:rsidRPr="00AF0147" w:rsidRDefault="00AF0147" w:rsidP="00B72406">
      <w:pPr>
        <w:spacing w:before="100" w:beforeAutospacing="1" w:after="100" w:afterAutospacing="1" w:line="240" w:lineRule="auto"/>
        <w:jc w:val="both"/>
        <w:rPr>
          <w:rFonts w:ascii="Times New Roman" w:eastAsia="Times New Roman" w:hAnsi="Times New Roman" w:cs="Times New Roman"/>
        </w:rPr>
      </w:pPr>
      <w:r w:rsidRPr="00AF0147">
        <w:rPr>
          <w:rFonts w:ascii="Times New Roman" w:eastAsia="Times New Roman" w:hAnsi="Times New Roman" w:cs="Times New Roman"/>
        </w:rPr>
        <w:t>No single category underperformed in isolation</w:t>
      </w:r>
      <w:r>
        <w:rPr>
          <w:rFonts w:ascii="Times New Roman" w:eastAsia="Times New Roman" w:hAnsi="Times New Roman" w:cs="Times New Roman"/>
        </w:rPr>
        <w:t>,</w:t>
      </w:r>
      <w:r w:rsidRPr="00AF0147">
        <w:rPr>
          <w:rFonts w:ascii="Times New Roman" w:eastAsia="Times New Roman" w:hAnsi="Times New Roman" w:cs="Times New Roman"/>
        </w:rPr>
        <w:t xml:space="preserve"> the </w:t>
      </w:r>
      <w:r w:rsidRPr="00AF0147">
        <w:rPr>
          <w:rFonts w:ascii="Times New Roman" w:eastAsia="Times New Roman" w:hAnsi="Times New Roman" w:cs="Times New Roman"/>
          <w:bCs/>
        </w:rPr>
        <w:t>drop was consistent</w:t>
      </w:r>
      <w:r w:rsidRPr="00AF0147">
        <w:rPr>
          <w:rFonts w:ascii="Times New Roman" w:eastAsia="Times New Roman" w:hAnsi="Times New Roman" w:cs="Times New Roman"/>
        </w:rPr>
        <w:t xml:space="preserve"> across all product lines, pointing again to a broader dip in demand or engagement.</w:t>
      </w:r>
    </w:p>
    <w:p w:rsidR="00AF0147" w:rsidRPr="00AF0147" w:rsidRDefault="00AF0147" w:rsidP="00B72406">
      <w:pPr>
        <w:spacing w:before="100" w:beforeAutospacing="1" w:after="100" w:afterAutospacing="1" w:line="240" w:lineRule="auto"/>
        <w:jc w:val="both"/>
        <w:outlineLvl w:val="3"/>
        <w:rPr>
          <w:rFonts w:ascii="Times New Roman" w:eastAsia="Times New Roman" w:hAnsi="Times New Roman" w:cs="Times New Roman"/>
          <w:b/>
          <w:bCs/>
        </w:rPr>
      </w:pPr>
      <w:r w:rsidRPr="00AF0147">
        <w:rPr>
          <w:rFonts w:ascii="Times New Roman" w:eastAsia="Times New Roman" w:hAnsi="Times New Roman" w:cs="Times New Roman"/>
          <w:b/>
          <w:bCs/>
        </w:rPr>
        <w:t>By Region</w:t>
      </w:r>
    </w:p>
    <w:tbl>
      <w:tblPr>
        <w:tblStyle w:val="DataAnalysis"/>
        <w:tblW w:w="0" w:type="auto"/>
        <w:tblLook w:val="04A0" w:firstRow="1" w:lastRow="0" w:firstColumn="1" w:lastColumn="0" w:noHBand="0" w:noVBand="1"/>
      </w:tblPr>
      <w:tblGrid>
        <w:gridCol w:w="852"/>
        <w:gridCol w:w="1152"/>
        <w:gridCol w:w="1323"/>
        <w:gridCol w:w="1500"/>
      </w:tblGrid>
      <w:tr w:rsidR="00AF0147" w:rsidRPr="00AF0147" w:rsidTr="00AF0147">
        <w:trPr>
          <w:cnfStyle w:val="100000000000" w:firstRow="1" w:lastRow="0" w:firstColumn="0" w:lastColumn="0" w:oddVBand="0" w:evenVBand="0" w:oddHBand="0" w:evenHBand="0" w:firstRowFirstColumn="0" w:firstRowLastColumn="0" w:lastRowFirstColumn="0" w:lastRowLastColumn="0"/>
        </w:trPr>
        <w:tc>
          <w:tcPr>
            <w:tcW w:w="0" w:type="auto"/>
            <w:hideMark/>
          </w:tcPr>
          <w:p w:rsidR="00AF0147" w:rsidRPr="00AF0147" w:rsidRDefault="00AF0147" w:rsidP="00B72406">
            <w:pPr>
              <w:jc w:val="both"/>
              <w:rPr>
                <w:rFonts w:ascii="Times New Roman" w:eastAsia="Times New Roman" w:hAnsi="Times New Roman"/>
                <w:bCs/>
                <w:szCs w:val="22"/>
              </w:rPr>
            </w:pPr>
            <w:r w:rsidRPr="00AF0147">
              <w:rPr>
                <w:rFonts w:ascii="Times New Roman" w:eastAsia="Times New Roman" w:hAnsi="Times New Roman"/>
                <w:bCs/>
                <w:szCs w:val="22"/>
              </w:rPr>
              <w:t>Region</w:t>
            </w:r>
          </w:p>
        </w:tc>
        <w:tc>
          <w:tcPr>
            <w:tcW w:w="0" w:type="auto"/>
            <w:hideMark/>
          </w:tcPr>
          <w:p w:rsidR="00AF0147" w:rsidRPr="00AF0147" w:rsidRDefault="00AF0147" w:rsidP="00B72406">
            <w:pPr>
              <w:jc w:val="both"/>
              <w:rPr>
                <w:rFonts w:ascii="Times New Roman" w:eastAsia="Times New Roman" w:hAnsi="Times New Roman"/>
                <w:bCs/>
                <w:szCs w:val="22"/>
              </w:rPr>
            </w:pPr>
            <w:r w:rsidRPr="00AF0147">
              <w:rPr>
                <w:rFonts w:ascii="Times New Roman" w:eastAsia="Times New Roman" w:hAnsi="Times New Roman"/>
                <w:bCs/>
                <w:szCs w:val="22"/>
              </w:rPr>
              <w:t>Units Sold</w:t>
            </w:r>
          </w:p>
        </w:tc>
        <w:tc>
          <w:tcPr>
            <w:tcW w:w="0" w:type="auto"/>
            <w:hideMark/>
          </w:tcPr>
          <w:p w:rsidR="00AF0147" w:rsidRPr="00AF0147" w:rsidRDefault="00AF0147" w:rsidP="00B72406">
            <w:pPr>
              <w:jc w:val="both"/>
              <w:rPr>
                <w:rFonts w:ascii="Times New Roman" w:eastAsia="Times New Roman" w:hAnsi="Times New Roman"/>
                <w:bCs/>
                <w:szCs w:val="22"/>
              </w:rPr>
            </w:pPr>
            <w:r w:rsidRPr="00AF0147">
              <w:rPr>
                <w:rFonts w:ascii="Times New Roman" w:eastAsia="Times New Roman" w:hAnsi="Times New Roman"/>
                <w:bCs/>
                <w:szCs w:val="22"/>
              </w:rPr>
              <w:t>Sales (USD)</w:t>
            </w:r>
          </w:p>
        </w:tc>
        <w:tc>
          <w:tcPr>
            <w:tcW w:w="0" w:type="auto"/>
            <w:hideMark/>
          </w:tcPr>
          <w:p w:rsidR="00AF0147" w:rsidRPr="00AF0147" w:rsidRDefault="00AF0147" w:rsidP="00B72406">
            <w:pPr>
              <w:jc w:val="both"/>
              <w:rPr>
                <w:rFonts w:ascii="Times New Roman" w:eastAsia="Times New Roman" w:hAnsi="Times New Roman"/>
                <w:bCs/>
                <w:szCs w:val="22"/>
              </w:rPr>
            </w:pPr>
            <w:r w:rsidRPr="00AF0147">
              <w:rPr>
                <w:rFonts w:ascii="Times New Roman" w:eastAsia="Times New Roman" w:hAnsi="Times New Roman"/>
                <w:bCs/>
                <w:szCs w:val="22"/>
              </w:rPr>
              <w:t>Avg. Discount</w:t>
            </w:r>
          </w:p>
        </w:tc>
      </w:tr>
      <w:tr w:rsidR="00AF0147" w:rsidRPr="00AF0147" w:rsidTr="00AF0147">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East</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417</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$11,626.43</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19.9%</w:t>
            </w:r>
          </w:p>
        </w:tc>
      </w:tr>
      <w:tr w:rsidR="00AF0147" w:rsidRPr="00AF0147" w:rsidTr="00AF0147">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North</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449</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$12,900.98</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20.5%</w:t>
            </w:r>
          </w:p>
        </w:tc>
      </w:tr>
      <w:tr w:rsidR="00AF0147" w:rsidRPr="00AF0147" w:rsidTr="00AF0147">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South</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435</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$12,162.72</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20.6%</w:t>
            </w:r>
          </w:p>
        </w:tc>
      </w:tr>
      <w:tr w:rsidR="00AF0147" w:rsidRPr="00AF0147" w:rsidTr="00AF0147">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West</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358</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$10,778.91</w:t>
            </w:r>
          </w:p>
        </w:tc>
        <w:tc>
          <w:tcPr>
            <w:tcW w:w="0" w:type="auto"/>
            <w:hideMark/>
          </w:tcPr>
          <w:p w:rsidR="00AF0147" w:rsidRPr="00AF0147" w:rsidRDefault="00AF0147" w:rsidP="00B72406">
            <w:pPr>
              <w:jc w:val="both"/>
              <w:rPr>
                <w:rFonts w:ascii="Times New Roman" w:eastAsia="Times New Roman" w:hAnsi="Times New Roman"/>
                <w:szCs w:val="22"/>
              </w:rPr>
            </w:pPr>
            <w:r w:rsidRPr="00AF0147">
              <w:rPr>
                <w:rFonts w:ascii="Times New Roman" w:eastAsia="Times New Roman" w:hAnsi="Times New Roman"/>
                <w:szCs w:val="22"/>
              </w:rPr>
              <w:t>19.2%</w:t>
            </w:r>
          </w:p>
        </w:tc>
      </w:tr>
    </w:tbl>
    <w:p w:rsidR="00AF0147" w:rsidRPr="00AF0147" w:rsidRDefault="00AF0147" w:rsidP="00B72406">
      <w:pPr>
        <w:spacing w:before="100" w:beforeAutospacing="1" w:after="100" w:afterAutospacing="1" w:line="240" w:lineRule="auto"/>
        <w:jc w:val="both"/>
        <w:rPr>
          <w:rFonts w:ascii="Times New Roman" w:eastAsia="Times New Roman" w:hAnsi="Times New Roman" w:cs="Times New Roman"/>
        </w:rPr>
      </w:pPr>
      <w:r w:rsidRPr="00AF0147">
        <w:rPr>
          <w:rFonts w:ascii="Times New Roman" w:eastAsia="Times New Roman" w:hAnsi="Times New Roman" w:cs="Times New Roman"/>
        </w:rPr>
        <w:t xml:space="preserve">Every region saw </w:t>
      </w:r>
      <w:r w:rsidRPr="00AF0147">
        <w:rPr>
          <w:rFonts w:ascii="Times New Roman" w:eastAsia="Times New Roman" w:hAnsi="Times New Roman" w:cs="Times New Roman"/>
          <w:bCs/>
        </w:rPr>
        <w:t>reduced sales</w:t>
      </w:r>
      <w:r w:rsidRPr="00AF0147">
        <w:rPr>
          <w:rFonts w:ascii="Times New Roman" w:eastAsia="Times New Roman" w:hAnsi="Times New Roman" w:cs="Times New Roman"/>
        </w:rPr>
        <w:t xml:space="preserve">, with </w:t>
      </w:r>
      <w:r w:rsidRPr="00AF0147">
        <w:rPr>
          <w:rFonts w:ascii="Times New Roman" w:eastAsia="Times New Roman" w:hAnsi="Times New Roman" w:cs="Times New Roman"/>
          <w:bCs/>
        </w:rPr>
        <w:t>West</w:t>
      </w:r>
      <w:r w:rsidRPr="00AF0147">
        <w:rPr>
          <w:rFonts w:ascii="Times New Roman" w:eastAsia="Times New Roman" w:hAnsi="Times New Roman" w:cs="Times New Roman"/>
        </w:rPr>
        <w:t xml:space="preserve"> performing the weakest.</w:t>
      </w:r>
    </w:p>
    <w:p w:rsidR="00AF0147" w:rsidRPr="00AF0147" w:rsidRDefault="00AF0147" w:rsidP="00B72406">
      <w:pPr>
        <w:spacing w:before="100" w:beforeAutospacing="1" w:after="100" w:afterAutospacing="1" w:line="240" w:lineRule="auto"/>
        <w:jc w:val="both"/>
        <w:rPr>
          <w:rFonts w:ascii="Times New Roman" w:eastAsia="Times New Roman" w:hAnsi="Times New Roman" w:cs="Times New Roman"/>
        </w:rPr>
      </w:pPr>
      <w:r w:rsidRPr="00AF0147">
        <w:rPr>
          <w:rFonts w:ascii="Times New Roman" w:eastAsia="Times New Roman" w:hAnsi="Times New Roman" w:cs="Times New Roman"/>
        </w:rPr>
        <w:t xml:space="preserve">Discounts were again </w:t>
      </w:r>
      <w:r w:rsidRPr="00AF0147">
        <w:rPr>
          <w:rFonts w:ascii="Times New Roman" w:eastAsia="Times New Roman" w:hAnsi="Times New Roman" w:cs="Times New Roman"/>
          <w:bCs/>
        </w:rPr>
        <w:t>higher than usual</w:t>
      </w:r>
      <w:r w:rsidRPr="00AF0147">
        <w:rPr>
          <w:rFonts w:ascii="Times New Roman" w:eastAsia="Times New Roman" w:hAnsi="Times New Roman" w:cs="Times New Roman"/>
        </w:rPr>
        <w:t>, but still didn't drive enough conversions.</w:t>
      </w:r>
    </w:p>
    <w:p w:rsidR="00AF0147" w:rsidRPr="00AF0147" w:rsidRDefault="00AF0147" w:rsidP="00B72406">
      <w:pPr>
        <w:spacing w:before="100" w:beforeAutospacing="1" w:after="100" w:afterAutospacing="1" w:line="240" w:lineRule="auto"/>
        <w:jc w:val="both"/>
        <w:rPr>
          <w:rFonts w:ascii="Times New Roman" w:eastAsia="Times New Roman" w:hAnsi="Times New Roman" w:cs="Times New Roman"/>
        </w:rPr>
      </w:pPr>
      <w:r w:rsidRPr="00AF0147">
        <w:rPr>
          <w:rFonts w:ascii="Times New Roman" w:eastAsia="Times New Roman" w:hAnsi="Times New Roman" w:cs="Times New Roman"/>
        </w:rPr>
        <w:t xml:space="preserve">The sales dip was not isolated to any single region further confirming this was likely due to </w:t>
      </w:r>
      <w:r w:rsidRPr="00AF0147">
        <w:rPr>
          <w:rFonts w:ascii="Times New Roman" w:eastAsia="Times New Roman" w:hAnsi="Times New Roman" w:cs="Times New Roman"/>
          <w:bCs/>
        </w:rPr>
        <w:t>seasonal factors</w:t>
      </w:r>
      <w:r w:rsidRPr="00AF0147">
        <w:rPr>
          <w:rFonts w:ascii="Times New Roman" w:eastAsia="Times New Roman" w:hAnsi="Times New Roman" w:cs="Times New Roman"/>
        </w:rPr>
        <w:t xml:space="preserve">, an </w:t>
      </w:r>
      <w:r w:rsidRPr="00AF0147">
        <w:rPr>
          <w:rFonts w:ascii="Times New Roman" w:eastAsia="Times New Roman" w:hAnsi="Times New Roman" w:cs="Times New Roman"/>
          <w:bCs/>
        </w:rPr>
        <w:t>external event</w:t>
      </w:r>
      <w:r w:rsidRPr="00AF0147">
        <w:rPr>
          <w:rFonts w:ascii="Times New Roman" w:eastAsia="Times New Roman" w:hAnsi="Times New Roman" w:cs="Times New Roman"/>
        </w:rPr>
        <w:t xml:space="preserve">, or a </w:t>
      </w:r>
      <w:r w:rsidRPr="00AF0147">
        <w:rPr>
          <w:rFonts w:ascii="Times New Roman" w:eastAsia="Times New Roman" w:hAnsi="Times New Roman" w:cs="Times New Roman"/>
          <w:bCs/>
        </w:rPr>
        <w:t>dip in traffic/marketing reach</w:t>
      </w:r>
      <w:r w:rsidRPr="00AF0147">
        <w:rPr>
          <w:rFonts w:ascii="Times New Roman" w:eastAsia="Times New Roman" w:hAnsi="Times New Roman" w:cs="Times New Roman"/>
        </w:rPr>
        <w:t xml:space="preserve"> rather than product or customer-type issues.</w:t>
      </w:r>
    </w:p>
    <w:p w:rsidR="00AF0147" w:rsidRPr="00AF0147" w:rsidRDefault="00AF0147" w:rsidP="00B72406">
      <w:pPr>
        <w:spacing w:before="100" w:beforeAutospacing="1" w:after="100" w:afterAutospacing="1" w:line="240" w:lineRule="auto"/>
        <w:jc w:val="both"/>
        <w:rPr>
          <w:rFonts w:ascii="Times New Roman" w:eastAsia="Times New Roman" w:hAnsi="Times New Roman" w:cs="Times New Roman"/>
        </w:rPr>
      </w:pPr>
      <w:r w:rsidRPr="00AF0147">
        <w:rPr>
          <w:rFonts w:ascii="Times New Roman" w:eastAsia="Times New Roman" w:hAnsi="Times New Roman" w:cs="Times New Roman"/>
        </w:rPr>
        <w:t xml:space="preserve">April’s sales drop was </w:t>
      </w:r>
      <w:r w:rsidRPr="00AF0147">
        <w:rPr>
          <w:rFonts w:ascii="Times New Roman" w:eastAsia="Times New Roman" w:hAnsi="Times New Roman" w:cs="Times New Roman"/>
          <w:bCs/>
        </w:rPr>
        <w:t>broad and systemic</w:t>
      </w:r>
      <w:r w:rsidRPr="00AF0147">
        <w:rPr>
          <w:rFonts w:ascii="Times New Roman" w:eastAsia="Times New Roman" w:hAnsi="Times New Roman" w:cs="Times New Roman"/>
        </w:rPr>
        <w:t>:</w:t>
      </w:r>
    </w:p>
    <w:p w:rsidR="00AF0147" w:rsidRPr="00AF0147" w:rsidRDefault="00AF0147" w:rsidP="00B72406">
      <w:pPr>
        <w:numPr>
          <w:ilvl w:val="0"/>
          <w:numId w:val="4"/>
        </w:numPr>
        <w:spacing w:before="100" w:beforeAutospacing="1" w:after="100" w:afterAutospacing="1" w:line="240" w:lineRule="auto"/>
        <w:jc w:val="both"/>
        <w:rPr>
          <w:rFonts w:ascii="Times New Roman" w:eastAsia="Times New Roman" w:hAnsi="Times New Roman" w:cs="Times New Roman"/>
        </w:rPr>
      </w:pPr>
      <w:r w:rsidRPr="00AF0147">
        <w:rPr>
          <w:rFonts w:ascii="Times New Roman" w:eastAsia="Times New Roman" w:hAnsi="Times New Roman" w:cs="Times New Roman"/>
        </w:rPr>
        <w:t xml:space="preserve">Transactions were down across </w:t>
      </w:r>
      <w:r w:rsidRPr="00AF0147">
        <w:rPr>
          <w:rFonts w:ascii="Times New Roman" w:eastAsia="Times New Roman" w:hAnsi="Times New Roman" w:cs="Times New Roman"/>
          <w:bCs/>
        </w:rPr>
        <w:t>all customer types</w:t>
      </w:r>
      <w:r w:rsidRPr="00AF0147">
        <w:rPr>
          <w:rFonts w:ascii="Times New Roman" w:eastAsia="Times New Roman" w:hAnsi="Times New Roman" w:cs="Times New Roman"/>
        </w:rPr>
        <w:t xml:space="preserve">, </w:t>
      </w:r>
      <w:r w:rsidRPr="00AF0147">
        <w:rPr>
          <w:rFonts w:ascii="Times New Roman" w:eastAsia="Times New Roman" w:hAnsi="Times New Roman" w:cs="Times New Roman"/>
          <w:bCs/>
        </w:rPr>
        <w:t>categories</w:t>
      </w:r>
      <w:r w:rsidRPr="00AF0147">
        <w:rPr>
          <w:rFonts w:ascii="Times New Roman" w:eastAsia="Times New Roman" w:hAnsi="Times New Roman" w:cs="Times New Roman"/>
        </w:rPr>
        <w:t xml:space="preserve">, and </w:t>
      </w:r>
      <w:r w:rsidRPr="00AF0147">
        <w:rPr>
          <w:rFonts w:ascii="Times New Roman" w:eastAsia="Times New Roman" w:hAnsi="Times New Roman" w:cs="Times New Roman"/>
          <w:bCs/>
        </w:rPr>
        <w:t>regions</w:t>
      </w:r>
      <w:r w:rsidRPr="00AF0147">
        <w:rPr>
          <w:rFonts w:ascii="Times New Roman" w:eastAsia="Times New Roman" w:hAnsi="Times New Roman" w:cs="Times New Roman"/>
        </w:rPr>
        <w:t>.</w:t>
      </w:r>
    </w:p>
    <w:p w:rsidR="00AF0147" w:rsidRPr="00AF0147" w:rsidRDefault="00AF0147" w:rsidP="00B72406">
      <w:pPr>
        <w:numPr>
          <w:ilvl w:val="0"/>
          <w:numId w:val="4"/>
        </w:numPr>
        <w:spacing w:before="100" w:beforeAutospacing="1" w:after="100" w:afterAutospacing="1" w:line="240" w:lineRule="auto"/>
        <w:jc w:val="both"/>
        <w:rPr>
          <w:rFonts w:ascii="Times New Roman" w:eastAsia="Times New Roman" w:hAnsi="Times New Roman" w:cs="Times New Roman"/>
        </w:rPr>
      </w:pPr>
      <w:r w:rsidRPr="00AF0147">
        <w:rPr>
          <w:rFonts w:ascii="Times New Roman" w:eastAsia="Times New Roman" w:hAnsi="Times New Roman" w:cs="Times New Roman"/>
        </w:rPr>
        <w:t xml:space="preserve">Discounts were </w:t>
      </w:r>
      <w:r w:rsidRPr="00AF0147">
        <w:rPr>
          <w:rFonts w:ascii="Times New Roman" w:eastAsia="Times New Roman" w:hAnsi="Times New Roman" w:cs="Times New Roman"/>
          <w:bCs/>
        </w:rPr>
        <w:t>significantly higher</w:t>
      </w:r>
      <w:r w:rsidRPr="00AF0147">
        <w:rPr>
          <w:rFonts w:ascii="Times New Roman" w:eastAsia="Times New Roman" w:hAnsi="Times New Roman" w:cs="Times New Roman"/>
        </w:rPr>
        <w:t xml:space="preserve">, suggesting an attempt to </w:t>
      </w:r>
      <w:r w:rsidRPr="00AF0147">
        <w:rPr>
          <w:rFonts w:ascii="Times New Roman" w:eastAsia="Times New Roman" w:hAnsi="Times New Roman" w:cs="Times New Roman"/>
          <w:bCs/>
        </w:rPr>
        <w:t>stimulate demand</w:t>
      </w:r>
      <w:r w:rsidR="00B72406">
        <w:rPr>
          <w:rFonts w:ascii="Times New Roman" w:eastAsia="Times New Roman" w:hAnsi="Times New Roman" w:cs="Times New Roman"/>
        </w:rPr>
        <w:t xml:space="preserve">, </w:t>
      </w:r>
      <w:r w:rsidRPr="00AF0147">
        <w:rPr>
          <w:rFonts w:ascii="Times New Roman" w:eastAsia="Times New Roman" w:hAnsi="Times New Roman" w:cs="Times New Roman"/>
        </w:rPr>
        <w:t>but the response was underwhelming.</w:t>
      </w:r>
    </w:p>
    <w:p w:rsidR="00AF0147" w:rsidRPr="00AF0147" w:rsidRDefault="00AF0147" w:rsidP="00B72406">
      <w:pPr>
        <w:numPr>
          <w:ilvl w:val="0"/>
          <w:numId w:val="4"/>
        </w:numPr>
        <w:spacing w:before="100" w:beforeAutospacing="1" w:after="100" w:afterAutospacing="1" w:line="240" w:lineRule="auto"/>
        <w:jc w:val="both"/>
        <w:rPr>
          <w:rFonts w:ascii="Times New Roman" w:eastAsia="Times New Roman" w:hAnsi="Times New Roman" w:cs="Times New Roman"/>
        </w:rPr>
      </w:pPr>
      <w:r w:rsidRPr="00AF0147">
        <w:rPr>
          <w:rFonts w:ascii="Times New Roman" w:eastAsia="Times New Roman" w:hAnsi="Times New Roman" w:cs="Times New Roman"/>
        </w:rPr>
        <w:t xml:space="preserve">This may reflect </w:t>
      </w:r>
      <w:r w:rsidRPr="00AF0147">
        <w:rPr>
          <w:rFonts w:ascii="Times New Roman" w:eastAsia="Times New Roman" w:hAnsi="Times New Roman" w:cs="Times New Roman"/>
          <w:bCs/>
        </w:rPr>
        <w:t>external market factors</w:t>
      </w:r>
      <w:r w:rsidRPr="00AF0147">
        <w:rPr>
          <w:rFonts w:ascii="Times New Roman" w:eastAsia="Times New Roman" w:hAnsi="Times New Roman" w:cs="Times New Roman"/>
        </w:rPr>
        <w:t xml:space="preserve">, a poorly timed promotion, or perhaps a </w:t>
      </w:r>
      <w:r w:rsidRPr="00AF0147">
        <w:rPr>
          <w:rFonts w:ascii="Times New Roman" w:eastAsia="Times New Roman" w:hAnsi="Times New Roman" w:cs="Times New Roman"/>
          <w:bCs/>
        </w:rPr>
        <w:t>seasonal lull</w:t>
      </w:r>
      <w:r w:rsidRPr="00AF0147">
        <w:rPr>
          <w:rFonts w:ascii="Times New Roman" w:eastAsia="Times New Roman" w:hAnsi="Times New Roman" w:cs="Times New Roman"/>
        </w:rPr>
        <w:t xml:space="preserve"> in demand for clothing items.</w:t>
      </w:r>
    </w:p>
    <w:p w:rsidR="00AF0147" w:rsidRPr="00AF0147" w:rsidRDefault="00AF0147" w:rsidP="00B72406">
      <w:pPr>
        <w:spacing w:after="0" w:line="240" w:lineRule="auto"/>
        <w:jc w:val="both"/>
        <w:rPr>
          <w:rFonts w:ascii="Times New Roman" w:eastAsia="Times New Roman" w:hAnsi="Times New Roman" w:cs="Times New Roman"/>
        </w:rPr>
      </w:pPr>
    </w:p>
    <w:p w:rsidR="00894423" w:rsidRPr="00AF0147" w:rsidRDefault="00894423" w:rsidP="00B72406">
      <w:pPr>
        <w:jc w:val="both"/>
      </w:pPr>
    </w:p>
    <w:sectPr w:rsidR="00894423" w:rsidRPr="00AF0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C4570"/>
    <w:multiLevelType w:val="multilevel"/>
    <w:tmpl w:val="1928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A6973"/>
    <w:multiLevelType w:val="multilevel"/>
    <w:tmpl w:val="4E68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A64C0"/>
    <w:multiLevelType w:val="multilevel"/>
    <w:tmpl w:val="BCAC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3258B"/>
    <w:multiLevelType w:val="multilevel"/>
    <w:tmpl w:val="EDB8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47"/>
    <w:rsid w:val="00894423"/>
    <w:rsid w:val="00AF0147"/>
    <w:rsid w:val="00B72406"/>
    <w:rsid w:val="00D1344D"/>
    <w:rsid w:val="00F7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0795"/>
  <w15:chartTrackingRefBased/>
  <w15:docId w15:val="{AE766FCA-D544-4686-A224-6D931756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F01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01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taAnalysis">
    <w:name w:val="Data Analysis"/>
    <w:basedOn w:val="TableNormal"/>
    <w:uiPriority w:val="99"/>
    <w:rsid w:val="00F75C85"/>
    <w:pPr>
      <w:spacing w:after="0" w:line="240" w:lineRule="auto"/>
    </w:pPr>
    <w:rPr>
      <w:rFonts w:ascii="Arial" w:eastAsia="SimSun" w:hAnsi="Arial" w:cs="Times New Roman"/>
      <w:szCs w:val="20"/>
    </w:rPr>
    <w:tblPr>
      <w:tblBorders>
        <w:bottom w:val="single" w:sz="6" w:space="0" w:color="auto"/>
      </w:tblBorders>
    </w:tblPr>
    <w:tblStylePr w:type="firstRow">
      <w:tblPr/>
      <w:tcPr>
        <w:tcBorders>
          <w:top w:val="nil"/>
          <w:bottom w:val="single" w:sz="6" w:space="0" w:color="auto"/>
        </w:tcBorders>
      </w:tcPr>
    </w:tblStylePr>
  </w:style>
  <w:style w:type="table" w:customStyle="1" w:styleId="Professional">
    <w:name w:val="Professional"/>
    <w:basedOn w:val="TableNormal"/>
    <w:uiPriority w:val="99"/>
    <w:rsid w:val="00D1344D"/>
    <w:pPr>
      <w:spacing w:after="0" w:line="240" w:lineRule="auto"/>
    </w:pPr>
    <w:tblPr>
      <w:tblBorders>
        <w:bottom w:val="single" w:sz="4" w:space="0" w:color="auto"/>
      </w:tblBorders>
    </w:tblPr>
    <w:tblStylePr w:type="firstRow">
      <w:tblPr/>
      <w:tcPr>
        <w:tcBorders>
          <w:bottom w:val="single" w:sz="4" w:space="0" w:color="auto"/>
        </w:tcBorders>
      </w:tcPr>
    </w:tblStylePr>
  </w:style>
  <w:style w:type="character" w:customStyle="1" w:styleId="Heading3Char">
    <w:name w:val="Heading 3 Char"/>
    <w:basedOn w:val="DefaultParagraphFont"/>
    <w:link w:val="Heading3"/>
    <w:uiPriority w:val="9"/>
    <w:rsid w:val="00AF01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014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F01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1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064051">
      <w:bodyDiv w:val="1"/>
      <w:marLeft w:val="0"/>
      <w:marRight w:val="0"/>
      <w:marTop w:val="0"/>
      <w:marBottom w:val="0"/>
      <w:divBdr>
        <w:top w:val="none" w:sz="0" w:space="0" w:color="auto"/>
        <w:left w:val="none" w:sz="0" w:space="0" w:color="auto"/>
        <w:bottom w:val="none" w:sz="0" w:space="0" w:color="auto"/>
        <w:right w:val="none" w:sz="0" w:space="0" w:color="auto"/>
      </w:divBdr>
    </w:div>
    <w:div w:id="200253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2025-06-09T14:10:00Z</dcterms:created>
  <dcterms:modified xsi:type="dcterms:W3CDTF">2025-06-09T14:22:00Z</dcterms:modified>
</cp:coreProperties>
</file>