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BCB" w:rsidRDefault="00F43BCB" w:rsidP="00F43BCB">
      <w:pPr>
        <w:spacing w:before="100" w:after="200" w:line="276" w:lineRule="auto"/>
        <w:rPr>
          <w:rFonts w:ascii="Calibri" w:eastAsia="Times New Roman" w:hAnsi="Calibri" w:cs="Times New Roman"/>
          <w:sz w:val="20"/>
          <w:szCs w:val="20"/>
        </w:rPr>
      </w:pPr>
    </w:p>
    <w:p w:rsidR="00760E32" w:rsidRDefault="00760E32" w:rsidP="00F43BCB">
      <w:pPr>
        <w:spacing w:before="100" w:after="200" w:line="276" w:lineRule="auto"/>
        <w:rPr>
          <w:rFonts w:ascii="Calibri" w:eastAsia="Times New Roman" w:hAnsi="Calibri" w:cs="Times New Roman"/>
          <w:sz w:val="20"/>
          <w:szCs w:val="20"/>
        </w:rPr>
      </w:pPr>
    </w:p>
    <w:p w:rsidR="00760E32" w:rsidRPr="00F43BCB" w:rsidRDefault="00760E32" w:rsidP="00F43BCB">
      <w:pPr>
        <w:spacing w:before="100" w:after="200" w:line="276" w:lineRule="auto"/>
        <w:rPr>
          <w:rFonts w:ascii="Calibri" w:eastAsia="Times New Roman" w:hAnsi="Calibri" w:cs="Times New Roman"/>
          <w:sz w:val="20"/>
          <w:szCs w:val="20"/>
        </w:rPr>
      </w:pPr>
    </w:p>
    <w:p w:rsidR="006414B8" w:rsidRPr="00760E32" w:rsidRDefault="00290DAE">
      <w:pPr>
        <w:rPr>
          <w:sz w:val="56"/>
          <w:szCs w:val="56"/>
        </w:rPr>
      </w:pPr>
      <w:r>
        <w:rPr>
          <w:noProof/>
        </w:rPr>
        <mc:AlternateContent>
          <mc:Choice Requires="wps">
            <w:drawing>
              <wp:anchor distT="0" distB="0" distL="114300" distR="114300" simplePos="0" relativeHeight="251659264" behindDoc="0" locked="0" layoutInCell="1" allowOverlap="1" wp14:anchorId="0B3BB00D" wp14:editId="0BDDA38A">
                <wp:simplePos x="0" y="0"/>
                <wp:positionH relativeFrom="margin">
                  <wp:align>center</wp:align>
                </wp:positionH>
                <wp:positionV relativeFrom="paragraph">
                  <wp:posOffset>9525</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064D7D" w:rsidRDefault="00064D7D" w:rsidP="00290DAE">
                            <w:pPr>
                              <w:spacing w:after="0" w:line="276" w:lineRule="auto"/>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90DAE">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Voiceless Victims:</w:t>
                            </w:r>
                          </w:p>
                          <w:p w:rsidR="00064D7D" w:rsidRPr="00290DAE" w:rsidRDefault="00064D7D" w:rsidP="00290DAE">
                            <w:pPr>
                              <w:spacing w:after="0" w:line="276" w:lineRule="auto"/>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064D7D" w:rsidRPr="00290DAE" w:rsidRDefault="00064D7D" w:rsidP="00290DAE">
                            <w:pPr>
                              <w:spacing w:after="0" w:line="276" w:lineRule="auto"/>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90DAE">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Wards of the Court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B3BB00D" id="_x0000_t202" coordsize="21600,21600" o:spt="202" path="m,l,21600r21600,l21600,xe">
                <v:stroke joinstyle="miter"/>
                <v:path gradientshapeok="t" o:connecttype="rect"/>
              </v:shapetype>
              <v:shape id="Text Box 1" o:spid="_x0000_s1026" type="#_x0000_t202" style="position:absolute;margin-left:0;margin-top:.7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" filled="f" stroked="f">
                <v:textbox style="mso-fit-shape-to-text:t">
                  <w:txbxContent>
                    <w:p w:rsidR="00064D7D" w:rsidRDefault="00064D7D" w:rsidP="00290DAE">
                      <w:pPr>
                        <w:spacing w:after="0" w:line="276" w:lineRule="auto"/>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90DAE">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Voiceless Victims:</w:t>
                      </w:r>
                    </w:p>
                    <w:p w:rsidR="00064D7D" w:rsidRPr="00290DAE" w:rsidRDefault="00064D7D" w:rsidP="00290DAE">
                      <w:pPr>
                        <w:spacing w:after="0" w:line="276" w:lineRule="auto"/>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064D7D" w:rsidRPr="00290DAE" w:rsidRDefault="00064D7D" w:rsidP="00290DAE">
                      <w:pPr>
                        <w:spacing w:after="0" w:line="276" w:lineRule="auto"/>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90DAE">
                        <w:rPr>
                          <w:rFonts w:ascii="Times New Roman" w:eastAsia="SimSun" w:hAnsi="Times New Roman" w:cs="Times New Roman"/>
                          <w:b/>
                          <w:color w:val="0000CC"/>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Wards of the Court</w:t>
                      </w:r>
                    </w:p>
                  </w:txbxContent>
                </v:textbox>
                <w10:wrap type="square" anchorx="margin"/>
              </v:shape>
            </w:pict>
          </mc:Fallback>
        </mc:AlternateContent>
      </w:r>
    </w:p>
    <w:p w:rsidR="00F43BCB" w:rsidRDefault="00F43BCB"/>
    <w:p w:rsidR="00F43BCB" w:rsidRDefault="00F43BCB"/>
    <w:p w:rsidR="00F43BCB" w:rsidRDefault="00F43BCB"/>
    <w:p w:rsidR="00F43BCB" w:rsidRDefault="00F43BCB"/>
    <w:p w:rsidR="00F43BCB" w:rsidRDefault="00F43BCB"/>
    <w:p w:rsidR="00F43BCB" w:rsidRDefault="00F43BCB"/>
    <w:p w:rsidR="00F43BCB" w:rsidRDefault="00F43BCB"/>
    <w:p w:rsidR="00F43BCB" w:rsidRDefault="00F43BCB"/>
    <w:p w:rsidR="00F43BCB" w:rsidRDefault="00F43BCB" w:rsidP="00A1567E">
      <w:pPr>
        <w:spacing w:after="0" w:line="240" w:lineRule="auto"/>
        <w:jc w:val="center"/>
        <w:rPr>
          <w:rFonts w:ascii="Times New Roman" w:eastAsia="Times New Roman" w:hAnsi="Times New Roman" w:cs="Times New Roman"/>
          <w:b/>
          <w:sz w:val="36"/>
          <w:szCs w:val="36"/>
        </w:rPr>
      </w:pPr>
      <w:r w:rsidRPr="00290DAE">
        <w:rPr>
          <w:rFonts w:ascii="Times New Roman" w:eastAsia="Times New Roman" w:hAnsi="Times New Roman" w:cs="Times New Roman"/>
          <w:b/>
          <w:sz w:val="36"/>
          <w:szCs w:val="36"/>
        </w:rPr>
        <w:t xml:space="preserve">Medical Whistleblower Advocacy Network </w:t>
      </w:r>
    </w:p>
    <w:p w:rsidR="00A14718" w:rsidRPr="00A14718" w:rsidRDefault="009E0285" w:rsidP="00A1567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3/16</w:t>
      </w:r>
      <w:r w:rsidR="00A14718">
        <w:rPr>
          <w:rFonts w:ascii="Times New Roman" w:eastAsia="Times New Roman" w:hAnsi="Times New Roman" w:cs="Times New Roman"/>
          <w:sz w:val="24"/>
          <w:szCs w:val="24"/>
        </w:rPr>
        <w:t>/15</w:t>
      </w:r>
    </w:p>
    <w:p w:rsidR="00F43BCB" w:rsidRPr="00F43BCB" w:rsidRDefault="00F43BCB" w:rsidP="00A1567E">
      <w:pPr>
        <w:spacing w:after="0" w:line="240" w:lineRule="auto"/>
        <w:jc w:val="center"/>
        <w:rPr>
          <w:rFonts w:ascii="Times New Roman" w:eastAsia="Times New Roman" w:hAnsi="Times New Roman" w:cs="Times New Roman"/>
          <w:sz w:val="24"/>
          <w:szCs w:val="24"/>
        </w:rPr>
      </w:pPr>
      <w:r w:rsidRPr="00F43BCB">
        <w:rPr>
          <w:rFonts w:ascii="Times New Roman" w:eastAsia="Times New Roman" w:hAnsi="Times New Roman" w:cs="Times New Roman"/>
          <w:sz w:val="24"/>
          <w:szCs w:val="24"/>
        </w:rPr>
        <w:t>Contact Information: Dr. Janet Parker DVM, Executive Director</w:t>
      </w:r>
    </w:p>
    <w:p w:rsidR="00F43BCB" w:rsidRPr="00F43BCB" w:rsidRDefault="00F43BCB" w:rsidP="00A1567E">
      <w:pPr>
        <w:spacing w:after="0" w:line="240" w:lineRule="auto"/>
        <w:jc w:val="center"/>
        <w:rPr>
          <w:rFonts w:ascii="Times New Roman" w:eastAsia="Times New Roman" w:hAnsi="Times New Roman" w:cs="Times New Roman"/>
          <w:sz w:val="24"/>
          <w:szCs w:val="24"/>
        </w:rPr>
      </w:pPr>
      <w:r w:rsidRPr="00F43BCB">
        <w:rPr>
          <w:rFonts w:ascii="Times New Roman" w:eastAsia="Times New Roman" w:hAnsi="Times New Roman" w:cs="Times New Roman"/>
          <w:sz w:val="24"/>
          <w:szCs w:val="24"/>
        </w:rPr>
        <w:t>P.O. Box 42700, Washington, DC 20015</w:t>
      </w:r>
    </w:p>
    <w:p w:rsidR="00F43BCB" w:rsidRPr="00F43BCB" w:rsidRDefault="00F43BCB" w:rsidP="00A1567E">
      <w:pPr>
        <w:spacing w:after="0" w:line="240" w:lineRule="auto"/>
        <w:jc w:val="center"/>
        <w:rPr>
          <w:rFonts w:ascii="Times New Roman" w:eastAsia="Times New Roman" w:hAnsi="Times New Roman" w:cs="Times New Roman"/>
          <w:sz w:val="24"/>
          <w:szCs w:val="24"/>
        </w:rPr>
      </w:pPr>
    </w:p>
    <w:p w:rsidR="00F43BCB" w:rsidRDefault="00064D7D" w:rsidP="00A1567E">
      <w:pPr>
        <w:spacing w:after="0" w:line="240" w:lineRule="auto"/>
        <w:jc w:val="center"/>
        <w:rPr>
          <w:rFonts w:ascii="Times New Roman" w:eastAsia="Times New Roman" w:hAnsi="Times New Roman" w:cs="Times New Roman"/>
          <w:sz w:val="24"/>
          <w:szCs w:val="24"/>
        </w:rPr>
      </w:pPr>
      <w:hyperlink r:id="rId8" w:history="1">
        <w:r w:rsidR="00907195" w:rsidRPr="006065B6">
          <w:rPr>
            <w:rStyle w:val="Hyperlink"/>
            <w:rFonts w:ascii="Times New Roman" w:eastAsia="Times New Roman" w:hAnsi="Times New Roman" w:cs="Times New Roman"/>
            <w:sz w:val="24"/>
            <w:szCs w:val="24"/>
          </w:rPr>
          <w:t>http://medicalwhistleblowernetwork.jigsy.com/</w:t>
        </w:r>
      </w:hyperlink>
    </w:p>
    <w:p w:rsidR="00907195" w:rsidRDefault="00907195" w:rsidP="00A1567E">
      <w:pPr>
        <w:spacing w:after="0" w:line="240" w:lineRule="auto"/>
        <w:jc w:val="center"/>
        <w:rPr>
          <w:rFonts w:ascii="Times New Roman" w:eastAsia="Times New Roman" w:hAnsi="Times New Roman" w:cs="Times New Roman"/>
          <w:sz w:val="24"/>
          <w:szCs w:val="24"/>
        </w:rPr>
      </w:pPr>
    </w:p>
    <w:p w:rsidR="00290DAE" w:rsidRDefault="00290DAE" w:rsidP="00A1567E">
      <w:pPr>
        <w:spacing w:after="0" w:line="240" w:lineRule="auto"/>
        <w:jc w:val="center"/>
        <w:rPr>
          <w:rFonts w:ascii="Times New Roman" w:eastAsia="Times New Roman" w:hAnsi="Times New Roman" w:cs="Times New Roman"/>
          <w:sz w:val="24"/>
          <w:szCs w:val="24"/>
        </w:rPr>
      </w:pPr>
    </w:p>
    <w:p w:rsidR="002C7F1D" w:rsidRDefault="002C7F1D" w:rsidP="00A1567E">
      <w:pPr>
        <w:spacing w:after="0" w:line="240" w:lineRule="auto"/>
        <w:jc w:val="center"/>
        <w:rPr>
          <w:rFonts w:ascii="Times New Roman" w:eastAsia="Times New Roman" w:hAnsi="Times New Roman" w:cs="Times New Roman"/>
          <w:sz w:val="24"/>
          <w:szCs w:val="24"/>
        </w:rPr>
      </w:pPr>
    </w:p>
    <w:sdt>
      <w:sdtPr>
        <w:rPr>
          <w:rFonts w:asciiTheme="minorHAnsi" w:eastAsiaTheme="minorHAnsi" w:hAnsiTheme="minorHAnsi" w:cstheme="minorBidi"/>
          <w:caps w:val="0"/>
          <w:color w:val="auto"/>
          <w:spacing w:val="0"/>
        </w:rPr>
        <w:id w:val="795491048"/>
        <w:docPartObj>
          <w:docPartGallery w:val="Table of Contents"/>
          <w:docPartUnique/>
        </w:docPartObj>
      </w:sdtPr>
      <w:sdtEndPr>
        <w:rPr>
          <w:b/>
          <w:bCs/>
          <w:noProof/>
          <w:sz w:val="18"/>
          <w:szCs w:val="18"/>
        </w:rPr>
      </w:sdtEndPr>
      <w:sdtContent>
        <w:p w:rsidR="0080612C" w:rsidRDefault="0080612C">
          <w:pPr>
            <w:pStyle w:val="TOCHeading"/>
          </w:pPr>
          <w:r>
            <w:t>Table of Contents</w:t>
          </w:r>
        </w:p>
        <w:p w:rsidR="008319BF" w:rsidRPr="00713A8E" w:rsidRDefault="0080612C">
          <w:pPr>
            <w:pStyle w:val="TOC1"/>
            <w:rPr>
              <w:rFonts w:asciiTheme="minorHAnsi" w:eastAsiaTheme="minorEastAsia" w:hAnsiTheme="minorHAnsi" w:cstheme="minorBidi"/>
              <w:b w:val="0"/>
              <w:spacing w:val="0"/>
              <w:sz w:val="20"/>
              <w:szCs w:val="20"/>
            </w:rPr>
          </w:pPr>
          <w:r w:rsidRPr="008319BF">
            <w:rPr>
              <w:rFonts w:asciiTheme="minorHAnsi" w:hAnsiTheme="minorHAnsi"/>
              <w:sz w:val="20"/>
              <w:szCs w:val="20"/>
            </w:rPr>
            <w:fldChar w:fldCharType="begin"/>
          </w:r>
          <w:r w:rsidRPr="008319BF">
            <w:rPr>
              <w:rFonts w:asciiTheme="minorHAnsi" w:hAnsiTheme="minorHAnsi"/>
              <w:sz w:val="20"/>
              <w:szCs w:val="20"/>
            </w:rPr>
            <w:instrText xml:space="preserve"> TOC \o "1-3" \h \z \u </w:instrText>
          </w:r>
          <w:r w:rsidRPr="008319BF">
            <w:rPr>
              <w:rFonts w:asciiTheme="minorHAnsi" w:hAnsiTheme="minorHAnsi"/>
              <w:sz w:val="20"/>
              <w:szCs w:val="20"/>
            </w:rPr>
            <w:fldChar w:fldCharType="separate"/>
          </w:r>
          <w:hyperlink w:anchor="_Toc414292300" w:history="1">
            <w:r w:rsidR="008319BF" w:rsidRPr="00713A8E">
              <w:rPr>
                <w:rStyle w:val="Hyperlink"/>
                <w:rFonts w:asciiTheme="minorHAnsi" w:hAnsiTheme="minorHAnsi"/>
                <w:caps/>
                <w:sz w:val="20"/>
                <w:szCs w:val="20"/>
              </w:rPr>
              <w:t>I. What is Psychiatric Torture?</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_Toc414292300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2</w:t>
            </w:r>
            <w:r w:rsidR="008319BF" w:rsidRPr="00713A8E">
              <w:rPr>
                <w:rFonts w:asciiTheme="minorHAnsi" w:hAnsiTheme="minorHAnsi"/>
                <w:webHidden/>
                <w:sz w:val="20"/>
                <w:szCs w:val="20"/>
              </w:rPr>
              <w:fldChar w:fldCharType="end"/>
            </w:r>
          </w:hyperlink>
        </w:p>
        <w:p w:rsidR="008319BF" w:rsidRPr="00713A8E" w:rsidRDefault="00064D7D">
          <w:pPr>
            <w:pStyle w:val="TOC1"/>
            <w:rPr>
              <w:rFonts w:asciiTheme="minorHAnsi" w:eastAsiaTheme="minorEastAsia" w:hAnsiTheme="minorHAnsi" w:cstheme="minorBidi"/>
              <w:b w:val="0"/>
              <w:spacing w:val="0"/>
              <w:sz w:val="20"/>
              <w:szCs w:val="20"/>
            </w:rPr>
          </w:pPr>
          <w:hyperlink w:anchor="_Toc414292301" w:history="1">
            <w:r w:rsidR="005059BC" w:rsidRPr="00713A8E">
              <w:rPr>
                <w:rStyle w:val="Hyperlink"/>
                <w:rFonts w:asciiTheme="minorHAnsi" w:hAnsiTheme="minorHAnsi"/>
                <w:sz w:val="20"/>
                <w:szCs w:val="20"/>
              </w:rPr>
              <w:t xml:space="preserve">II. OFF LABEL RESEARCH ON </w:t>
            </w:r>
            <w:r w:rsidR="008319BF" w:rsidRPr="00713A8E">
              <w:rPr>
                <w:rStyle w:val="Hyperlink"/>
                <w:rFonts w:asciiTheme="minorHAnsi" w:hAnsiTheme="minorHAnsi"/>
                <w:sz w:val="20"/>
                <w:szCs w:val="20"/>
              </w:rPr>
              <w:t>WARDS OF THE COURT</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_Toc414292301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3</w:t>
            </w:r>
            <w:r w:rsidR="008319BF" w:rsidRPr="00713A8E">
              <w:rPr>
                <w:rFonts w:asciiTheme="minorHAnsi" w:hAnsiTheme="minorHAnsi"/>
                <w:webHidden/>
                <w:sz w:val="20"/>
                <w:szCs w:val="20"/>
              </w:rPr>
              <w:fldChar w:fldCharType="end"/>
            </w:r>
          </w:hyperlink>
        </w:p>
        <w:p w:rsidR="008319BF" w:rsidRPr="00713A8E" w:rsidRDefault="00064D7D">
          <w:pPr>
            <w:pStyle w:val="TOC1"/>
            <w:rPr>
              <w:rFonts w:asciiTheme="minorHAnsi" w:eastAsiaTheme="minorEastAsia" w:hAnsiTheme="minorHAnsi" w:cstheme="minorBidi"/>
              <w:b w:val="0"/>
              <w:spacing w:val="0"/>
              <w:sz w:val="20"/>
              <w:szCs w:val="20"/>
            </w:rPr>
          </w:pPr>
          <w:hyperlink w:anchor="_Toc414292302" w:history="1">
            <w:r w:rsidR="005059BC" w:rsidRPr="00713A8E">
              <w:rPr>
                <w:rStyle w:val="Hyperlink"/>
                <w:rFonts w:asciiTheme="minorHAnsi" w:hAnsiTheme="minorHAnsi"/>
                <w:caps/>
                <w:sz w:val="20"/>
                <w:szCs w:val="20"/>
              </w:rPr>
              <w:t xml:space="preserve">III. </w:t>
            </w:r>
            <w:r w:rsidR="008319BF" w:rsidRPr="00713A8E">
              <w:rPr>
                <w:rStyle w:val="Hyperlink"/>
                <w:rFonts w:asciiTheme="minorHAnsi" w:hAnsiTheme="minorHAnsi"/>
                <w:caps/>
                <w:sz w:val="20"/>
                <w:szCs w:val="20"/>
              </w:rPr>
              <w:t>Current situation</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_Toc414292302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6</w:t>
            </w:r>
            <w:r w:rsidR="008319BF" w:rsidRPr="00713A8E">
              <w:rPr>
                <w:rFonts w:asciiTheme="minorHAnsi" w:hAnsiTheme="minorHAnsi"/>
                <w:webHidden/>
                <w:sz w:val="20"/>
                <w:szCs w:val="20"/>
              </w:rPr>
              <w:fldChar w:fldCharType="end"/>
            </w:r>
          </w:hyperlink>
        </w:p>
        <w:p w:rsidR="008319BF" w:rsidRPr="00713A8E" w:rsidRDefault="00064D7D">
          <w:pPr>
            <w:pStyle w:val="TOC1"/>
            <w:rPr>
              <w:rFonts w:asciiTheme="minorHAnsi" w:eastAsiaTheme="minorEastAsia" w:hAnsiTheme="minorHAnsi" w:cstheme="minorBidi"/>
              <w:b w:val="0"/>
              <w:spacing w:val="0"/>
              <w:sz w:val="20"/>
              <w:szCs w:val="20"/>
            </w:rPr>
          </w:pPr>
          <w:hyperlink w:anchor="_Toc414292303" w:history="1">
            <w:r w:rsidR="005059BC" w:rsidRPr="00713A8E">
              <w:rPr>
                <w:rStyle w:val="Hyperlink"/>
                <w:rFonts w:asciiTheme="minorHAnsi" w:hAnsiTheme="minorHAnsi"/>
                <w:caps/>
                <w:sz w:val="20"/>
                <w:szCs w:val="20"/>
              </w:rPr>
              <w:t xml:space="preserve">iV. </w:t>
            </w:r>
            <w:r w:rsidR="008319BF" w:rsidRPr="00713A8E">
              <w:rPr>
                <w:rStyle w:val="Hyperlink"/>
                <w:rFonts w:asciiTheme="minorHAnsi" w:hAnsiTheme="minorHAnsi"/>
                <w:caps/>
                <w:sz w:val="20"/>
                <w:szCs w:val="20"/>
              </w:rPr>
              <w:t>Review of Human Rights Involved</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_Toc414292303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7</w:t>
            </w:r>
            <w:r w:rsidR="008319BF" w:rsidRPr="00713A8E">
              <w:rPr>
                <w:rFonts w:asciiTheme="minorHAnsi" w:hAnsiTheme="minorHAnsi"/>
                <w:webHidden/>
                <w:sz w:val="20"/>
                <w:szCs w:val="20"/>
              </w:rPr>
              <w:fldChar w:fldCharType="end"/>
            </w:r>
          </w:hyperlink>
        </w:p>
        <w:p w:rsidR="008319BF" w:rsidRPr="00713A8E" w:rsidRDefault="00064D7D">
          <w:pPr>
            <w:pStyle w:val="TOC2"/>
            <w:rPr>
              <w:rFonts w:asciiTheme="minorHAnsi" w:eastAsiaTheme="minorEastAsia" w:hAnsiTheme="minorHAnsi" w:cstheme="minorBidi"/>
              <w:noProof/>
            </w:rPr>
          </w:pPr>
          <w:hyperlink w:anchor="_Toc414292304" w:history="1">
            <w:r w:rsidR="005059BC" w:rsidRPr="00713A8E">
              <w:rPr>
                <w:rStyle w:val="Hyperlink"/>
                <w:rFonts w:asciiTheme="minorHAnsi" w:hAnsiTheme="minorHAnsi"/>
                <w:noProof/>
                <w:spacing w:val="15"/>
              </w:rPr>
              <w:t>Protection Of Human Subjects</w:t>
            </w:r>
            <w:r w:rsidR="005059BC"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_Toc414292304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7</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05" w:history="1">
            <w:r w:rsidR="005059BC" w:rsidRPr="00713A8E">
              <w:rPr>
                <w:rStyle w:val="Hyperlink"/>
                <w:rFonts w:asciiTheme="minorHAnsi" w:hAnsiTheme="minorHAnsi"/>
                <w:noProof/>
                <w:spacing w:val="15"/>
              </w:rPr>
              <w:t>Informed Consent</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_Toc414292305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8</w:t>
            </w:r>
            <w:r w:rsidR="008319BF" w:rsidRPr="00713A8E">
              <w:rPr>
                <w:rFonts w:asciiTheme="minorHAnsi" w:hAnsiTheme="minorHAnsi"/>
                <w:noProof/>
                <w:webHidden/>
              </w:rPr>
              <w:fldChar w:fldCharType="end"/>
            </w:r>
          </w:hyperlink>
        </w:p>
        <w:p w:rsidR="008319BF" w:rsidRPr="00713A8E" w:rsidRDefault="00064D7D">
          <w:pPr>
            <w:pStyle w:val="TOC1"/>
            <w:rPr>
              <w:rFonts w:asciiTheme="minorHAnsi" w:eastAsiaTheme="minorEastAsia" w:hAnsiTheme="minorHAnsi" w:cstheme="minorBidi"/>
              <w:b w:val="0"/>
              <w:spacing w:val="0"/>
              <w:sz w:val="20"/>
              <w:szCs w:val="20"/>
            </w:rPr>
          </w:pPr>
          <w:hyperlink w:anchor="_Toc414292306" w:history="1">
            <w:r w:rsidR="00AF50F3" w:rsidRPr="00713A8E">
              <w:rPr>
                <w:rStyle w:val="Hyperlink"/>
                <w:rFonts w:asciiTheme="minorHAnsi" w:hAnsiTheme="minorHAnsi"/>
                <w:caps/>
                <w:sz w:val="20"/>
                <w:szCs w:val="20"/>
              </w:rPr>
              <w:t xml:space="preserve">V. </w:t>
            </w:r>
            <w:r w:rsidR="008319BF" w:rsidRPr="00713A8E">
              <w:rPr>
                <w:rStyle w:val="Hyperlink"/>
                <w:rFonts w:asciiTheme="minorHAnsi" w:hAnsiTheme="minorHAnsi"/>
                <w:caps/>
                <w:sz w:val="20"/>
                <w:szCs w:val="20"/>
              </w:rPr>
              <w:t>Lack of effective, independent and impartial investigations</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_Toc414292306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10</w:t>
            </w:r>
            <w:r w:rsidR="008319BF" w:rsidRPr="00713A8E">
              <w:rPr>
                <w:rFonts w:asciiTheme="minorHAnsi" w:hAnsiTheme="minorHAnsi"/>
                <w:webHidden/>
                <w:sz w:val="20"/>
                <w:szCs w:val="20"/>
              </w:rPr>
              <w:fldChar w:fldCharType="end"/>
            </w:r>
          </w:hyperlink>
        </w:p>
        <w:p w:rsidR="008319BF" w:rsidRPr="00713A8E" w:rsidRDefault="00064D7D">
          <w:pPr>
            <w:pStyle w:val="TOC2"/>
            <w:rPr>
              <w:rFonts w:asciiTheme="minorHAnsi" w:eastAsiaTheme="minorEastAsia" w:hAnsiTheme="minorHAnsi" w:cstheme="minorBidi"/>
              <w:noProof/>
            </w:rPr>
          </w:pPr>
          <w:hyperlink w:anchor="_Toc414292307" w:history="1">
            <w:r w:rsidR="008319BF" w:rsidRPr="00713A8E">
              <w:rPr>
                <w:rStyle w:val="Hyperlink"/>
                <w:rFonts w:asciiTheme="minorHAnsi" w:hAnsiTheme="minorHAnsi"/>
                <w:noProof/>
              </w:rPr>
              <w:t>The Human Rights and Special Prosecutions Section (HRSP)</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_Toc414292307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10</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08" w:history="1">
            <w:r w:rsidR="008319BF" w:rsidRPr="00713A8E">
              <w:rPr>
                <w:rStyle w:val="Hyperlink"/>
                <w:rFonts w:asciiTheme="minorHAnsi" w:hAnsiTheme="minorHAnsi"/>
                <w:noProof/>
              </w:rPr>
              <w:t>The Civil Rights of Institutionalized Persons Act (CRIPA)</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_Toc414292308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10</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09" w:history="1">
            <w:r w:rsidR="004678A3" w:rsidRPr="00713A8E">
              <w:rPr>
                <w:rStyle w:val="Hyperlink"/>
                <w:rFonts w:asciiTheme="minorHAnsi" w:hAnsiTheme="minorHAnsi"/>
                <w:noProof/>
              </w:rPr>
              <w:t>CRIPA does not Investigate Private F</w:t>
            </w:r>
            <w:r w:rsidR="008319BF" w:rsidRPr="00713A8E">
              <w:rPr>
                <w:rStyle w:val="Hyperlink"/>
                <w:rFonts w:asciiTheme="minorHAnsi" w:hAnsiTheme="minorHAnsi"/>
                <w:noProof/>
              </w:rPr>
              <w:t>acilities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_Toc414292309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11</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10" w:history="1">
            <w:r w:rsidR="008319BF" w:rsidRPr="00713A8E">
              <w:rPr>
                <w:rStyle w:val="Hyperlink"/>
                <w:rFonts w:asciiTheme="minorHAnsi" w:hAnsiTheme="minorHAnsi"/>
                <w:noProof/>
              </w:rPr>
              <w:t>CRIPA d</w:t>
            </w:r>
            <w:r w:rsidR="004678A3" w:rsidRPr="00713A8E">
              <w:rPr>
                <w:rStyle w:val="Hyperlink"/>
                <w:rFonts w:asciiTheme="minorHAnsi" w:hAnsiTheme="minorHAnsi"/>
                <w:noProof/>
              </w:rPr>
              <w:t>oes not Investigate Individual Complaints of Abuse and M</w:t>
            </w:r>
            <w:r w:rsidR="008319BF" w:rsidRPr="00713A8E">
              <w:rPr>
                <w:rStyle w:val="Hyperlink"/>
                <w:rFonts w:asciiTheme="minorHAnsi" w:hAnsiTheme="minorHAnsi"/>
                <w:noProof/>
              </w:rPr>
              <w:t>istreatment</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_Toc414292310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11</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11" w:history="1">
            <w:r w:rsidR="008319BF" w:rsidRPr="00713A8E">
              <w:rPr>
                <w:rStyle w:val="Hyperlink"/>
                <w:rFonts w:asciiTheme="minorHAnsi" w:hAnsiTheme="minorHAnsi"/>
                <w:noProof/>
              </w:rPr>
              <w:t xml:space="preserve">Under-reporting of </w:t>
            </w:r>
            <w:r w:rsidR="004678A3" w:rsidRPr="00713A8E">
              <w:rPr>
                <w:rStyle w:val="Hyperlink"/>
                <w:rFonts w:asciiTheme="minorHAnsi" w:hAnsiTheme="minorHAnsi"/>
                <w:noProof/>
              </w:rPr>
              <w:t>A</w:t>
            </w:r>
            <w:r w:rsidR="008319BF" w:rsidRPr="00713A8E">
              <w:rPr>
                <w:rStyle w:val="Hyperlink"/>
                <w:rFonts w:asciiTheme="minorHAnsi" w:hAnsiTheme="minorHAnsi"/>
                <w:noProof/>
              </w:rPr>
              <w:t>buse</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_Toc414292311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11</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12" w:history="1">
            <w:r w:rsidR="004678A3" w:rsidRPr="00713A8E">
              <w:rPr>
                <w:rStyle w:val="Hyperlink"/>
                <w:rFonts w:asciiTheme="minorHAnsi" w:eastAsia="Calibri" w:hAnsiTheme="minorHAnsi"/>
                <w:noProof/>
              </w:rPr>
              <w:t>Intimidation of V</w:t>
            </w:r>
            <w:r w:rsidR="008319BF" w:rsidRPr="00713A8E">
              <w:rPr>
                <w:rStyle w:val="Hyperlink"/>
                <w:rFonts w:asciiTheme="minorHAnsi" w:eastAsia="Calibri" w:hAnsiTheme="minorHAnsi"/>
                <w:noProof/>
              </w:rPr>
              <w:t>ictims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_Toc414292312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12</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13" w:history="1">
            <w:r w:rsidR="00F57B3C" w:rsidRPr="00713A8E">
              <w:rPr>
                <w:rStyle w:val="Hyperlink"/>
                <w:rFonts w:asciiTheme="minorHAnsi" w:eastAsia="Calibri" w:hAnsiTheme="minorHAnsi"/>
                <w:noProof/>
              </w:rPr>
              <w:t>Difficulty P</w:t>
            </w:r>
            <w:r w:rsidR="008319BF" w:rsidRPr="00713A8E">
              <w:rPr>
                <w:rStyle w:val="Hyperlink"/>
                <w:rFonts w:asciiTheme="minorHAnsi" w:eastAsia="Calibri" w:hAnsiTheme="minorHAnsi"/>
                <w:noProof/>
              </w:rPr>
              <w:t>roving Psychiatric Torture allegations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_Toc414292313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12</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14" w:history="1">
            <w:r w:rsidR="008319BF" w:rsidRPr="00713A8E">
              <w:rPr>
                <w:rStyle w:val="Hyperlink"/>
                <w:rFonts w:asciiTheme="minorHAnsi" w:hAnsiTheme="minorHAnsi"/>
                <w:noProof/>
              </w:rPr>
              <w:t>Lack of Human Rights training of institution staff</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_Toc414292314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13</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15" w:history="1">
            <w:r w:rsidR="004678A3" w:rsidRPr="00713A8E">
              <w:rPr>
                <w:rStyle w:val="Hyperlink"/>
                <w:rFonts w:asciiTheme="minorHAnsi" w:hAnsiTheme="minorHAnsi"/>
                <w:noProof/>
              </w:rPr>
              <w:t>Victim Compliance with A</w:t>
            </w:r>
            <w:r w:rsidR="008319BF" w:rsidRPr="00713A8E">
              <w:rPr>
                <w:rStyle w:val="Hyperlink"/>
                <w:rFonts w:asciiTheme="minorHAnsi" w:hAnsiTheme="minorHAnsi"/>
                <w:noProof/>
              </w:rPr>
              <w:t>busers (Health Care providers)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_Toc414292315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13</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16" w:history="1">
            <w:r w:rsidR="008319BF" w:rsidRPr="00713A8E">
              <w:rPr>
                <w:rStyle w:val="Hyperlink"/>
                <w:rFonts w:asciiTheme="minorHAnsi" w:hAnsiTheme="minorHAnsi"/>
                <w:noProof/>
              </w:rPr>
              <w:t>CRIPA - Lengthy investigations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_Toc414292316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13</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17" w:history="1">
            <w:r w:rsidR="008319BF" w:rsidRPr="00713A8E">
              <w:rPr>
                <w:rStyle w:val="Hyperlink"/>
                <w:rFonts w:asciiTheme="minorHAnsi" w:hAnsiTheme="minorHAnsi"/>
                <w:noProof/>
              </w:rPr>
              <w:t>CRIPA Conciliation rather than litigation</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_Toc414292317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14</w:t>
            </w:r>
            <w:r w:rsidR="008319BF" w:rsidRPr="00713A8E">
              <w:rPr>
                <w:rFonts w:asciiTheme="minorHAnsi" w:hAnsiTheme="minorHAnsi"/>
                <w:noProof/>
                <w:webHidden/>
              </w:rPr>
              <w:fldChar w:fldCharType="end"/>
            </w:r>
          </w:hyperlink>
        </w:p>
        <w:p w:rsidR="008319BF" w:rsidRPr="00713A8E" w:rsidRDefault="00064D7D">
          <w:pPr>
            <w:pStyle w:val="TOC1"/>
            <w:rPr>
              <w:rFonts w:asciiTheme="minorHAnsi" w:eastAsiaTheme="minorEastAsia" w:hAnsiTheme="minorHAnsi" w:cstheme="minorBidi"/>
              <w:b w:val="0"/>
              <w:spacing w:val="0"/>
              <w:sz w:val="20"/>
              <w:szCs w:val="20"/>
            </w:rPr>
          </w:pPr>
          <w:hyperlink w:anchor="_Toc414292318" w:history="1">
            <w:r w:rsidR="00AF50F3" w:rsidRPr="00713A8E">
              <w:rPr>
                <w:rStyle w:val="Hyperlink"/>
                <w:rFonts w:asciiTheme="minorHAnsi" w:hAnsiTheme="minorHAnsi"/>
                <w:caps/>
                <w:sz w:val="20"/>
                <w:szCs w:val="20"/>
              </w:rPr>
              <w:t xml:space="preserve">VI. </w:t>
            </w:r>
            <w:r w:rsidR="008319BF" w:rsidRPr="00713A8E">
              <w:rPr>
                <w:rStyle w:val="Hyperlink"/>
                <w:rFonts w:asciiTheme="minorHAnsi" w:hAnsiTheme="minorHAnsi"/>
                <w:caps/>
                <w:sz w:val="20"/>
                <w:szCs w:val="20"/>
              </w:rPr>
              <w:t>Barriers to accountability and redress</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_Toc414292318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14</w:t>
            </w:r>
            <w:r w:rsidR="008319BF" w:rsidRPr="00713A8E">
              <w:rPr>
                <w:rFonts w:asciiTheme="minorHAnsi" w:hAnsiTheme="minorHAnsi"/>
                <w:webHidden/>
                <w:sz w:val="20"/>
                <w:szCs w:val="20"/>
              </w:rPr>
              <w:fldChar w:fldCharType="end"/>
            </w:r>
          </w:hyperlink>
        </w:p>
        <w:p w:rsidR="008319BF" w:rsidRPr="00713A8E" w:rsidRDefault="00064D7D">
          <w:pPr>
            <w:pStyle w:val="TOC2"/>
            <w:rPr>
              <w:rFonts w:asciiTheme="minorHAnsi" w:eastAsiaTheme="minorEastAsia" w:hAnsiTheme="minorHAnsi" w:cstheme="minorBidi"/>
              <w:noProof/>
            </w:rPr>
          </w:pPr>
          <w:hyperlink w:anchor="_Toc414292319" w:history="1">
            <w:r w:rsidR="004678A3" w:rsidRPr="00713A8E">
              <w:rPr>
                <w:rStyle w:val="Hyperlink"/>
                <w:rFonts w:asciiTheme="minorHAnsi" w:hAnsiTheme="minorHAnsi"/>
                <w:noProof/>
              </w:rPr>
              <w:t>Lack of Judicial Review of Guardianship C</w:t>
            </w:r>
            <w:r w:rsidR="008319BF" w:rsidRPr="00713A8E">
              <w:rPr>
                <w:rStyle w:val="Hyperlink"/>
                <w:rFonts w:asciiTheme="minorHAnsi" w:hAnsiTheme="minorHAnsi"/>
                <w:noProof/>
              </w:rPr>
              <w:t>ases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_Toc414292319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14</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20" w:history="1">
            <w:r w:rsidR="008319BF" w:rsidRPr="00713A8E">
              <w:rPr>
                <w:rStyle w:val="Hyperlink"/>
                <w:rFonts w:asciiTheme="minorHAnsi" w:hAnsiTheme="minorHAnsi"/>
                <w:noProof/>
              </w:rPr>
              <w:t>L</w:t>
            </w:r>
            <w:r w:rsidR="005059BC" w:rsidRPr="00713A8E">
              <w:rPr>
                <w:rStyle w:val="Hyperlink"/>
                <w:rFonts w:asciiTheme="minorHAnsi" w:hAnsiTheme="minorHAnsi"/>
                <w:noProof/>
              </w:rPr>
              <w:t>ack of Communication between FDA and Judges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_Toc414292320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15</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21" w:history="1">
            <w:r w:rsidR="008319BF" w:rsidRPr="00713A8E">
              <w:rPr>
                <w:rStyle w:val="Hyperlink"/>
                <w:rFonts w:asciiTheme="minorHAnsi" w:hAnsiTheme="minorHAnsi"/>
                <w:noProof/>
              </w:rPr>
              <w:t>Lack of Command Responsibility</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_Toc414292321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16</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22" w:history="1">
            <w:r w:rsidR="004678A3" w:rsidRPr="00713A8E">
              <w:rPr>
                <w:rStyle w:val="Hyperlink"/>
                <w:rFonts w:asciiTheme="minorHAnsi" w:hAnsiTheme="minorHAnsi"/>
                <w:noProof/>
              </w:rPr>
              <w:t>CRIPA -Lack of C</w:t>
            </w:r>
            <w:r w:rsidR="008319BF" w:rsidRPr="00713A8E">
              <w:rPr>
                <w:rStyle w:val="Hyperlink"/>
                <w:rFonts w:asciiTheme="minorHAnsi" w:hAnsiTheme="minorHAnsi"/>
                <w:noProof/>
              </w:rPr>
              <w:t>ommunication to the US Congress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_Toc414292322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16</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23" w:history="1">
            <w:r w:rsidR="008319BF" w:rsidRPr="00713A8E">
              <w:rPr>
                <w:rStyle w:val="Hyperlink"/>
                <w:rFonts w:asciiTheme="minorHAnsi" w:hAnsiTheme="minorHAnsi"/>
                <w:noProof/>
              </w:rPr>
              <w:t xml:space="preserve">Lack </w:t>
            </w:r>
            <w:r w:rsidR="004678A3" w:rsidRPr="00713A8E">
              <w:rPr>
                <w:rStyle w:val="Hyperlink"/>
                <w:rFonts w:asciiTheme="minorHAnsi" w:hAnsiTheme="minorHAnsi"/>
                <w:noProof/>
              </w:rPr>
              <w:t>of Coordination between Federal A</w:t>
            </w:r>
            <w:r w:rsidR="008319BF" w:rsidRPr="00713A8E">
              <w:rPr>
                <w:rStyle w:val="Hyperlink"/>
                <w:rFonts w:asciiTheme="minorHAnsi" w:hAnsiTheme="minorHAnsi"/>
                <w:noProof/>
              </w:rPr>
              <w:t>gencies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_Toc414292323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17</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24" w:history="1">
            <w:r w:rsidR="004678A3" w:rsidRPr="00713A8E">
              <w:rPr>
                <w:rStyle w:val="Hyperlink"/>
                <w:rFonts w:asciiTheme="minorHAnsi" w:hAnsiTheme="minorHAnsi"/>
                <w:noProof/>
              </w:rPr>
              <w:t>CRIPA -Lack of Public Publication of DOJ F</w:t>
            </w:r>
            <w:r w:rsidR="008319BF" w:rsidRPr="00713A8E">
              <w:rPr>
                <w:rStyle w:val="Hyperlink"/>
                <w:rFonts w:asciiTheme="minorHAnsi" w:hAnsiTheme="minorHAnsi"/>
                <w:noProof/>
              </w:rPr>
              <w:t>indings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_Toc414292324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17</w:t>
            </w:r>
            <w:r w:rsidR="008319BF" w:rsidRPr="00713A8E">
              <w:rPr>
                <w:rFonts w:asciiTheme="minorHAnsi" w:hAnsiTheme="minorHAnsi"/>
                <w:noProof/>
                <w:webHidden/>
              </w:rPr>
              <w:fldChar w:fldCharType="end"/>
            </w:r>
          </w:hyperlink>
        </w:p>
        <w:p w:rsidR="008319BF" w:rsidRPr="00713A8E" w:rsidRDefault="00064D7D">
          <w:pPr>
            <w:pStyle w:val="TOC1"/>
            <w:rPr>
              <w:rFonts w:asciiTheme="minorHAnsi" w:eastAsiaTheme="minorEastAsia" w:hAnsiTheme="minorHAnsi" w:cstheme="minorBidi"/>
              <w:b w:val="0"/>
              <w:spacing w:val="0"/>
              <w:sz w:val="20"/>
              <w:szCs w:val="20"/>
            </w:rPr>
          </w:pPr>
          <w:hyperlink w:anchor="_Toc414292325" w:history="1">
            <w:r w:rsidR="008319BF" w:rsidRPr="00713A8E">
              <w:rPr>
                <w:rStyle w:val="Hyperlink"/>
                <w:rFonts w:asciiTheme="minorHAnsi" w:hAnsiTheme="minorHAnsi"/>
                <w:sz w:val="20"/>
                <w:szCs w:val="20"/>
              </w:rPr>
              <w:t>VII. Vulnerable Populations</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_Toc414292325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17</w:t>
            </w:r>
            <w:r w:rsidR="008319BF" w:rsidRPr="00713A8E">
              <w:rPr>
                <w:rFonts w:asciiTheme="minorHAnsi" w:hAnsiTheme="minorHAnsi"/>
                <w:webHidden/>
                <w:sz w:val="20"/>
                <w:szCs w:val="20"/>
              </w:rPr>
              <w:fldChar w:fldCharType="end"/>
            </w:r>
          </w:hyperlink>
        </w:p>
        <w:p w:rsidR="008319BF" w:rsidRPr="00713A8E" w:rsidRDefault="00064D7D">
          <w:pPr>
            <w:pStyle w:val="TOC2"/>
            <w:rPr>
              <w:rFonts w:asciiTheme="minorHAnsi" w:eastAsiaTheme="minorEastAsia" w:hAnsiTheme="minorHAnsi" w:cstheme="minorBidi"/>
              <w:noProof/>
            </w:rPr>
          </w:pPr>
          <w:hyperlink w:anchor="_Toc414292326" w:history="1">
            <w:r w:rsidR="005059BC" w:rsidRPr="00713A8E">
              <w:rPr>
                <w:rStyle w:val="Hyperlink"/>
                <w:rFonts w:asciiTheme="minorHAnsi" w:eastAsia="Arial Unicode MS" w:hAnsiTheme="minorHAnsi"/>
                <w:noProof/>
                <w:spacing w:val="15"/>
              </w:rPr>
              <w:t>Wards Of The Court</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_Toc414292326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17</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27" w:history="1">
            <w:r w:rsidR="005059BC" w:rsidRPr="00713A8E">
              <w:rPr>
                <w:rStyle w:val="Hyperlink"/>
                <w:rFonts w:asciiTheme="minorHAnsi" w:eastAsia="Arial Unicode MS" w:hAnsiTheme="minorHAnsi"/>
                <w:noProof/>
              </w:rPr>
              <w:t>Prisoners</w:t>
            </w:r>
            <w:r w:rsidR="008319BF" w:rsidRPr="00713A8E">
              <w:rPr>
                <w:rStyle w:val="Hyperlink"/>
                <w:rFonts w:asciiTheme="minorHAnsi" w:eastAsia="Arial Unicode MS" w:hAnsiTheme="minorHAnsi"/>
                <w:noProof/>
              </w:rPr>
              <w:t xml:space="preserve"> and Detainees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_Toc414292327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19</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28" w:history="1">
            <w:r w:rsidR="005059BC" w:rsidRPr="00713A8E">
              <w:rPr>
                <w:rStyle w:val="Hyperlink"/>
                <w:rFonts w:asciiTheme="minorHAnsi" w:hAnsiTheme="minorHAnsi"/>
                <w:noProof/>
                <w:spacing w:val="15"/>
              </w:rPr>
              <w:t>Children And Youth</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_Toc414292328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21</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29" w:history="1">
            <w:r w:rsidR="005059BC" w:rsidRPr="00713A8E">
              <w:rPr>
                <w:rStyle w:val="Hyperlink"/>
                <w:rFonts w:asciiTheme="minorHAnsi" w:hAnsiTheme="minorHAnsi"/>
                <w:noProof/>
                <w:spacing w:val="15"/>
              </w:rPr>
              <w:t>Minorities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_Toc414292329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23</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30" w:history="1">
            <w:r w:rsidR="005059BC" w:rsidRPr="00713A8E">
              <w:rPr>
                <w:rStyle w:val="Hyperlink"/>
                <w:rFonts w:asciiTheme="minorHAnsi" w:hAnsiTheme="minorHAnsi"/>
                <w:noProof/>
                <w:spacing w:val="15"/>
              </w:rPr>
              <w:t>Veterans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_Toc414292330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24</w:t>
            </w:r>
            <w:r w:rsidR="008319BF" w:rsidRPr="00713A8E">
              <w:rPr>
                <w:rFonts w:asciiTheme="minorHAnsi" w:hAnsiTheme="minorHAnsi"/>
                <w:noProof/>
                <w:webHidden/>
              </w:rPr>
              <w:fldChar w:fldCharType="end"/>
            </w:r>
          </w:hyperlink>
        </w:p>
        <w:p w:rsidR="008319BF" w:rsidRPr="00713A8E" w:rsidRDefault="00064D7D">
          <w:pPr>
            <w:pStyle w:val="TOC1"/>
            <w:rPr>
              <w:rFonts w:asciiTheme="minorHAnsi" w:eastAsiaTheme="minorEastAsia" w:hAnsiTheme="minorHAnsi" w:cstheme="minorBidi"/>
              <w:b w:val="0"/>
              <w:spacing w:val="0"/>
              <w:sz w:val="20"/>
              <w:szCs w:val="20"/>
            </w:rPr>
          </w:pPr>
          <w:hyperlink w:anchor="_Toc414292331" w:history="1">
            <w:r w:rsidR="00AF50F3" w:rsidRPr="00713A8E">
              <w:rPr>
                <w:rStyle w:val="Hyperlink"/>
                <w:rFonts w:asciiTheme="minorHAnsi" w:hAnsiTheme="minorHAnsi"/>
                <w:caps/>
                <w:sz w:val="20"/>
                <w:szCs w:val="20"/>
              </w:rPr>
              <w:t xml:space="preserve">VIII. </w:t>
            </w:r>
            <w:r w:rsidR="008319BF" w:rsidRPr="00713A8E">
              <w:rPr>
                <w:rStyle w:val="Hyperlink"/>
                <w:rFonts w:asciiTheme="minorHAnsi" w:hAnsiTheme="minorHAnsi"/>
                <w:caps/>
                <w:sz w:val="20"/>
                <w:szCs w:val="20"/>
              </w:rPr>
              <w:t>Review of Psychiatric Drugging</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_Toc414292331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25</w:t>
            </w:r>
            <w:r w:rsidR="008319BF" w:rsidRPr="00713A8E">
              <w:rPr>
                <w:rFonts w:asciiTheme="minorHAnsi" w:hAnsiTheme="minorHAnsi"/>
                <w:webHidden/>
                <w:sz w:val="20"/>
                <w:szCs w:val="20"/>
              </w:rPr>
              <w:fldChar w:fldCharType="end"/>
            </w:r>
          </w:hyperlink>
        </w:p>
        <w:p w:rsidR="008319BF" w:rsidRPr="00713A8E" w:rsidRDefault="00064D7D">
          <w:pPr>
            <w:pStyle w:val="TOC2"/>
            <w:rPr>
              <w:rFonts w:asciiTheme="minorHAnsi" w:eastAsiaTheme="minorEastAsia" w:hAnsiTheme="minorHAnsi" w:cstheme="minorBidi"/>
              <w:noProof/>
            </w:rPr>
          </w:pPr>
          <w:hyperlink w:anchor="_Toc414292332" w:history="1">
            <w:r w:rsidR="005059BC" w:rsidRPr="00713A8E">
              <w:rPr>
                <w:rStyle w:val="Hyperlink"/>
                <w:rFonts w:asciiTheme="minorHAnsi" w:hAnsiTheme="minorHAnsi"/>
                <w:noProof/>
                <w:spacing w:val="15"/>
              </w:rPr>
              <w:t>Effects Of Psychiatric Medications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_Toc414292332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25</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33" w:history="1">
            <w:r w:rsidR="005059BC" w:rsidRPr="00713A8E">
              <w:rPr>
                <w:rStyle w:val="Hyperlink"/>
                <w:rFonts w:asciiTheme="minorHAnsi" w:eastAsia="Arial Unicode MS" w:hAnsiTheme="minorHAnsi"/>
                <w:noProof/>
                <w:spacing w:val="15"/>
              </w:rPr>
              <w:t>Adverse Effects Of Neuroleptic/Anti-Psychotic Medications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_Toc414292333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25</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34" w:history="1">
            <w:r w:rsidR="005059BC" w:rsidRPr="00713A8E">
              <w:rPr>
                <w:rStyle w:val="Hyperlink"/>
                <w:rFonts w:asciiTheme="minorHAnsi" w:hAnsiTheme="minorHAnsi"/>
                <w:noProof/>
                <w:spacing w:val="15"/>
              </w:rPr>
              <w:t>Off-Label Use Of Psychiatric Drugs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_Toc414292334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27</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35" w:history="1">
            <w:r w:rsidR="005059BC" w:rsidRPr="00713A8E">
              <w:rPr>
                <w:rStyle w:val="Hyperlink"/>
                <w:rFonts w:asciiTheme="minorHAnsi" w:hAnsiTheme="minorHAnsi"/>
                <w:noProof/>
                <w:spacing w:val="15"/>
              </w:rPr>
              <w:t>Off-Label Promotion/Deceptive Marketing Of Psychiatric Drugs</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_Toc414292335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29</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36" w:history="1">
            <w:r w:rsidR="005059BC" w:rsidRPr="00713A8E">
              <w:rPr>
                <w:rStyle w:val="Hyperlink"/>
                <w:rFonts w:asciiTheme="minorHAnsi" w:hAnsiTheme="minorHAnsi"/>
                <w:noProof/>
                <w:spacing w:val="15"/>
              </w:rPr>
              <w:t>The New Freedom Commission On Mental Health</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_Toc414292336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30</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37" w:history="1">
            <w:r w:rsidR="005059BC" w:rsidRPr="00713A8E">
              <w:rPr>
                <w:rStyle w:val="Hyperlink"/>
                <w:rFonts w:asciiTheme="minorHAnsi" w:hAnsiTheme="minorHAnsi"/>
                <w:noProof/>
                <w:spacing w:val="15"/>
              </w:rPr>
              <w:t>Texas Medication Algorithm Project (Tmap)</w:t>
            </w:r>
            <w:r w:rsidR="008319BF"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_Toc414292337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31</w:t>
            </w:r>
            <w:r w:rsidR="008319BF" w:rsidRPr="00713A8E">
              <w:rPr>
                <w:rFonts w:asciiTheme="minorHAnsi" w:hAnsiTheme="minorHAnsi"/>
                <w:noProof/>
                <w:webHidden/>
              </w:rPr>
              <w:fldChar w:fldCharType="end"/>
            </w:r>
          </w:hyperlink>
        </w:p>
        <w:p w:rsidR="008319BF" w:rsidRPr="00713A8E" w:rsidRDefault="00064D7D">
          <w:pPr>
            <w:pStyle w:val="TOC2"/>
            <w:rPr>
              <w:rFonts w:asciiTheme="minorHAnsi" w:eastAsiaTheme="minorEastAsia" w:hAnsiTheme="minorHAnsi" w:cstheme="minorBidi"/>
              <w:noProof/>
            </w:rPr>
          </w:pPr>
          <w:hyperlink w:anchor="_Toc414292338" w:history="1">
            <w:r w:rsidR="005059BC" w:rsidRPr="00713A8E">
              <w:rPr>
                <w:rStyle w:val="Hyperlink"/>
                <w:rFonts w:asciiTheme="minorHAnsi" w:hAnsiTheme="minorHAnsi"/>
                <w:noProof/>
                <w:spacing w:val="15"/>
              </w:rPr>
              <w:t>Political Pressure To Influence Legislation</w:t>
            </w:r>
            <w:r w:rsidR="005059BC" w:rsidRPr="00713A8E">
              <w:rPr>
                <w:rFonts w:asciiTheme="minorHAnsi" w:hAnsiTheme="minorHAnsi"/>
                <w:noProof/>
                <w:webHidden/>
              </w:rPr>
              <w:tab/>
            </w:r>
            <w:r w:rsidR="008319BF" w:rsidRPr="00713A8E">
              <w:rPr>
                <w:rFonts w:asciiTheme="minorHAnsi" w:hAnsiTheme="minorHAnsi"/>
                <w:noProof/>
                <w:webHidden/>
              </w:rPr>
              <w:fldChar w:fldCharType="begin"/>
            </w:r>
            <w:r w:rsidR="008319BF" w:rsidRPr="00713A8E">
              <w:rPr>
                <w:rFonts w:asciiTheme="minorHAnsi" w:hAnsiTheme="minorHAnsi"/>
                <w:noProof/>
                <w:webHidden/>
              </w:rPr>
              <w:instrText xml:space="preserve"> PAGEREF _Toc414292338 \h </w:instrText>
            </w:r>
            <w:r w:rsidR="008319BF" w:rsidRPr="00713A8E">
              <w:rPr>
                <w:rFonts w:asciiTheme="minorHAnsi" w:hAnsiTheme="minorHAnsi"/>
                <w:noProof/>
                <w:webHidden/>
              </w:rPr>
            </w:r>
            <w:r w:rsidR="008319BF" w:rsidRPr="00713A8E">
              <w:rPr>
                <w:rFonts w:asciiTheme="minorHAnsi" w:hAnsiTheme="minorHAnsi"/>
                <w:noProof/>
                <w:webHidden/>
              </w:rPr>
              <w:fldChar w:fldCharType="separate"/>
            </w:r>
            <w:r w:rsidR="007E3C33">
              <w:rPr>
                <w:rFonts w:asciiTheme="minorHAnsi" w:hAnsiTheme="minorHAnsi"/>
                <w:noProof/>
                <w:webHidden/>
              </w:rPr>
              <w:t>33</w:t>
            </w:r>
            <w:r w:rsidR="008319BF" w:rsidRPr="00713A8E">
              <w:rPr>
                <w:rFonts w:asciiTheme="minorHAnsi" w:hAnsiTheme="minorHAnsi"/>
                <w:noProof/>
                <w:webHidden/>
              </w:rPr>
              <w:fldChar w:fldCharType="end"/>
            </w:r>
          </w:hyperlink>
        </w:p>
        <w:p w:rsidR="008319BF" w:rsidRDefault="00064D7D">
          <w:pPr>
            <w:pStyle w:val="TOC1"/>
            <w:rPr>
              <w:rFonts w:asciiTheme="minorHAnsi" w:eastAsiaTheme="minorEastAsia" w:hAnsiTheme="minorHAnsi" w:cstheme="minorBidi"/>
              <w:b w:val="0"/>
              <w:spacing w:val="0"/>
              <w:sz w:val="22"/>
              <w:szCs w:val="22"/>
            </w:rPr>
          </w:pPr>
          <w:hyperlink w:anchor="_Toc414292339" w:history="1">
            <w:r w:rsidR="008319BF" w:rsidRPr="00713A8E">
              <w:rPr>
                <w:rStyle w:val="Hyperlink"/>
                <w:rFonts w:asciiTheme="minorHAnsi" w:hAnsiTheme="minorHAnsi"/>
                <w:caps/>
                <w:sz w:val="20"/>
                <w:szCs w:val="20"/>
              </w:rPr>
              <w:t>IX. Lack of appropriate rehabilitation programs for victims of torture and ill-treatment</w:t>
            </w:r>
            <w:r w:rsidR="008319BF" w:rsidRPr="00713A8E">
              <w:rPr>
                <w:rFonts w:asciiTheme="minorHAnsi" w:hAnsiTheme="minorHAnsi"/>
                <w:webHidden/>
                <w:sz w:val="20"/>
                <w:szCs w:val="20"/>
              </w:rPr>
              <w:tab/>
            </w:r>
            <w:r w:rsidR="008319BF" w:rsidRPr="00713A8E">
              <w:rPr>
                <w:rFonts w:asciiTheme="minorHAnsi" w:hAnsiTheme="minorHAnsi"/>
                <w:webHidden/>
                <w:sz w:val="20"/>
                <w:szCs w:val="20"/>
              </w:rPr>
              <w:fldChar w:fldCharType="begin"/>
            </w:r>
            <w:r w:rsidR="008319BF" w:rsidRPr="00713A8E">
              <w:rPr>
                <w:rFonts w:asciiTheme="minorHAnsi" w:hAnsiTheme="minorHAnsi"/>
                <w:webHidden/>
                <w:sz w:val="20"/>
                <w:szCs w:val="20"/>
              </w:rPr>
              <w:instrText xml:space="preserve"> PAGEREF _Toc414292339 \h </w:instrText>
            </w:r>
            <w:r w:rsidR="008319BF" w:rsidRPr="00713A8E">
              <w:rPr>
                <w:rFonts w:asciiTheme="minorHAnsi" w:hAnsiTheme="minorHAnsi"/>
                <w:webHidden/>
                <w:sz w:val="20"/>
                <w:szCs w:val="20"/>
              </w:rPr>
            </w:r>
            <w:r w:rsidR="008319BF" w:rsidRPr="00713A8E">
              <w:rPr>
                <w:rFonts w:asciiTheme="minorHAnsi" w:hAnsiTheme="minorHAnsi"/>
                <w:webHidden/>
                <w:sz w:val="20"/>
                <w:szCs w:val="20"/>
              </w:rPr>
              <w:fldChar w:fldCharType="separate"/>
            </w:r>
            <w:r w:rsidR="007E3C33">
              <w:rPr>
                <w:rFonts w:asciiTheme="minorHAnsi" w:hAnsiTheme="minorHAnsi"/>
                <w:webHidden/>
                <w:sz w:val="20"/>
                <w:szCs w:val="20"/>
              </w:rPr>
              <w:t>34</w:t>
            </w:r>
            <w:r w:rsidR="008319BF" w:rsidRPr="00713A8E">
              <w:rPr>
                <w:rFonts w:asciiTheme="minorHAnsi" w:hAnsiTheme="minorHAnsi"/>
                <w:webHidden/>
                <w:sz w:val="20"/>
                <w:szCs w:val="20"/>
              </w:rPr>
              <w:fldChar w:fldCharType="end"/>
            </w:r>
          </w:hyperlink>
        </w:p>
        <w:p w:rsidR="002C7F1D" w:rsidRPr="008319BF" w:rsidRDefault="0080612C" w:rsidP="0080612C">
          <w:pPr>
            <w:spacing w:after="0" w:line="240" w:lineRule="auto"/>
            <w:rPr>
              <w:b/>
              <w:bCs/>
              <w:noProof/>
              <w:sz w:val="20"/>
              <w:szCs w:val="20"/>
            </w:rPr>
          </w:pPr>
          <w:r w:rsidRPr="008319BF">
            <w:rPr>
              <w:b/>
              <w:bCs/>
              <w:noProof/>
              <w:sz w:val="20"/>
              <w:szCs w:val="20"/>
            </w:rPr>
            <w:fldChar w:fldCharType="end"/>
          </w:r>
        </w:p>
        <w:p w:rsidR="002C7F1D" w:rsidRPr="008319BF" w:rsidRDefault="002C7F1D" w:rsidP="0080612C">
          <w:pPr>
            <w:spacing w:after="0" w:line="240" w:lineRule="auto"/>
            <w:rPr>
              <w:b/>
              <w:bCs/>
              <w:noProof/>
              <w:sz w:val="20"/>
              <w:szCs w:val="20"/>
            </w:rPr>
          </w:pPr>
        </w:p>
        <w:p w:rsidR="002C7F1D" w:rsidRPr="008319BF" w:rsidRDefault="002C7F1D" w:rsidP="0080612C">
          <w:pPr>
            <w:spacing w:after="0" w:line="240" w:lineRule="auto"/>
            <w:rPr>
              <w:b/>
              <w:bCs/>
              <w:noProof/>
              <w:sz w:val="20"/>
              <w:szCs w:val="20"/>
            </w:rPr>
          </w:pPr>
        </w:p>
        <w:p w:rsidR="002C7F1D" w:rsidRPr="008319BF" w:rsidRDefault="002C7F1D" w:rsidP="0080612C">
          <w:pPr>
            <w:spacing w:after="0" w:line="240" w:lineRule="auto"/>
            <w:rPr>
              <w:b/>
              <w:bCs/>
              <w:noProof/>
              <w:sz w:val="20"/>
              <w:szCs w:val="20"/>
            </w:rPr>
          </w:pPr>
        </w:p>
        <w:p w:rsidR="002C7F1D" w:rsidRPr="008319BF" w:rsidRDefault="002C7F1D" w:rsidP="0080612C">
          <w:pPr>
            <w:spacing w:after="0" w:line="240" w:lineRule="auto"/>
            <w:rPr>
              <w:b/>
              <w:bCs/>
              <w:noProof/>
              <w:sz w:val="20"/>
              <w:szCs w:val="20"/>
            </w:rPr>
          </w:pPr>
        </w:p>
        <w:p w:rsidR="0080612C" w:rsidRPr="00413E00" w:rsidRDefault="00064D7D" w:rsidP="0080612C">
          <w:pPr>
            <w:spacing w:after="0" w:line="240" w:lineRule="auto"/>
            <w:rPr>
              <w:sz w:val="18"/>
              <w:szCs w:val="18"/>
            </w:rPr>
          </w:pPr>
        </w:p>
      </w:sdtContent>
    </w:sdt>
    <w:p w:rsidR="0031010D" w:rsidRDefault="0031010D">
      <w:bookmarkStart w:id="0" w:name="_Toc414292300"/>
    </w:p>
    <w:p w:rsidR="0031010D" w:rsidRPr="0031010D" w:rsidRDefault="0031010D" w:rsidP="0031010D">
      <w:pPr>
        <w:jc w:val="center"/>
        <w:rPr>
          <w:b/>
          <w:sz w:val="32"/>
          <w:szCs w:val="32"/>
        </w:rPr>
      </w:pPr>
      <w:r w:rsidRPr="0031010D">
        <w:rPr>
          <w:b/>
          <w:sz w:val="32"/>
          <w:szCs w:val="32"/>
        </w:rPr>
        <w:lastRenderedPageBreak/>
        <w:t>Voiceless Victims: Wards of the Court</w:t>
      </w:r>
    </w:p>
    <w:p w:rsidR="0031010D" w:rsidRDefault="0031010D">
      <w:pPr>
        <w:rPr>
          <w:rFonts w:ascii="Calibri" w:eastAsia="Times New Roman" w:hAnsi="Calibri" w:cs="Times New Roman"/>
          <w:caps/>
          <w:color w:val="FFFFFF"/>
          <w:spacing w:val="15"/>
        </w:rPr>
      </w:pPr>
    </w:p>
    <w:p w:rsidR="00577114" w:rsidRPr="008319BF" w:rsidRDefault="003722FF" w:rsidP="008319BF">
      <w:pPr>
        <w:pStyle w:val="Heading1"/>
      </w:pPr>
      <w:r w:rsidRPr="008319BF">
        <w:t xml:space="preserve">I. </w:t>
      </w:r>
      <w:r w:rsidR="00577114" w:rsidRPr="008319BF">
        <w:t>What is Psychiatric Torture?</w:t>
      </w:r>
      <w:bookmarkEnd w:id="0"/>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 xml:space="preserve">The Committee for the Prevention of Torture (CPT) has stated:  "Patients should, as a matter of principle, be placed in a position to give their free and informed consent to treatment. The admission of a person to a psychiatric establishment on an involuntary basis should not be construed as authorizing treatment without his consent. It follows that every competent patient, whether voluntary or involuntary, should be given the opportunity to refuse treatment or any other medical intervention. Any derogation from this fundamental principle should be based upon law and only relate to clearly and strictly defined exceptional circumstances."  </w:t>
      </w:r>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p>
    <w:p w:rsidR="00577114" w:rsidRPr="008319BF" w:rsidRDefault="00577114" w:rsidP="00577114">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UN Special Rapporteur on Torture, Manfred Nowak stated in the Interim report A/63/150. 28. July 2008.  </w:t>
      </w:r>
    </w:p>
    <w:p w:rsidR="00577114" w:rsidRDefault="00577114" w:rsidP="00577114">
      <w:pPr>
        <w:spacing w:before="100" w:after="0" w:line="240" w:lineRule="auto"/>
        <w:ind w:left="709"/>
        <w:jc w:val="center"/>
        <w:rPr>
          <w:rFonts w:ascii="Times New Roman" w:eastAsia="Times New Roman" w:hAnsi="Times New Roman" w:cs="Times New Roman"/>
          <w:i/>
          <w:sz w:val="24"/>
          <w:szCs w:val="24"/>
        </w:rPr>
      </w:pPr>
      <w:r w:rsidRPr="008319BF">
        <w:rPr>
          <w:rFonts w:ascii="Times New Roman" w:eastAsia="Times New Roman" w:hAnsi="Times New Roman" w:cs="Times New Roman"/>
          <w:i/>
          <w:sz w:val="24"/>
          <w:szCs w:val="24"/>
        </w:rPr>
        <w:t>“Torture, as the most serious violation of the human right to personal integrity and dignity, presupposes a situation of powerlessness, whereby the victim is under the total control of another person. Persons with disabilities often find themselves in such situations, for instance when they are deprived of their liberty in prisons or other places, or when they are under the control of their caregivers or legal guardians. In a given context, the particular disability of an individual may render him or her more likely to be in a dependent situation and make him or her an easier target of abuse.  However, it is often circumstances external to the individual that render them “powerless” such as when one’s exercise of decision-making and legal capacity is taken away by discriminatory laws or practices and given to others.”</w:t>
      </w:r>
    </w:p>
    <w:p w:rsidR="0031010D" w:rsidRPr="008319BF" w:rsidRDefault="0031010D" w:rsidP="00577114">
      <w:pPr>
        <w:spacing w:before="100" w:after="0" w:line="240" w:lineRule="auto"/>
        <w:ind w:left="709"/>
        <w:jc w:val="center"/>
        <w:rPr>
          <w:rFonts w:ascii="Times New Roman" w:eastAsia="Times New Roman" w:hAnsi="Times New Roman" w:cs="Times New Roman"/>
          <w:i/>
          <w:sz w:val="24"/>
          <w:szCs w:val="24"/>
        </w:rPr>
      </w:pPr>
    </w:p>
    <w:p w:rsidR="00577114" w:rsidRPr="008319BF" w:rsidRDefault="008E2574" w:rsidP="00577114">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UN Special Rapporteur on Torture, Manfred Nowak </w:t>
      </w:r>
      <w:r w:rsidR="00577114" w:rsidRPr="008319BF">
        <w:rPr>
          <w:rFonts w:ascii="Times New Roman" w:eastAsia="Times New Roman" w:hAnsi="Times New Roman" w:cs="Times New Roman"/>
          <w:sz w:val="24"/>
          <w:szCs w:val="24"/>
        </w:rPr>
        <w:t xml:space="preserve">stated: </w:t>
      </w:r>
    </w:p>
    <w:p w:rsidR="00577114" w:rsidRDefault="00577114" w:rsidP="00577114">
      <w:pPr>
        <w:spacing w:before="100" w:after="0" w:line="240" w:lineRule="auto"/>
        <w:ind w:left="709"/>
        <w:jc w:val="center"/>
        <w:rPr>
          <w:rFonts w:ascii="Times New Roman" w:eastAsia="Times New Roman" w:hAnsi="Times New Roman" w:cs="Times New Roman"/>
          <w:i/>
          <w:sz w:val="24"/>
          <w:szCs w:val="24"/>
        </w:rPr>
      </w:pPr>
      <w:r w:rsidRPr="008319BF">
        <w:rPr>
          <w:rFonts w:ascii="Times New Roman" w:eastAsia="Times New Roman" w:hAnsi="Times New Roman" w:cs="Times New Roman"/>
          <w:i/>
          <w:sz w:val="24"/>
          <w:szCs w:val="24"/>
        </w:rPr>
        <w:t>“Medical treatments of an intrusive and irreversible nature, when they  aim at correcting or alleviating a disability, may constitute torture and ill-treatment if enforced or administered without the free and informed consent of the person concerned.” …”The administration in detention and psychiatric institutions of drugs, including neuroleptics that cause trembling, shivering and contractions and make the subject apathetic and dull his or her intelligence, has been recognized as a form of torture.”   “The Special Rapporteur notes that forced and non-consensual administration of psychiatric drugs, and in particular of neuroleptics, for the treatment of a mental condition needs to be closely scrutinized. Depending on the circumstances of the case, the suffering inflicted and the effects upon the individual’s health may constitute a form of torture or ill-treatment.”</w:t>
      </w:r>
    </w:p>
    <w:p w:rsidR="00577114" w:rsidRPr="008319BF" w:rsidRDefault="00577114" w:rsidP="00577114">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SRT (2008) UN Special Rapporteur on Torture. Interim report A/63/150. 28. July 2008. </w:t>
      </w:r>
    </w:p>
    <w:p w:rsidR="00907195" w:rsidRDefault="00907195" w:rsidP="00A1567E">
      <w:pPr>
        <w:spacing w:after="0" w:line="240" w:lineRule="auto"/>
        <w:jc w:val="center"/>
        <w:rPr>
          <w:rFonts w:ascii="Times New Roman" w:eastAsia="Times New Roman" w:hAnsi="Times New Roman" w:cs="Times New Roman"/>
          <w:sz w:val="24"/>
          <w:szCs w:val="24"/>
        </w:rPr>
      </w:pPr>
    </w:p>
    <w:p w:rsidR="0031010D" w:rsidRDefault="0031010D" w:rsidP="00A1567E">
      <w:pPr>
        <w:spacing w:after="0" w:line="240" w:lineRule="auto"/>
        <w:jc w:val="center"/>
        <w:rPr>
          <w:rFonts w:ascii="Times New Roman" w:eastAsia="Times New Roman" w:hAnsi="Times New Roman" w:cs="Times New Roman"/>
          <w:sz w:val="24"/>
          <w:szCs w:val="24"/>
        </w:rPr>
      </w:pPr>
    </w:p>
    <w:p w:rsidR="006E124A" w:rsidRPr="008319BF" w:rsidRDefault="006E124A" w:rsidP="006E124A">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lastRenderedPageBreak/>
        <w:t xml:space="preserve">The standards of the European Committee for the Prevention of Torture states that "consent to treatment can only be qualified as free and informed if it is based on full, accurate and comprehensible information about the patient's condition and the treatment proposed.” Consequently, all patients should be provided systematically with relevant information about their condition and the treatment which it is proposed to prescribe for them.” </w:t>
      </w:r>
      <w:r w:rsidRPr="008319BF">
        <w:rPr>
          <w:rFonts w:ascii="Times New Roman" w:eastAsia="Times New Roman" w:hAnsi="Times New Roman" w:cs="Times New Roman"/>
          <w:sz w:val="24"/>
          <w:szCs w:val="24"/>
          <w:vertAlign w:val="superscript"/>
        </w:rPr>
        <w:endnoteReference w:id="1"/>
      </w:r>
    </w:p>
    <w:p w:rsidR="006E124A" w:rsidRPr="008319BF" w:rsidRDefault="006E124A" w:rsidP="006E124A">
      <w:pPr>
        <w:spacing w:after="0" w:line="240" w:lineRule="auto"/>
        <w:rPr>
          <w:rFonts w:ascii="Times New Roman" w:eastAsia="Times New Roman" w:hAnsi="Times New Roman" w:cs="Times New Roman"/>
          <w:sz w:val="24"/>
          <w:szCs w:val="24"/>
        </w:rPr>
      </w:pPr>
    </w:p>
    <w:p w:rsidR="00760E32" w:rsidRPr="008319BF" w:rsidRDefault="0080612C" w:rsidP="008319BF">
      <w:pPr>
        <w:pStyle w:val="Heading1"/>
      </w:pPr>
      <w:bookmarkStart w:id="1" w:name="_Toc414292301"/>
      <w:r w:rsidRPr="008319BF">
        <w:t>I</w:t>
      </w:r>
      <w:r w:rsidR="00577114" w:rsidRPr="008319BF">
        <w:t>I</w:t>
      </w:r>
      <w:r w:rsidR="003722FF" w:rsidRPr="008319BF">
        <w:t xml:space="preserve">. Off-Label research on </w:t>
      </w:r>
      <w:r w:rsidRPr="008319BF">
        <w:t>WARDS OF THE COURT</w:t>
      </w:r>
      <w:bookmarkEnd w:id="1"/>
      <w:r w:rsidRPr="008319BF">
        <w:t xml:space="preserve"> </w:t>
      </w:r>
    </w:p>
    <w:p w:rsidR="00F43BCB" w:rsidRPr="008319BF" w:rsidRDefault="00F43BCB" w:rsidP="00F43BCB">
      <w:pPr>
        <w:spacing w:before="100" w:after="0" w:line="240" w:lineRule="auto"/>
        <w:contextualSpacing/>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In the United States, according to 2012 Substance Abuse and Mental Health Services Administration (SAMHSA) statistics there are an estimated 43.7 million adults aged 18 or older with mental illness.  This represents 18.6% of all adults in the country.</w:t>
      </w:r>
      <w:r w:rsidRPr="008319BF">
        <w:rPr>
          <w:rFonts w:ascii="Times New Roman" w:eastAsia="Times New Roman" w:hAnsi="Times New Roman" w:cs="Times New Roman"/>
          <w:sz w:val="24"/>
          <w:szCs w:val="24"/>
          <w:vertAlign w:val="superscript"/>
        </w:rPr>
        <w:endnoteReference w:id="2"/>
      </w:r>
      <w:r w:rsidRPr="008319BF">
        <w:rPr>
          <w:rFonts w:ascii="Times New Roman" w:eastAsia="Times New Roman" w:hAnsi="Times New Roman" w:cs="Times New Roman"/>
          <w:b/>
          <w:sz w:val="24"/>
          <w:szCs w:val="24"/>
        </w:rPr>
        <w:t xml:space="preserve">  </w:t>
      </w:r>
      <w:r w:rsidRPr="008319BF">
        <w:rPr>
          <w:rFonts w:ascii="Times New Roman" w:eastAsia="Times New Roman" w:hAnsi="Times New Roman" w:cs="Times New Roman"/>
          <w:sz w:val="24"/>
          <w:szCs w:val="24"/>
        </w:rPr>
        <w:t xml:space="preserve">There remains little accurate information of who is in guardianship and the quality and nature of their medical care. There are approximately 1.5 million active pending adult guardianship cases in the United States, according to the 2011 National Center for State Courts report </w:t>
      </w:r>
      <w:r w:rsidRPr="008319BF">
        <w:rPr>
          <w:rFonts w:ascii="Times New Roman" w:eastAsia="Times New Roman" w:hAnsi="Times New Roman" w:cs="Times New Roman"/>
          <w:sz w:val="24"/>
          <w:szCs w:val="24"/>
          <w:u w:val="single"/>
        </w:rPr>
        <w:t>Adult Guardianships: A "Best Guess" National Estimate and the Momentum for Reform</w:t>
      </w:r>
      <w:r w:rsidRPr="008319BF">
        <w:rPr>
          <w:rFonts w:ascii="Times New Roman" w:eastAsia="Times New Roman" w:hAnsi="Times New Roman" w:cs="Times New Roman"/>
          <w:sz w:val="24"/>
          <w:szCs w:val="24"/>
        </w:rPr>
        <w:t>.  The U.S.A. states clearly that “Under U.S. law, officials of all government agencies are prohibited from engaging in torture, at all times, and in all places.”  This would presume that vulnerable persons who are currently in court ordered guardianship would be protected from torture, cruel, inhuman or degrading treatment or punishment, but in reality there is little transparency or accountability for what actually happens to wards of the court – especially in mental health cases.</w:t>
      </w:r>
      <w:r w:rsidRPr="008319BF">
        <w:rPr>
          <w:rFonts w:ascii="Times New Roman" w:eastAsia="Times New Roman" w:hAnsi="Times New Roman" w:cs="Times New Roman"/>
          <w:sz w:val="24"/>
          <w:szCs w:val="24"/>
          <w:vertAlign w:val="superscript"/>
        </w:rPr>
        <w:endnoteReference w:id="3"/>
      </w:r>
      <w:r w:rsidRPr="008319BF">
        <w:rPr>
          <w:rFonts w:ascii="Times New Roman" w:eastAsia="Times New Roman" w:hAnsi="Times New Roman" w:cs="Times New Roman"/>
          <w:sz w:val="24"/>
          <w:szCs w:val="24"/>
        </w:rPr>
        <w:t xml:space="preserve"> </w:t>
      </w:r>
    </w:p>
    <w:p w:rsidR="00F43BCB" w:rsidRPr="008319BF" w:rsidRDefault="00F43BCB" w:rsidP="00F43BCB">
      <w:pPr>
        <w:spacing w:before="100" w:after="0" w:line="240" w:lineRule="auto"/>
        <w:contextualSpacing/>
        <w:rPr>
          <w:rFonts w:ascii="Times New Roman" w:eastAsia="Times New Roman" w:hAnsi="Times New Roman" w:cs="Times New Roman"/>
          <w:sz w:val="24"/>
          <w:szCs w:val="24"/>
        </w:rPr>
      </w:pPr>
    </w:p>
    <w:p w:rsidR="00F43BCB" w:rsidRPr="008319BF" w:rsidRDefault="00F43BCB" w:rsidP="00F43BCB">
      <w:pPr>
        <w:spacing w:before="100" w:after="0" w:line="240" w:lineRule="auto"/>
        <w:contextualSpacing/>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List of issues: </w:t>
      </w:r>
    </w:p>
    <w:p w:rsidR="00F43BCB" w:rsidRPr="008319BF" w:rsidRDefault="00F43BCB" w:rsidP="00F43BCB">
      <w:pPr>
        <w:spacing w:before="100" w:after="0" w:line="240" w:lineRule="auto"/>
        <w:ind w:left="720"/>
        <w:contextualSpacing/>
        <w:rPr>
          <w:rFonts w:ascii="Times New Roman" w:eastAsia="Times New Roman" w:hAnsi="Times New Roman" w:cs="Times New Roman"/>
          <w:sz w:val="24"/>
          <w:szCs w:val="24"/>
        </w:rPr>
      </w:pPr>
    </w:p>
    <w:p w:rsidR="00F43BCB" w:rsidRPr="008319BF" w:rsidRDefault="00F43BCB" w:rsidP="00F43BCB">
      <w:pPr>
        <w:spacing w:before="100" w:after="0" w:line="240" w:lineRule="auto"/>
        <w:ind w:left="720"/>
        <w:contextualSpacing/>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w:t>
      </w:r>
      <w:r w:rsidRPr="008319BF">
        <w:rPr>
          <w:rFonts w:ascii="Times New Roman" w:eastAsia="Times New Roman" w:hAnsi="Times New Roman" w:cs="Times New Roman"/>
          <w:sz w:val="24"/>
          <w:szCs w:val="24"/>
        </w:rPr>
        <w:tab/>
        <w:t xml:space="preserve">Right to Informed Consent </w:t>
      </w:r>
    </w:p>
    <w:p w:rsidR="00F43BCB" w:rsidRPr="008319BF" w:rsidRDefault="00F43BCB" w:rsidP="00F43BCB">
      <w:pPr>
        <w:spacing w:before="100" w:after="0" w:line="240" w:lineRule="auto"/>
        <w:ind w:left="720"/>
        <w:contextualSpacing/>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w:t>
      </w:r>
      <w:r w:rsidRPr="008319BF">
        <w:rPr>
          <w:rFonts w:ascii="Times New Roman" w:eastAsia="Times New Roman" w:hAnsi="Times New Roman" w:cs="Times New Roman"/>
          <w:sz w:val="24"/>
          <w:szCs w:val="24"/>
        </w:rPr>
        <w:tab/>
        <w:t>Abuse and Neglect by Guardians</w:t>
      </w:r>
    </w:p>
    <w:p w:rsidR="00F43BCB" w:rsidRPr="008319BF" w:rsidRDefault="00F43BCB" w:rsidP="00F43BCB">
      <w:pPr>
        <w:spacing w:before="100" w:after="0" w:line="240" w:lineRule="auto"/>
        <w:ind w:left="720"/>
        <w:contextualSpacing/>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w:t>
      </w:r>
      <w:r w:rsidRPr="008319BF">
        <w:rPr>
          <w:rFonts w:ascii="Times New Roman" w:eastAsia="Times New Roman" w:hAnsi="Times New Roman" w:cs="Times New Roman"/>
          <w:sz w:val="24"/>
          <w:szCs w:val="24"/>
        </w:rPr>
        <w:tab/>
        <w:t>Protection of Human Subjects</w:t>
      </w:r>
    </w:p>
    <w:p w:rsidR="00F43BCB" w:rsidRPr="008319BF" w:rsidRDefault="00F43BCB" w:rsidP="00F43BCB">
      <w:pPr>
        <w:spacing w:before="100" w:after="0" w:line="240" w:lineRule="auto"/>
        <w:ind w:left="720"/>
        <w:contextualSpacing/>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w:t>
      </w:r>
      <w:r w:rsidRPr="008319BF">
        <w:rPr>
          <w:rFonts w:ascii="Times New Roman" w:eastAsia="Times New Roman" w:hAnsi="Times New Roman" w:cs="Times New Roman"/>
          <w:sz w:val="24"/>
          <w:szCs w:val="24"/>
        </w:rPr>
        <w:tab/>
        <w:t>Use of “off-label” Psychiatric Drugs</w:t>
      </w:r>
    </w:p>
    <w:p w:rsidR="00F43BCB" w:rsidRPr="008319BF" w:rsidRDefault="00F43BCB" w:rsidP="00F43BCB">
      <w:pPr>
        <w:spacing w:before="100" w:after="0" w:line="240" w:lineRule="auto"/>
        <w:rPr>
          <w:rFonts w:ascii="Times New Roman" w:eastAsia="Times New Roman" w:hAnsi="Times New Roman" w:cs="Times New Roman"/>
          <w:sz w:val="24"/>
          <w:szCs w:val="24"/>
        </w:rPr>
      </w:pPr>
    </w:p>
    <w:p w:rsidR="00F43BCB" w:rsidRPr="008319BF"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Wards of the court have surrogate decision makers for both legal and medical decisions, thus wards are prevented even from effective appeal to the Judge or even to their US Congressmen/Congresswomen.  The U.S.A. mental health guardianship system offers few procedural protections, and has spawned a profit-driven professional guardianship industry that often enriches itself at the expense of society’s most vulnerable members—the disabled and the elderly especially the mentally ill.</w:t>
      </w:r>
      <w:r w:rsidRPr="008319BF">
        <w:rPr>
          <w:rFonts w:ascii="Times New Roman" w:eastAsia="Arial Unicode MS" w:hAnsi="Times New Roman" w:cs="Times New Roman"/>
          <w:kern w:val="3"/>
          <w:sz w:val="24"/>
          <w:szCs w:val="24"/>
          <w:vertAlign w:val="superscript"/>
        </w:rPr>
        <w:endnoteReference w:id="4"/>
      </w:r>
      <w:r w:rsidRPr="008319BF">
        <w:rPr>
          <w:rFonts w:ascii="Times New Roman" w:eastAsia="Arial Unicode MS" w:hAnsi="Times New Roman" w:cs="Times New Roman"/>
          <w:kern w:val="3"/>
          <w:sz w:val="24"/>
          <w:szCs w:val="24"/>
        </w:rPr>
        <w:t xml:space="preserve"> Yet despite numerous calls for reform, most states have done little to monitor professional guardians and prevent abuse and neglect.  Secrecy, lack of transparency and lack of accountability makes a perfect environment for human rights violations of the mentally disabled.</w:t>
      </w:r>
      <w:r w:rsidRPr="008319BF">
        <w:rPr>
          <w:rFonts w:ascii="Times New Roman" w:eastAsia="Arial Unicode MS" w:hAnsi="Times New Roman" w:cs="Times New Roman"/>
          <w:kern w:val="3"/>
          <w:sz w:val="24"/>
          <w:szCs w:val="24"/>
          <w:vertAlign w:val="superscript"/>
        </w:rPr>
        <w:endnoteReference w:id="5"/>
      </w:r>
      <w:r w:rsidRPr="008319BF">
        <w:rPr>
          <w:rFonts w:ascii="Times New Roman" w:eastAsia="Arial Unicode MS" w:hAnsi="Times New Roman" w:cs="Times New Roman"/>
          <w:kern w:val="3"/>
          <w:sz w:val="24"/>
          <w:szCs w:val="24"/>
        </w:rPr>
        <w:t xml:space="preserve"> </w:t>
      </w:r>
      <w:r w:rsidRPr="008319BF">
        <w:rPr>
          <w:rFonts w:ascii="Times New Roman" w:eastAsia="Arial Unicode MS" w:hAnsi="Times New Roman" w:cs="Times New Roman"/>
          <w:kern w:val="3"/>
          <w:sz w:val="24"/>
          <w:szCs w:val="24"/>
          <w:vertAlign w:val="superscript"/>
        </w:rPr>
        <w:endnoteReference w:id="6"/>
      </w:r>
      <w:r w:rsidRPr="008319BF">
        <w:rPr>
          <w:rFonts w:ascii="Times New Roman" w:eastAsia="Arial Unicode MS" w:hAnsi="Times New Roman" w:cs="Times New Roman"/>
          <w:kern w:val="3"/>
          <w:sz w:val="24"/>
          <w:szCs w:val="24"/>
        </w:rPr>
        <w:t xml:space="preserve"> </w:t>
      </w:r>
      <w:r w:rsidRPr="008319BF">
        <w:rPr>
          <w:rFonts w:ascii="Times New Roman" w:eastAsia="Arial Unicode MS" w:hAnsi="Times New Roman" w:cs="Times New Roman"/>
          <w:kern w:val="3"/>
          <w:sz w:val="24"/>
          <w:szCs w:val="24"/>
          <w:vertAlign w:val="superscript"/>
        </w:rPr>
        <w:endnoteReference w:id="7"/>
      </w:r>
    </w:p>
    <w:p w:rsidR="00F43BCB" w:rsidRPr="008319BF"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p>
    <w:p w:rsidR="00F43BCB" w:rsidRPr="008319BF"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 xml:space="preserve">Research can be disguised as “treatment,” but instead actually be a harmful or deadly experiment done without the patient’s knowledge or informed consent to treatment. Forcing wards of the court to take medications that are “off-label” (not approved for that use by the Food and Drug Administration), is tantamount to human experimentation on the vulnerable wards of the court.  Such violations of human subject provisions are routine with many patients in locked state and </w:t>
      </w:r>
      <w:r w:rsidRPr="008319BF">
        <w:rPr>
          <w:rFonts w:ascii="Times New Roman" w:eastAsia="Arial Unicode MS" w:hAnsi="Times New Roman" w:cs="Times New Roman"/>
          <w:kern w:val="3"/>
          <w:sz w:val="24"/>
          <w:szCs w:val="24"/>
        </w:rPr>
        <w:lastRenderedPageBreak/>
        <w:t xml:space="preserve">federal institutions given psychiatric drugs for “off-label uses.” </w:t>
      </w:r>
      <w:r w:rsidRPr="008319BF">
        <w:rPr>
          <w:rFonts w:ascii="Times New Roman" w:eastAsia="Arial Unicode MS" w:hAnsi="Times New Roman" w:cs="Times New Roman"/>
          <w:kern w:val="3"/>
          <w:sz w:val="24"/>
          <w:szCs w:val="24"/>
          <w:vertAlign w:val="superscript"/>
        </w:rPr>
        <w:endnoteReference w:id="8"/>
      </w:r>
      <w:r w:rsidRPr="008319BF">
        <w:rPr>
          <w:rFonts w:ascii="Times New Roman" w:eastAsia="Arial Unicode MS" w:hAnsi="Times New Roman" w:cs="Times New Roman"/>
          <w:kern w:val="3"/>
          <w:sz w:val="24"/>
          <w:szCs w:val="24"/>
        </w:rPr>
        <w:t xml:space="preserve">  Problems of patient abuse occur including: excessive dosing for purposes of chemical restraint, poly-pharmacy with multiple medications, lack of informed consent and the use of medication with little or no direct doctor/patient contact.</w:t>
      </w:r>
      <w:r w:rsidRPr="008319BF">
        <w:rPr>
          <w:rFonts w:ascii="Times New Roman" w:eastAsia="Arial Unicode MS" w:hAnsi="Times New Roman" w:cs="Times New Roman"/>
          <w:kern w:val="3"/>
          <w:sz w:val="24"/>
          <w:szCs w:val="24"/>
          <w:vertAlign w:val="superscript"/>
        </w:rPr>
        <w:endnoteReference w:id="9"/>
      </w:r>
      <w:r w:rsidRPr="008319BF">
        <w:rPr>
          <w:rFonts w:ascii="Times New Roman" w:eastAsia="Arial Unicode MS" w:hAnsi="Times New Roman" w:cs="Times New Roman"/>
          <w:kern w:val="3"/>
          <w:sz w:val="24"/>
          <w:szCs w:val="24"/>
        </w:rPr>
        <w:t xml:space="preserve">  According to the drug data firm IMS Health, the 2009 worldwide sales of antipsychotic drugs was $23.25 billion, and the largest market for these products is in the U.S.A.   Antipsychotics (neuroleptics) are a controversial class of drugs, examples include: Risperdal (approved in 1993), Zyprexa (1994), Seroquel (1997), Abilify (2002), and Saphris (2009).</w:t>
      </w:r>
    </w:p>
    <w:p w:rsidR="00F43BCB" w:rsidRPr="008319BF"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 xml:space="preserve">In addition the use of medication with no real oversight of the process of diagnosis, means that patients often cannot question the use of these medications because surrogate decision makers have been assigned by the court to make all medical decisions. Wards in mental health care have often been stripped of their legal rights and thus cannot assert their objections to treatment decisions. Unbiased independent review of medical charts is almost non-existent. Patient human rights have been ignored and there is no direct process to bring guardianship abuse or doctor/proxy/decision maker abuse to the attention of the court.  </w:t>
      </w:r>
    </w:p>
    <w:p w:rsidR="00F43BCB" w:rsidRPr="008319BF"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Deceptive and coercive marketing practices by the pharmaceutical industry are common place.</w:t>
      </w:r>
      <w:r w:rsidRPr="008319BF">
        <w:rPr>
          <w:rFonts w:ascii="Times New Roman" w:eastAsia="Arial Unicode MS" w:hAnsi="Times New Roman" w:cs="Times New Roman"/>
          <w:kern w:val="3"/>
          <w:sz w:val="24"/>
          <w:szCs w:val="24"/>
          <w:vertAlign w:val="superscript"/>
        </w:rPr>
        <w:endnoteReference w:id="10"/>
      </w:r>
      <w:r w:rsidRPr="008319BF">
        <w:rPr>
          <w:rFonts w:ascii="Times New Roman" w:eastAsia="Arial Unicode MS" w:hAnsi="Times New Roman" w:cs="Times New Roman"/>
          <w:kern w:val="3"/>
          <w:sz w:val="24"/>
          <w:szCs w:val="24"/>
        </w:rPr>
        <w:t xml:space="preserve"> The practice of marketing drugs for purposes not backed by science is called “off-label promotion.” In addition, the restrictions upon who can prescribe psychiatric drugs have been reduced, thus allowing persons with lesser medical credentials (such as nurses with prescription authority) to prescribe these mind altering drugs.  The pharmaceutical industry has provided marketing and promotional educational training and materials for those wishing to gain prescription authority to prescribe these drugs.  This training is biased to sell their product, not to maximize patient informed consent and medical safety for the public.  In reality, pharmaceutical industry supported educational programs support coercive psychiatric drugging and the removal of civil rights of psychiatric patients, as well as life-long drugging with psychiatric drugs. These drugs are widely prescribed for unapproved uses, including other non-approved psychiatric conditions and insomnia, significantly boosting their sales.  These off-label psychiatric drugs do not live up to their marketing promises but instead have been known to cause serious, even fatal side-effects, particularly in children and the elderly.</w:t>
      </w:r>
      <w:r w:rsidRPr="008319BF">
        <w:rPr>
          <w:rFonts w:ascii="Times New Roman" w:eastAsia="Arial Unicode MS" w:hAnsi="Times New Roman" w:cs="Times New Roman"/>
          <w:kern w:val="3"/>
          <w:sz w:val="24"/>
          <w:szCs w:val="24"/>
          <w:vertAlign w:val="superscript"/>
        </w:rPr>
        <w:endnoteReference w:id="11"/>
      </w:r>
      <w:r w:rsidRPr="008319BF">
        <w:rPr>
          <w:rFonts w:ascii="Times New Roman" w:eastAsia="Arial Unicode MS" w:hAnsi="Times New Roman" w:cs="Times New Roman"/>
          <w:kern w:val="3"/>
          <w:sz w:val="24"/>
          <w:szCs w:val="24"/>
        </w:rPr>
        <w:t xml:space="preserve"> Lives of some our most vulnerable citizens have been irreparably damaged and many have been lost to fatal adverse effects and even to suicide.</w:t>
      </w:r>
      <w:r w:rsidRPr="008319BF">
        <w:rPr>
          <w:rFonts w:ascii="Times New Roman" w:eastAsia="Arial Unicode MS" w:hAnsi="Times New Roman" w:cs="Times New Roman"/>
          <w:kern w:val="3"/>
          <w:sz w:val="24"/>
          <w:szCs w:val="24"/>
          <w:vertAlign w:val="superscript"/>
        </w:rPr>
        <w:endnoteReference w:id="12"/>
      </w:r>
      <w:r w:rsidRPr="008319BF">
        <w:rPr>
          <w:rFonts w:ascii="Times New Roman" w:eastAsia="Arial Unicode MS" w:hAnsi="Times New Roman" w:cs="Times New Roman"/>
          <w:kern w:val="3"/>
          <w:sz w:val="24"/>
          <w:szCs w:val="24"/>
        </w:rPr>
        <w:t xml:space="preserve"> </w:t>
      </w:r>
      <w:r w:rsidRPr="008319BF">
        <w:rPr>
          <w:rFonts w:ascii="Times New Roman" w:eastAsia="Arial Unicode MS" w:hAnsi="Times New Roman" w:cs="Times New Roman"/>
          <w:kern w:val="3"/>
          <w:sz w:val="24"/>
          <w:szCs w:val="24"/>
          <w:vertAlign w:val="superscript"/>
        </w:rPr>
        <w:endnoteReference w:id="13"/>
      </w:r>
    </w:p>
    <w:p w:rsidR="00F43BCB" w:rsidRPr="008319BF"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 xml:space="preserve">Currently in all 50 states and in the District of Columbia, nurse practitioners prescribe these very dangerous mind altering substances.  Authorized professionals include, psychiatric nurse practitioners, clinical nurse specialists, and certified nurse anesthetists, even certified nurse midwives.  These nursing professionals are supposed to be supervised by medical doctors, but there is no actual oversight to make sure that this direct supervision actually occurs. So behind the closed doors of psychiatric hospitals, mental health clinics, and nursing homes, persons without the credentials of a doctor are prescribing these newly patented psychiatric drugs “off-label” with little restriction on wards of the court.  It is routine for pharmaceutical marketing personnel to offer incentives to these prescribing professionals including kickbacks, free educational training, free samples of products and other gifts.  Judges who make decisions about the medical care of the wards of the court, assume that these “qualified health care providers” are doing what is in “the best interest of the ward”.  </w:t>
      </w:r>
    </w:p>
    <w:p w:rsidR="00F43BCB" w:rsidRPr="008319BF"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lastRenderedPageBreak/>
        <w:t xml:space="preserve">There is no transparency about what happens behind those closed doors.  Patients who are wards of the court are routinely switched from one psychiatric drug (one losing its patent protections) to another newly patented drug based on decisions regarding pharmaceutical company profit.  Prescribing practitioners are paid to make these changes to a patient’s drug therapy, even if the medication change causes severe distress to the patient and the drug being prescribed has not even met Food and Drug Administration (FDA) safety standards.  Wards of the court have been switched onto psychiatric drugs for which there was an active FDA black box warning and even when the FDA was considering a recall of the patented drug.  Wards of the court were instead switched to the dangerous drug in large numbers in order to counteract the FDA restrictions, maintain profit for the pharmaceutical company, and provide statistically numerous clinical cases for expanded FDA approval for additional uses.  </w:t>
      </w:r>
    </w:p>
    <w:p w:rsidR="00F43BCB" w:rsidRPr="008319BF"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 xml:space="preserve">Prescribing providers withhold critical evidence of adverse events from the Food and Drug Administration (FDA), thus interfering with the ability of the FDA to ensure patient and public safety.  Judges are not educated by the Food and Drug Administration Regulators regarding what medications have black box warnings and what those warning mean.  Medical providers still switch wards of the court onto dangerous drugs in order to maximize profit, while at the same time claiming in court that the medication was still in the patient’s best interest.”  Judges are not informed that the FDA had issued a medical safety alert and the need to watch carefully for medication switching.  Wards of the court, had no informed consent and no right of refusal for this deliberate </w:t>
      </w:r>
      <w:r w:rsidRPr="008319BF">
        <w:rPr>
          <w:rFonts w:ascii="Times New Roman" w:eastAsia="Arial Unicode MS" w:hAnsi="Times New Roman" w:cs="Times New Roman"/>
          <w:i/>
          <w:kern w:val="3"/>
          <w:sz w:val="24"/>
          <w:szCs w:val="24"/>
        </w:rPr>
        <w:t>color of official right</w:t>
      </w:r>
      <w:r w:rsidRPr="008319BF">
        <w:rPr>
          <w:rFonts w:ascii="Times New Roman" w:eastAsia="Arial Unicode MS" w:hAnsi="Times New Roman" w:cs="Times New Roman"/>
          <w:kern w:val="3"/>
          <w:sz w:val="24"/>
          <w:szCs w:val="24"/>
        </w:rPr>
        <w:t xml:space="preserve"> abuse of the court’s power.  This is medical experimentation using off-label drugs on wards of the court without informed consent.  In addition, in the U.S.A. children in foster care are considered wards of the court and psychiatric medications are given to them without their informed consent.</w:t>
      </w:r>
    </w:p>
    <w:p w:rsidR="00F43BCB" w:rsidRDefault="00F43BCB"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 xml:space="preserve">In New Mexico, psychologists, who do not have medical training, and who have only completed a pharmaceutical industry training and certification program, are now permitted to prescribe these powerful psychotropic medications.  Psychologists are trained to conduct psychological assessments and provide psychotherapy, not to provide medical treatment.  These powerful mind-altering psychotropic medications do cause potentially disabling and life-threatening side effects such as: suicide and violence toward others, increased risks of stroke, cardiovascular disease, metabolic syndrome, diabetes, </w:t>
      </w:r>
      <w:r w:rsidR="005F2D62">
        <w:rPr>
          <w:rFonts w:ascii="Times New Roman" w:eastAsia="Arial Unicode MS" w:hAnsi="Times New Roman" w:cs="Times New Roman"/>
          <w:kern w:val="3"/>
          <w:sz w:val="24"/>
          <w:szCs w:val="24"/>
        </w:rPr>
        <w:t xml:space="preserve">acute closed angle glaucoma, </w:t>
      </w:r>
      <w:r w:rsidRPr="008319BF">
        <w:rPr>
          <w:rFonts w:ascii="Times New Roman" w:eastAsia="Arial Unicode MS" w:hAnsi="Times New Roman" w:cs="Times New Roman"/>
          <w:kern w:val="3"/>
          <w:sz w:val="24"/>
          <w:szCs w:val="24"/>
        </w:rPr>
        <w:t xml:space="preserve">seizures, fainting, and decreased infection-fighting white blood cells.  One adverse effect of these medications is neuroleptic malignant syndrome (NMS), a drug induced, toxic, potentially fatal condition resulting in renal failure (10% to 38% of NMS patients die). Early recognition and immediate emergency medical treatment of NMS is necessary to prevent death.  It is estimated that that over 50% of individuals with mental illnesses who are prescribed psychotropic drugs also have other serious medical conditions requiring other medications.  It takes medical expertise and experience to properly prescribe and monitor these complex medical interactions.  But right now in the U.S.A. persons without full medical training (certified nurse midwives, psychologists etc.) are routinely prescribing these drugs to wards of the court and getting paid kickbacks, bribes, and other incentives to do so. </w:t>
      </w:r>
    </w:p>
    <w:p w:rsidR="006E124A" w:rsidRDefault="006E124A"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p>
    <w:p w:rsidR="006E124A" w:rsidRPr="008319BF" w:rsidRDefault="006E124A" w:rsidP="00F43BCB">
      <w:pPr>
        <w:widowControl w:val="0"/>
        <w:suppressAutoHyphens/>
        <w:autoSpaceDN w:val="0"/>
        <w:spacing w:before="100" w:after="0" w:line="240" w:lineRule="auto"/>
        <w:textAlignment w:val="baseline"/>
        <w:rPr>
          <w:rFonts w:ascii="Times New Roman" w:eastAsia="Arial Unicode MS" w:hAnsi="Times New Roman" w:cs="Times New Roman"/>
          <w:kern w:val="3"/>
          <w:sz w:val="24"/>
          <w:szCs w:val="24"/>
        </w:rPr>
      </w:pPr>
    </w:p>
    <w:p w:rsidR="00760E32" w:rsidRPr="008319BF" w:rsidRDefault="00760E32" w:rsidP="00F43BCB">
      <w:pPr>
        <w:autoSpaceDN w:val="0"/>
        <w:spacing w:before="100" w:after="0" w:line="240" w:lineRule="auto"/>
        <w:contextualSpacing/>
        <w:textAlignment w:val="baseline"/>
        <w:rPr>
          <w:rFonts w:ascii="Times New Roman" w:eastAsia="Arial Unicode MS" w:hAnsi="Times New Roman" w:cs="Times New Roman"/>
          <w:kern w:val="3"/>
          <w:sz w:val="24"/>
          <w:szCs w:val="24"/>
        </w:rPr>
      </w:pPr>
    </w:p>
    <w:p w:rsidR="00F43BCB" w:rsidRPr="008319BF" w:rsidRDefault="0080612C" w:rsidP="008319BF">
      <w:pPr>
        <w:pStyle w:val="Heading1"/>
      </w:pPr>
      <w:bookmarkStart w:id="2" w:name="_Current_situation_/"/>
      <w:bookmarkStart w:id="3" w:name="_Toc414292302"/>
      <w:bookmarkStart w:id="4" w:name="_Toc414015924"/>
      <w:bookmarkEnd w:id="2"/>
      <w:r w:rsidRPr="008319BF">
        <w:lastRenderedPageBreak/>
        <w:t>II</w:t>
      </w:r>
      <w:r w:rsidR="00577114" w:rsidRPr="008319BF">
        <w:t>I</w:t>
      </w:r>
      <w:r w:rsidR="008319BF">
        <w:t xml:space="preserve">. </w:t>
      </w:r>
      <w:r w:rsidR="00F43BCB" w:rsidRPr="008319BF">
        <w:t>Current situation</w:t>
      </w:r>
      <w:bookmarkEnd w:id="3"/>
      <w:r w:rsidR="00F43BCB" w:rsidRPr="008319BF">
        <w:t xml:space="preserve"> </w:t>
      </w:r>
      <w:bookmarkEnd w:id="4"/>
    </w:p>
    <w:p w:rsidR="00F43BCB" w:rsidRPr="008319BF" w:rsidRDefault="00F43BCB" w:rsidP="00F43BCB">
      <w:pPr>
        <w:spacing w:after="0" w:line="240" w:lineRule="auto"/>
        <w:rPr>
          <w:rFonts w:ascii="Times New Roman" w:eastAsia="Times New Roman" w:hAnsi="Times New Roman" w:cs="Times New Roman"/>
          <w:b/>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Mental health patients, those with a mental disability, foster children</w:t>
      </w:r>
      <w:r w:rsidR="0067593D" w:rsidRPr="008319BF">
        <w:rPr>
          <w:rFonts w:ascii="Times New Roman" w:eastAsia="Times New Roman" w:hAnsi="Times New Roman" w:cs="Times New Roman"/>
          <w:sz w:val="24"/>
          <w:szCs w:val="24"/>
        </w:rPr>
        <w:t>, prisoners</w:t>
      </w:r>
      <w:r w:rsidRPr="008319BF">
        <w:rPr>
          <w:rFonts w:ascii="Times New Roman" w:eastAsia="Times New Roman" w:hAnsi="Times New Roman" w:cs="Times New Roman"/>
          <w:sz w:val="24"/>
          <w:szCs w:val="24"/>
        </w:rPr>
        <w:t xml:space="preserve"> and the elderly are very vulnerable to abuse and mistreatment. Survivor groups are forced to operate underground because of fear that their members will be victimized if their identities are revealed.  This affects their ability to publicly advocate on behalf of their constituents and therefore further impedes access to justice.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Effective monitoring of complaints of torture, inhumane treatment and abuse is necessary to ensure accountability, yet there is no effective monitoring of guardianship cases and the treatment of wards of the court. Domestic mechanisms of accountability and redress, must be accessible, transparent and effective but in the U.S.A. the court system does not even know exactly how many persons are currently wards of the court and in guardianship. Wards of the court are clearly persons in detention who were deprived liberty by state action.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Medical Whistleblower Advocacy Network (MWAN) points out that the substituted decision makers, the “qualified health care providers,” are not chosen by the patient, but instead assigned to the patient by those in a position of power and authority.  Medical practitioners sometimes treat persons with disabilities as objects of treatment rather than rights-holders and do not always seek their free and informed consent when it comes to treatments. These “qualified health care providers” are often directly chosen by those who are directly financially benefiting from the selected medical treatment and aligned with the abusers.  The “qualified health care providers” are given quasi-governmental immunity for their health care decisions and protected under special insurance for medical malpractice liability.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In addition, since most current mental health treatment is considered the administration of psychiatric drugs, these “qualified health care providers” are often financially and politically protected by the pharmaceutical industry’s legal team and direct lobbying efforts to governmental officials including enforcement agencies.  Qualified health care providers are often deceived by pharmaceutical marketing representatives into believing drug therapy is safer and more effective than it really is. Psychiatric drugs are often used off-label for uses that the FDA has not approved –essentially using the wards as scientific guinea pigs.  The medical care by “qualified health care providers” is often profit driven, and is often done with little regard to human rights and civil liberties. The goal of such care is often coercion and control of the disabled person.</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Wards of the court are forced into treatment against their wishes and without informed consent.  Forced drugging can be considered a form of torture and yet it is widely practiced in the U.S.A.  Psychiatric interventions can be enforced disappearances, often under the guise of emergency medical care where the victim is kept incognito from family and friends, while mental health staff force signatures on paperwork which effectively removes the right of others to legally intervene in what the medical establishment has planned.</w:t>
      </w:r>
    </w:p>
    <w:p w:rsidR="008E2574" w:rsidRPr="008319BF" w:rsidRDefault="008E2574" w:rsidP="008E2574">
      <w:pPr>
        <w:spacing w:before="100" w:after="200" w:line="276" w:lineRule="auto"/>
        <w:rPr>
          <w:rFonts w:ascii="Times New Roman" w:eastAsia="Times New Roman" w:hAnsi="Times New Roman" w:cs="Times New Roman"/>
          <w:sz w:val="24"/>
          <w:szCs w:val="24"/>
        </w:rPr>
      </w:pPr>
    </w:p>
    <w:p w:rsidR="008E2574" w:rsidRPr="008319BF" w:rsidRDefault="003145A8" w:rsidP="008319BF">
      <w:pPr>
        <w:pStyle w:val="Heading1"/>
      </w:pPr>
      <w:bookmarkStart w:id="5" w:name="_Review_of_Human"/>
      <w:bookmarkStart w:id="6" w:name="_Toc414015946"/>
      <w:bookmarkStart w:id="7" w:name="_Toc414292303"/>
      <w:bookmarkEnd w:id="5"/>
      <w:r w:rsidRPr="008319BF">
        <w:lastRenderedPageBreak/>
        <w:t>i</w:t>
      </w:r>
      <w:r w:rsidR="008319BF">
        <w:t xml:space="preserve">V. </w:t>
      </w:r>
      <w:r w:rsidR="008E2574" w:rsidRPr="008319BF">
        <w:t>Review of Human Rights Involved</w:t>
      </w:r>
      <w:bookmarkEnd w:id="6"/>
      <w:bookmarkEnd w:id="7"/>
    </w:p>
    <w:p w:rsidR="008E2574" w:rsidRPr="008319BF" w:rsidRDefault="008E2574" w:rsidP="008E2574">
      <w:pPr>
        <w:spacing w:before="100" w:after="0" w:line="240" w:lineRule="auto"/>
        <w:jc w:val="center"/>
        <w:rPr>
          <w:rFonts w:ascii="Times New Roman" w:eastAsia="Times New Roman" w:hAnsi="Times New Roman" w:cs="Times New Roman"/>
          <w:b/>
          <w:sz w:val="24"/>
          <w:szCs w:val="24"/>
        </w:rPr>
      </w:pPr>
    </w:p>
    <w:p w:rsidR="008E2574" w:rsidRPr="008319BF" w:rsidRDefault="008E2574" w:rsidP="008319BF">
      <w:pPr>
        <w:pStyle w:val="Heading2"/>
      </w:pPr>
      <w:bookmarkStart w:id="8" w:name="_Protection_of_Human"/>
      <w:bookmarkStart w:id="9" w:name="_Toc414015947"/>
      <w:bookmarkStart w:id="10" w:name="_Toc414292304"/>
      <w:bookmarkEnd w:id="8"/>
      <w:r w:rsidRPr="008319BF">
        <w:t>Protection of Human Subjects</w:t>
      </w:r>
      <w:bookmarkEnd w:id="9"/>
      <w:bookmarkEnd w:id="10"/>
      <w:r w:rsidRPr="008319BF">
        <w:t xml:space="preserve"> </w:t>
      </w:r>
    </w:p>
    <w:p w:rsidR="000336CD" w:rsidRDefault="000336CD" w:rsidP="008E2574">
      <w:pPr>
        <w:spacing w:after="0" w:line="240" w:lineRule="auto"/>
        <w:rPr>
          <w:rFonts w:ascii="Times New Roman" w:eastAsia="Arial Unicode MS" w:hAnsi="Times New Roman" w:cs="Times New Roman"/>
          <w:sz w:val="24"/>
          <w:szCs w:val="24"/>
        </w:rPr>
      </w:pPr>
    </w:p>
    <w:p w:rsidR="008E2574" w:rsidRPr="008319BF" w:rsidRDefault="008E2574" w:rsidP="008E2574">
      <w:pPr>
        <w:spacing w:after="0" w:line="240" w:lineRule="auto"/>
        <w:rPr>
          <w:rFonts w:ascii="Times New Roman" w:eastAsia="Arial Unicode MS" w:hAnsi="Times New Roman" w:cs="Times New Roman"/>
          <w:color w:val="000000"/>
          <w:sz w:val="24"/>
          <w:szCs w:val="24"/>
        </w:rPr>
      </w:pPr>
      <w:r w:rsidRPr="008319BF">
        <w:rPr>
          <w:rFonts w:ascii="Times New Roman" w:eastAsia="Arial Unicode MS" w:hAnsi="Times New Roman" w:cs="Times New Roman"/>
          <w:sz w:val="24"/>
          <w:szCs w:val="24"/>
        </w:rPr>
        <w:t>The Nuremberg Code and the related Declaration of Helsinki</w:t>
      </w:r>
      <w:r w:rsidRPr="008319BF">
        <w:rPr>
          <w:rFonts w:ascii="Times New Roman" w:eastAsia="Times New Roman" w:hAnsi="Times New Roman" w:cs="Times New Roman"/>
          <w:sz w:val="24"/>
          <w:szCs w:val="24"/>
          <w:vertAlign w:val="superscript"/>
        </w:rPr>
        <w:endnoteReference w:id="14"/>
      </w:r>
      <w:r w:rsidRPr="008319BF">
        <w:rPr>
          <w:rFonts w:ascii="Times New Roman" w:eastAsia="Arial Unicode MS" w:hAnsi="Times New Roman" w:cs="Times New Roman"/>
          <w:sz w:val="24"/>
          <w:szCs w:val="24"/>
        </w:rPr>
        <w:t xml:space="preserve"> delineates what is considered ethical conduct for human subjects’ research</w:t>
      </w:r>
      <w:r w:rsidRPr="008319BF">
        <w:rPr>
          <w:rFonts w:ascii="Times New Roman" w:eastAsia="Times New Roman" w:hAnsi="Times New Roman" w:cs="Times New Roman"/>
          <w:sz w:val="24"/>
          <w:szCs w:val="24"/>
          <w:vertAlign w:val="superscript"/>
        </w:rPr>
        <w:endnoteReference w:id="15"/>
      </w:r>
      <w:r w:rsidRPr="008319BF">
        <w:rPr>
          <w:rFonts w:ascii="Times New Roman" w:eastAsia="Arial Unicode MS" w:hAnsi="Times New Roman" w:cs="Times New Roman"/>
          <w:sz w:val="24"/>
          <w:szCs w:val="24"/>
        </w:rPr>
        <w:t xml:space="preserve"> and forms the basis for the US Code of Federal Regulations - Title 45 Volume 46 (The Common Rule). </w:t>
      </w:r>
      <w:r w:rsidRPr="008319BF">
        <w:rPr>
          <w:rFonts w:ascii="Times New Roman" w:eastAsia="Times New Roman" w:hAnsi="Times New Roman" w:cs="Times New Roman"/>
          <w:sz w:val="24"/>
          <w:szCs w:val="24"/>
        </w:rPr>
        <w:t xml:space="preserve">The United States Department of Health and Human Services (HHS) regulations 45 CFR part 46 </w:t>
      </w:r>
      <w:r w:rsidRPr="008319BF">
        <w:rPr>
          <w:rFonts w:ascii="Times New Roman" w:eastAsia="Times New Roman" w:hAnsi="Times New Roman" w:cs="Times New Roman"/>
          <w:sz w:val="24"/>
          <w:szCs w:val="24"/>
          <w:vertAlign w:val="superscript"/>
        </w:rPr>
        <w:endnoteReference w:id="16"/>
      </w:r>
      <w:r w:rsidRPr="008319BF">
        <w:rPr>
          <w:rFonts w:ascii="Times New Roman" w:eastAsia="Times New Roman" w:hAnsi="Times New Roman" w:cs="Times New Roman"/>
          <w:sz w:val="24"/>
          <w:szCs w:val="24"/>
        </w:rPr>
        <w:t xml:space="preserve"> </w:t>
      </w:r>
      <w:r w:rsidRPr="008319BF">
        <w:rPr>
          <w:rFonts w:ascii="Times New Roman" w:eastAsia="Arial Unicode MS" w:hAnsi="Times New Roman" w:cs="Times New Roman"/>
          <w:sz w:val="24"/>
          <w:szCs w:val="24"/>
        </w:rPr>
        <w:t xml:space="preserve">governs all federally-funded research in the United States.  </w:t>
      </w:r>
      <w:r w:rsidRPr="008319BF">
        <w:rPr>
          <w:rFonts w:ascii="Times New Roman" w:eastAsia="Arial Unicode MS" w:hAnsi="Times New Roman" w:cs="Times New Roman"/>
          <w:color w:val="000000"/>
          <w:sz w:val="24"/>
          <w:szCs w:val="24"/>
        </w:rPr>
        <w:t>The United States Constitution should constrain the use of individuals in non-consensual experimentation, including non-consensual medical treatment and experimentation. Specifically, the Fifth and Fourteenth Amendments proscribe deprivation of life, liberty or property without due process of law.</w:t>
      </w:r>
      <w:r w:rsidRPr="008319BF">
        <w:rPr>
          <w:rFonts w:ascii="Times New Roman" w:eastAsia="Arial Unicode MS" w:hAnsi="Times New Roman" w:cs="Times New Roman"/>
          <w:color w:val="000000"/>
          <w:sz w:val="24"/>
          <w:szCs w:val="24"/>
          <w:vertAlign w:val="superscript"/>
        </w:rPr>
        <w:endnoteReference w:id="17"/>
      </w:r>
      <w:r w:rsidRPr="008319BF">
        <w:rPr>
          <w:rFonts w:ascii="Times New Roman" w:eastAsia="Arial Unicode MS" w:hAnsi="Times New Roman" w:cs="Times New Roman"/>
          <w:color w:val="000000"/>
          <w:sz w:val="24"/>
          <w:szCs w:val="24"/>
        </w:rPr>
        <w:t xml:space="preserve"> The Fourth Amendment proscribes unreasonable searches and seizures (including of a person’s body), and the Eighth Amendment proscribes the infliction of cruel and unusual punishment.  Federal law also prohibits non-consensual clinical investigations of medical products on human subjects in the U.S., and in foreign clinical investigations when the data are to be used to support drug or device approvals. </w:t>
      </w:r>
      <w:r w:rsidRPr="008319BF">
        <w:rPr>
          <w:rFonts w:ascii="Times New Roman" w:eastAsia="Arial Unicode MS" w:hAnsi="Times New Roman" w:cs="Times New Roman"/>
          <w:color w:val="000000"/>
          <w:sz w:val="24"/>
          <w:szCs w:val="24"/>
          <w:vertAlign w:val="superscript"/>
        </w:rPr>
        <w:endnoteReference w:id="18"/>
      </w:r>
      <w:r w:rsidRPr="008319BF">
        <w:rPr>
          <w:rFonts w:ascii="Times New Roman" w:eastAsia="Arial Unicode MS" w:hAnsi="Times New Roman" w:cs="Times New Roman"/>
          <w:color w:val="000000"/>
          <w:sz w:val="24"/>
          <w:szCs w:val="24"/>
        </w:rPr>
        <w:t xml:space="preserve"> </w:t>
      </w:r>
    </w:p>
    <w:p w:rsidR="008E2574" w:rsidRPr="008319BF" w:rsidRDefault="008E2574" w:rsidP="008E2574">
      <w:pPr>
        <w:spacing w:after="0" w:line="240" w:lineRule="auto"/>
        <w:rPr>
          <w:rFonts w:ascii="Times New Roman" w:eastAsia="Arial Unicode MS" w:hAnsi="Times New Roman" w:cs="Times New Roman"/>
          <w:color w:val="000000"/>
          <w:sz w:val="24"/>
          <w:szCs w:val="24"/>
        </w:rPr>
      </w:pPr>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Human subject research includes experiments and observational studies in basic biology, clinical medicine, nursing, psychology, and all other social sciences. There are various codes for the proper and responsible conduct of human experimentation in medical research, the best known of these codes are the Nuremberg Code of 1947,</w:t>
      </w:r>
      <w:r w:rsidRPr="008319BF">
        <w:rPr>
          <w:rFonts w:ascii="Times New Roman" w:eastAsia="Arial Unicode MS" w:hAnsi="Times New Roman" w:cs="Times New Roman"/>
          <w:kern w:val="3"/>
          <w:sz w:val="24"/>
          <w:szCs w:val="24"/>
          <w:vertAlign w:val="superscript"/>
        </w:rPr>
        <w:endnoteReference w:id="19"/>
      </w:r>
      <w:r w:rsidRPr="008319BF">
        <w:rPr>
          <w:rFonts w:ascii="Times New Roman" w:eastAsia="Arial Unicode MS" w:hAnsi="Times New Roman" w:cs="Times New Roman"/>
          <w:kern w:val="3"/>
          <w:sz w:val="24"/>
          <w:szCs w:val="24"/>
        </w:rPr>
        <w:t xml:space="preserve"> the Helsinki Declaration of 1964 (revised in 1975),</w:t>
      </w:r>
      <w:r w:rsidRPr="008319BF">
        <w:rPr>
          <w:rFonts w:ascii="Times New Roman" w:eastAsia="Arial Unicode MS" w:hAnsi="Times New Roman" w:cs="Times New Roman"/>
          <w:kern w:val="3"/>
          <w:sz w:val="24"/>
          <w:szCs w:val="24"/>
          <w:vertAlign w:val="superscript"/>
        </w:rPr>
        <w:endnoteReference w:id="20"/>
      </w:r>
      <w:r w:rsidRPr="008319BF">
        <w:rPr>
          <w:rFonts w:ascii="Times New Roman" w:eastAsia="Arial Unicode MS" w:hAnsi="Times New Roman" w:cs="Times New Roman"/>
          <w:kern w:val="3"/>
          <w:sz w:val="24"/>
          <w:szCs w:val="24"/>
        </w:rPr>
        <w:t xml:space="preserve"> and the 1971 Guidelines</w:t>
      </w:r>
      <w:r w:rsidRPr="008319BF">
        <w:rPr>
          <w:rFonts w:ascii="Times New Roman" w:eastAsia="Arial Unicode MS" w:hAnsi="Times New Roman" w:cs="Times New Roman"/>
          <w:kern w:val="3"/>
          <w:sz w:val="24"/>
          <w:szCs w:val="24"/>
          <w:vertAlign w:val="superscript"/>
        </w:rPr>
        <w:endnoteReference w:id="21"/>
      </w:r>
      <w:r w:rsidRPr="008319BF">
        <w:rPr>
          <w:rFonts w:ascii="Times New Roman" w:eastAsia="Arial Unicode MS" w:hAnsi="Times New Roman" w:cs="Times New Roman"/>
          <w:kern w:val="3"/>
          <w:sz w:val="24"/>
          <w:szCs w:val="24"/>
        </w:rPr>
        <w:t xml:space="preserve"> (codified into Federal Regulations in 1974) issued by the U.S. Department of Health, Education.  The Belmont Report</w:t>
      </w:r>
      <w:r w:rsidRPr="008319BF">
        <w:rPr>
          <w:rFonts w:ascii="Times New Roman" w:eastAsia="Arial Unicode MS" w:hAnsi="Times New Roman" w:cs="Times New Roman"/>
          <w:kern w:val="3"/>
          <w:sz w:val="24"/>
          <w:szCs w:val="24"/>
          <w:vertAlign w:val="superscript"/>
        </w:rPr>
        <w:endnoteReference w:id="22"/>
      </w:r>
      <w:r w:rsidRPr="008319BF">
        <w:rPr>
          <w:rFonts w:ascii="Times New Roman" w:eastAsia="Arial Unicode MS" w:hAnsi="Times New Roman" w:cs="Times New Roman"/>
          <w:kern w:val="3"/>
          <w:sz w:val="24"/>
          <w:szCs w:val="24"/>
        </w:rPr>
        <w:t xml:space="preserve"> was written concerning the Ethical Principles and Guidelines for the protection of human subjects of research. The Nuremberg Code and the related Declaration of Helsinki delineates what is considered ethical conduct for human subjects’ research and forms the basis for the US Code of Federal Regulations - Title 45 Volume 46 (The Common Rule).  </w:t>
      </w:r>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The Federal Policy for the Protection of Human Subjects or the “Common Rule” was codified in separate regulations by 15 Federal departments and agencies. The United States Department of Health and Human Services (HHS) regulations 45 CFR part 46 governs all federally-funded research in the United States.</w:t>
      </w:r>
      <w:r w:rsidRPr="008319BF">
        <w:rPr>
          <w:rFonts w:ascii="Times New Roman" w:eastAsia="Arial Unicode MS" w:hAnsi="Times New Roman" w:cs="Times New Roman"/>
          <w:kern w:val="3"/>
          <w:sz w:val="24"/>
          <w:szCs w:val="24"/>
          <w:vertAlign w:val="superscript"/>
        </w:rPr>
        <w:endnoteReference w:id="23"/>
      </w:r>
      <w:r w:rsidRPr="008319BF">
        <w:rPr>
          <w:rFonts w:ascii="Times New Roman" w:eastAsia="Arial Unicode MS" w:hAnsi="Times New Roman" w:cs="Times New Roman"/>
          <w:kern w:val="3"/>
          <w:sz w:val="24"/>
          <w:szCs w:val="24"/>
        </w:rPr>
        <w:t xml:space="preserve"> The right to informed consent is delineated in the federal regulation Protection of Human Subjects, 45 CFR 46 also known as the Common Rule under the authority granted by the U.S. Department of Health and Human Services. There are also Welfare Codes for the conduct of social and behavioral research such as that published by the American Psychological Association in 1973.  </w:t>
      </w:r>
    </w:p>
    <w:p w:rsidR="008E2574" w:rsidRPr="008319BF" w:rsidRDefault="008E2574" w:rsidP="008E2574">
      <w:pPr>
        <w:spacing w:after="0" w:line="240" w:lineRule="auto"/>
        <w:rPr>
          <w:rFonts w:ascii="Times New Roman" w:eastAsia="Arial Unicode MS" w:hAnsi="Times New Roman" w:cs="Times New Roman"/>
          <w:color w:val="000000"/>
          <w:sz w:val="24"/>
          <w:szCs w:val="24"/>
        </w:rPr>
      </w:pPr>
    </w:p>
    <w:p w:rsidR="008E2574" w:rsidRPr="008319BF" w:rsidRDefault="008E2574" w:rsidP="008E2574">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color w:val="000000"/>
          <w:sz w:val="24"/>
          <w:szCs w:val="24"/>
        </w:rPr>
        <w:t xml:space="preserve">Control of pharmaceutical and device products is vested by statute in the Food and Drug Administration (FDA) within HHS.  The involvement of human beings in such research is prohibited unless the subject or the subject’s legally authorized representative has provided prior informed consent, with only very limited exceptions.  A waiver of informed consent by the Institutional Review Board is supposed to be granted only in circumstances where the research </w:t>
      </w:r>
      <w:r w:rsidRPr="008319BF">
        <w:rPr>
          <w:rFonts w:ascii="Times New Roman" w:eastAsia="Arial Unicode MS" w:hAnsi="Times New Roman" w:cs="Times New Roman"/>
          <w:color w:val="000000"/>
          <w:sz w:val="24"/>
          <w:szCs w:val="24"/>
        </w:rPr>
        <w:lastRenderedPageBreak/>
        <w:t xml:space="preserve">presents no more than minimal risk to subjects, and the waiver will not adversely affect subjects’ rights and welfare. </w:t>
      </w:r>
      <w:r w:rsidRPr="008319BF">
        <w:rPr>
          <w:rFonts w:ascii="Times New Roman" w:eastAsia="Arial Unicode MS" w:hAnsi="Times New Roman" w:cs="Times New Roman"/>
          <w:sz w:val="24"/>
          <w:szCs w:val="24"/>
        </w:rPr>
        <w:t xml:space="preserve"> </w:t>
      </w:r>
    </w:p>
    <w:p w:rsidR="008E2574" w:rsidRPr="008319BF" w:rsidRDefault="008E2574" w:rsidP="008E2574">
      <w:pPr>
        <w:spacing w:after="0" w:line="240" w:lineRule="auto"/>
        <w:rPr>
          <w:rFonts w:ascii="Times New Roman" w:eastAsia="Arial Unicode MS" w:hAnsi="Times New Roman" w:cs="Times New Roman"/>
          <w:sz w:val="24"/>
          <w:szCs w:val="24"/>
        </w:rPr>
      </w:pPr>
    </w:p>
    <w:p w:rsidR="008E2574" w:rsidRPr="008319BF" w:rsidRDefault="008E2574" w:rsidP="008E2574">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Human experiments have been performed in the United States which have been considered unethical, and were often performed illegally without the knowledge, consent, or informed consent of the test subjects.</w:t>
      </w:r>
      <w:r w:rsidRPr="008319BF">
        <w:rPr>
          <w:rFonts w:ascii="Times New Roman" w:eastAsia="Arial Unicode MS" w:hAnsi="Times New Roman" w:cs="Times New Roman"/>
          <w:sz w:val="24"/>
          <w:szCs w:val="24"/>
          <w:vertAlign w:val="superscript"/>
        </w:rPr>
        <w:t xml:space="preserve"> </w:t>
      </w:r>
      <w:r w:rsidRPr="008319BF">
        <w:rPr>
          <w:rFonts w:ascii="Times New Roman" w:eastAsia="Times New Roman" w:hAnsi="Times New Roman" w:cs="Times New Roman"/>
          <w:sz w:val="24"/>
          <w:szCs w:val="24"/>
          <w:vertAlign w:val="superscript"/>
        </w:rPr>
        <w:endnoteReference w:id="24"/>
      </w:r>
      <w:r w:rsidRPr="008319BF">
        <w:rPr>
          <w:rFonts w:ascii="Times New Roman" w:eastAsia="Arial Unicode MS" w:hAnsi="Times New Roman" w:cs="Times New Roman"/>
          <w:sz w:val="24"/>
          <w:szCs w:val="24"/>
        </w:rPr>
        <w:t xml:space="preserve"> Vulnerable populations such as children, mentally disabled persons, prisoners, persons already suffering from disease or injury, financially disadvantaged, immigrants, or from a racial minority population were targeted for use by researchers.  </w:t>
      </w:r>
    </w:p>
    <w:p w:rsidR="008E2574" w:rsidRPr="008319BF" w:rsidRDefault="008E2574" w:rsidP="008E2574">
      <w:pPr>
        <w:spacing w:after="0" w:line="240" w:lineRule="auto"/>
        <w:rPr>
          <w:rFonts w:ascii="Times New Roman" w:eastAsia="Arial Unicode MS" w:hAnsi="Times New Roman" w:cs="Times New Roman"/>
          <w:sz w:val="24"/>
          <w:szCs w:val="24"/>
        </w:rPr>
      </w:pPr>
    </w:p>
    <w:p w:rsidR="008E2574" w:rsidRPr="008319BF" w:rsidRDefault="008E2574" w:rsidP="008E2574">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Research can be disguised as “treatment” but instead actually be a harmful or deadly experiment done without the patient’s knowledge or informed consent to treatment. Numerous court cases have been brought regarding psychiatric forced drugging and the lack of informed consent. </w:t>
      </w:r>
      <w:r w:rsidRPr="008319BF">
        <w:rPr>
          <w:rFonts w:ascii="Times New Roman" w:eastAsia="Times New Roman" w:hAnsi="Times New Roman" w:cs="Times New Roman"/>
          <w:sz w:val="24"/>
          <w:szCs w:val="24"/>
          <w:vertAlign w:val="superscript"/>
        </w:rPr>
        <w:endnoteReference w:id="25"/>
      </w:r>
      <w:r w:rsidRPr="008319BF">
        <w:rPr>
          <w:rFonts w:ascii="Times New Roman" w:eastAsia="Arial Unicode MS"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26"/>
      </w:r>
      <w:r w:rsidRPr="008319BF">
        <w:rPr>
          <w:rFonts w:ascii="Times New Roman" w:eastAsia="Arial Unicode MS"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27"/>
      </w:r>
      <w:r w:rsidRPr="008319BF">
        <w:rPr>
          <w:rFonts w:ascii="Times New Roman" w:eastAsia="Times New Roman" w:hAnsi="Times New Roman" w:cs="Times New Roman"/>
          <w:sz w:val="24"/>
          <w:szCs w:val="24"/>
        </w:rPr>
        <w:t xml:space="preserve"> </w:t>
      </w:r>
      <w:r w:rsidRPr="008319BF">
        <w:rPr>
          <w:rFonts w:ascii="Times New Roman" w:eastAsia="Arial Unicode MS"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28"/>
      </w:r>
      <w:r w:rsidRPr="008319BF">
        <w:rPr>
          <w:rFonts w:ascii="Times New Roman" w:eastAsia="Arial Unicode MS"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29"/>
      </w:r>
      <w:r w:rsidRPr="008319BF">
        <w:rPr>
          <w:rFonts w:ascii="Times New Roman" w:eastAsia="Arial Unicode MS" w:hAnsi="Times New Roman" w:cs="Times New Roman"/>
          <w:sz w:val="24"/>
          <w:szCs w:val="24"/>
        </w:rPr>
        <w:t xml:space="preserve">  </w:t>
      </w:r>
    </w:p>
    <w:p w:rsidR="0094798E" w:rsidRPr="008319BF" w:rsidRDefault="0094798E" w:rsidP="008E2574">
      <w:pPr>
        <w:spacing w:after="0" w:line="240" w:lineRule="auto"/>
        <w:rPr>
          <w:rFonts w:ascii="Times New Roman" w:eastAsia="Arial Unicode MS" w:hAnsi="Times New Roman" w:cs="Times New Roman"/>
          <w:sz w:val="24"/>
          <w:szCs w:val="24"/>
        </w:rPr>
      </w:pPr>
    </w:p>
    <w:p w:rsidR="008E2574" w:rsidRPr="008319BF" w:rsidRDefault="008E2574" w:rsidP="008319BF">
      <w:pPr>
        <w:pStyle w:val="Heading2"/>
      </w:pPr>
      <w:bookmarkStart w:id="11" w:name="_Informed_Consent"/>
      <w:bookmarkStart w:id="12" w:name="_Toc414015948"/>
      <w:bookmarkStart w:id="13" w:name="_Toc414292305"/>
      <w:bookmarkEnd w:id="11"/>
      <w:r w:rsidRPr="008319BF">
        <w:t>Informed Consent</w:t>
      </w:r>
      <w:bookmarkEnd w:id="12"/>
      <w:bookmarkEnd w:id="13"/>
      <w:r w:rsidRPr="008319BF">
        <w:t xml:space="preserve"> </w:t>
      </w:r>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The principle of Free, Prior and Informed Consent is an important human right which has been addressed in many international and domestic laws and practices. Guardianship keeps people in institutions and negates the right of people with disabilities to exercise legal capacity, an aspect of the right to recognition as persons before the law.  Often guardianship and the use of surrogate decision-makers is used to circumvent informed consent rather than making an honest attempt to discern the wishes of the person. To refuse to recognize the individual patient's human right to informed consent is contrary to the recognition of the legal capacity of persons with disabilities on an equal basis with others.  Civil commitment laws create a separate regime of detention and involuntary treatment applicable only to persons with psychosocial disabilities that is discriminatory in purpose and effect</w:t>
      </w:r>
    </w:p>
    <w:p w:rsidR="008E2574" w:rsidRPr="008319BF" w:rsidRDefault="008E2574" w:rsidP="008E2574">
      <w:pPr>
        <w:autoSpaceDN w:val="0"/>
        <w:spacing w:before="100" w:after="0" w:line="240" w:lineRule="auto"/>
        <w:textAlignment w:val="baseline"/>
        <w:rPr>
          <w:rFonts w:ascii="Times New Roman" w:eastAsia="Arial Unicode MS" w:hAnsi="Times New Roman" w:cs="Times New Roman"/>
          <w:kern w:val="3"/>
          <w:sz w:val="24"/>
          <w:szCs w:val="24"/>
        </w:rPr>
      </w:pPr>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r w:rsidRPr="008319BF">
        <w:rPr>
          <w:rFonts w:ascii="Times New Roman" w:eastAsia="Arial Unicode MS" w:hAnsi="Times New Roman" w:cs="Times New Roman"/>
          <w:kern w:val="3"/>
          <w:sz w:val="24"/>
          <w:szCs w:val="24"/>
        </w:rPr>
        <w:t>In situations of civil commitment and compulsory mental health treatment the U.S. Supreme Court recognizes infringements of the liberty interest (a Constitutional Right) but asserts that these infringements are justified by state interests.</w:t>
      </w:r>
      <w:r w:rsidRPr="008319BF">
        <w:rPr>
          <w:rFonts w:ascii="Times New Roman" w:eastAsia="Times New Roman" w:hAnsi="Times New Roman" w:cs="Times New Roman"/>
          <w:sz w:val="24"/>
          <w:szCs w:val="24"/>
          <w:vertAlign w:val="superscript"/>
        </w:rPr>
        <w:endnoteReference w:id="30"/>
      </w:r>
      <w:r w:rsidRPr="008319BF">
        <w:rPr>
          <w:rFonts w:ascii="Times New Roman" w:eastAsia="Arial Unicode MS" w:hAnsi="Times New Roman" w:cs="Times New Roman"/>
          <w:kern w:val="3"/>
          <w:sz w:val="24"/>
          <w:szCs w:val="24"/>
        </w:rPr>
        <w:t xml:space="preserve"> </w:t>
      </w:r>
      <w:r w:rsidRPr="008319BF">
        <w:rPr>
          <w:rFonts w:ascii="Times New Roman" w:eastAsia="Times New Roman" w:hAnsi="Times New Roman" w:cs="Times New Roman"/>
          <w:sz w:val="24"/>
          <w:szCs w:val="24"/>
          <w:vertAlign w:val="superscript"/>
        </w:rPr>
        <w:endnoteReference w:id="31"/>
      </w:r>
      <w:r w:rsidRPr="008319BF">
        <w:rPr>
          <w:rFonts w:ascii="Times New Roman" w:eastAsia="Arial Unicode MS" w:hAnsi="Times New Roman" w:cs="Times New Roman"/>
          <w:kern w:val="3"/>
          <w:sz w:val="24"/>
          <w:szCs w:val="24"/>
        </w:rPr>
        <w:t xml:space="preserve"> These practices pose a serious violation of mental and physical integrity by their close connection with disability-based discrimination, as analyzed by UN Special Rapporteur on Torture Manfred Nowak. </w:t>
      </w:r>
      <w:r w:rsidRPr="008319BF">
        <w:rPr>
          <w:rFonts w:ascii="Times New Roman" w:eastAsia="Times New Roman" w:hAnsi="Times New Roman" w:cs="Times New Roman"/>
          <w:sz w:val="24"/>
          <w:szCs w:val="24"/>
          <w:vertAlign w:val="superscript"/>
        </w:rPr>
        <w:endnoteReference w:id="32"/>
      </w:r>
    </w:p>
    <w:p w:rsidR="008E2574" w:rsidRPr="008319BF" w:rsidRDefault="008E2574" w:rsidP="008E2574">
      <w:pPr>
        <w:widowControl w:val="0"/>
        <w:suppressAutoHyphens/>
        <w:autoSpaceDN w:val="0"/>
        <w:spacing w:before="100" w:after="0" w:line="240" w:lineRule="auto"/>
        <w:contextualSpacing/>
        <w:textAlignment w:val="baseline"/>
        <w:rPr>
          <w:rFonts w:ascii="Times New Roman" w:eastAsia="Arial Unicode MS" w:hAnsi="Times New Roman" w:cs="Times New Roman"/>
          <w:kern w:val="3"/>
          <w:sz w:val="24"/>
          <w:szCs w:val="24"/>
        </w:rPr>
      </w:pPr>
    </w:p>
    <w:p w:rsidR="008E2574" w:rsidRPr="008319BF" w:rsidRDefault="008E2574" w:rsidP="008E2574">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Informed consent is consent obtained freely, without threats or improper inducements, and after appropriate disclosure to the patient of adequate and understandable information in a form and language understood by the patient.  Engaging in an informed-consent process between a clinical doctor and a patient should be an essential part of the standard of care in medicine. Informed consent is a process, not just a formality, and engaging in that process is of the essence of good medical care. Information must be provided to the patient in a timely manner and in accordance with the accepted standard of practice among members of the profession with similar training and experience. A health care professional may be legally liable if a patient does not give "informed consent" to a medical procedure and it results in harm to patient even if the procedure is properly performed.</w:t>
      </w:r>
      <w:r w:rsidRPr="008319BF">
        <w:rPr>
          <w:rFonts w:ascii="Times New Roman" w:eastAsia="Times New Roman" w:hAnsi="Times New Roman" w:cs="Times New Roman"/>
          <w:sz w:val="24"/>
          <w:szCs w:val="24"/>
          <w:vertAlign w:val="superscript"/>
        </w:rPr>
        <w:endnoteReference w:id="33"/>
      </w:r>
      <w:r w:rsidRPr="008319BF">
        <w:rPr>
          <w:rFonts w:ascii="Times New Roman" w:eastAsia="Arial Unicode MS" w:hAnsi="Times New Roman" w:cs="Times New Roman"/>
          <w:sz w:val="24"/>
          <w:szCs w:val="24"/>
        </w:rPr>
        <w:t xml:space="preserve">  </w:t>
      </w:r>
    </w:p>
    <w:p w:rsidR="008E2574" w:rsidRPr="008319BF" w:rsidRDefault="008E2574" w:rsidP="008E2574">
      <w:pPr>
        <w:spacing w:after="0" w:line="240" w:lineRule="auto"/>
        <w:rPr>
          <w:rFonts w:ascii="Times New Roman" w:eastAsia="Arial Unicode MS" w:hAnsi="Times New Roman" w:cs="Times New Roman"/>
          <w:sz w:val="24"/>
          <w:szCs w:val="24"/>
        </w:rPr>
      </w:pPr>
    </w:p>
    <w:p w:rsidR="008E2574" w:rsidRPr="008319BF" w:rsidRDefault="008E2574" w:rsidP="008E2574">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lastRenderedPageBreak/>
        <w:t xml:space="preserve">Adequate informed-consent process is not just a risk management process, it is good medical practice.  Informed consent should define risks and potential benefits, but also take into consideration alternative treatments. Informed consent is an agreement to do something or to allow something to happen, made with complete knowledge of all relevant facts, such as the risks involved.  There is a general right for all human persons to be free of inhuman treatment and individuals also have the legal right to privacy under international human rights law.  </w:t>
      </w:r>
    </w:p>
    <w:p w:rsidR="008E2574" w:rsidRPr="008319BF" w:rsidRDefault="008E2574" w:rsidP="008E2574">
      <w:pPr>
        <w:spacing w:after="0" w:line="240" w:lineRule="auto"/>
        <w:rPr>
          <w:rFonts w:ascii="Times New Roman" w:eastAsia="Arial Unicode MS" w:hAnsi="Times New Roman" w:cs="Times New Roman"/>
          <w:sz w:val="24"/>
          <w:szCs w:val="24"/>
        </w:rPr>
      </w:pPr>
    </w:p>
    <w:p w:rsidR="008E2574" w:rsidRPr="008319BF" w:rsidRDefault="008E2574" w:rsidP="008E2574">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International human rights case law supports the concept that individuals do have the legal right to decide whether a proposed medical treatment will be performed on them. The human right to decide one's own treatment does not disappear just because it is more convenient or financially more beneficial for the caregivers or for the family members of the individual to force treatment. This right to decide to refuse treatment is a human right we all enjoy. Mental health treatment under human rights law should be the same as other treatments in regards to consent to treatment.  But it is a sad fact that this right has not necessarily been consistently protected and thus through our mental health systems extended to people with mental disabilities.  </w:t>
      </w:r>
    </w:p>
    <w:p w:rsidR="008E2574" w:rsidRPr="008319BF" w:rsidRDefault="008E2574" w:rsidP="008E2574">
      <w:pPr>
        <w:spacing w:after="0" w:line="240" w:lineRule="auto"/>
        <w:rPr>
          <w:rFonts w:ascii="Times New Roman" w:eastAsia="Arial Unicode MS" w:hAnsi="Times New Roman" w:cs="Times New Roman"/>
          <w:sz w:val="24"/>
          <w:szCs w:val="24"/>
        </w:rPr>
      </w:pPr>
    </w:p>
    <w:p w:rsidR="008E2574" w:rsidRPr="008319BF" w:rsidRDefault="008E2574" w:rsidP="008E2574">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Patients need to have the intellectual capacity to understand basic information about their diagnosis and proposed treatment. Correspondingly doctors have a responsibility to communicate the information in terms the patient can understand and to make efforts to be available to answer questions the patient may have. Skepticism by the patient in such circumstances does not mean that the person does not have capacity to make treatment decisions. Even if the patient, due to their disability, cannot believe the doctor's diagnosis that doesn't mean that the patient does not have capacity to make treatment decisions. Essentially, people have the right to make treatment decisions under Principle 19 of the UN's "Principles for the Protection of Persons with Mental Illness."  </w:t>
      </w:r>
    </w:p>
    <w:p w:rsidR="008E2574" w:rsidRPr="008319BF" w:rsidRDefault="008E2574" w:rsidP="008E2574">
      <w:pPr>
        <w:spacing w:after="0" w:line="240" w:lineRule="auto"/>
        <w:rPr>
          <w:rFonts w:ascii="Times New Roman" w:eastAsia="Arial Unicode MS" w:hAnsi="Times New Roman" w:cs="Times New Roman"/>
          <w:sz w:val="24"/>
          <w:szCs w:val="24"/>
        </w:rPr>
      </w:pPr>
    </w:p>
    <w:p w:rsidR="008E2574" w:rsidRPr="008319BF" w:rsidRDefault="008E2574" w:rsidP="008E2574">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Because those with mental health disabilities are often detained, this then often automatically leads to forced treatment. This does not necessarily need to happen. It is not theoretically inconsistent with confining someone in a psychiatric facility, but still leaving them with the authority to decide treatment decisions.  No treatment should be provided except in emergency situations until a determination of capacity has been made through a judicial hearing for treatment decisions. The hearing must be by an independent arbiter, and be judicial in character. In addition there must be a right of the patient to return for re-consideration of the situation at regular intervals. A hearing to determine incapacity is required. Persons, who are lacking capacity, are often institutionalized and over-medicated.  </w:t>
      </w:r>
    </w:p>
    <w:p w:rsidR="008E2574" w:rsidRPr="008319BF" w:rsidRDefault="008E2574" w:rsidP="008E2574">
      <w:pPr>
        <w:spacing w:after="0" w:line="240" w:lineRule="auto"/>
        <w:rPr>
          <w:rFonts w:ascii="Times New Roman" w:eastAsia="Times New Roman" w:hAnsi="Times New Roman" w:cs="Times New Roman"/>
          <w:sz w:val="24"/>
          <w:szCs w:val="24"/>
        </w:rPr>
      </w:pPr>
    </w:p>
    <w:p w:rsidR="008E2574" w:rsidRPr="008319BF" w:rsidRDefault="008E2574" w:rsidP="008E2574">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Side effects of these drugs include somnolence, obesity, and impaired cognition.  These psychiatric medications may adversely affect the individual's quality of life and even shorten the person's life expectancy.</w:t>
      </w:r>
      <w:r w:rsidRPr="008319BF">
        <w:rPr>
          <w:rFonts w:ascii="Times New Roman" w:eastAsia="Times New Roman" w:hAnsi="Times New Roman" w:cs="Times New Roman"/>
          <w:sz w:val="24"/>
          <w:szCs w:val="24"/>
          <w:vertAlign w:val="superscript"/>
        </w:rPr>
        <w:endnoteReference w:id="34"/>
      </w:r>
      <w:r w:rsidRPr="008319BF">
        <w:rPr>
          <w:rFonts w:ascii="Times New Roman" w:eastAsia="Times New Roman" w:hAnsi="Times New Roman" w:cs="Times New Roman"/>
          <w:sz w:val="24"/>
          <w:szCs w:val="24"/>
        </w:rPr>
        <w:t xml:space="preserve">  Thus it is important that over-medication minimized, the views of the patient are considered and the quality of life issues explored. So an effective means of reviewing the treatment plans is important.  </w:t>
      </w:r>
    </w:p>
    <w:p w:rsidR="008E2574" w:rsidRPr="008319BF" w:rsidRDefault="008E2574" w:rsidP="008E2574">
      <w:pPr>
        <w:spacing w:after="0" w:line="240" w:lineRule="auto"/>
        <w:rPr>
          <w:rFonts w:ascii="Times New Roman" w:eastAsia="Times New Roman" w:hAnsi="Times New Roman" w:cs="Times New Roman"/>
          <w:sz w:val="24"/>
          <w:szCs w:val="24"/>
        </w:rPr>
      </w:pPr>
    </w:p>
    <w:p w:rsidR="008E2574" w:rsidRPr="008319BF" w:rsidRDefault="008E2574" w:rsidP="008E2574">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Food and Drug Administration officials appear to be rubber-stamping approval of unsafe toxic drugs that increase risk of death and debilitating, irreversible adverse effects.  One of the causes of this is FDA’s increased financial dependence on user fees in order to finance its regulatory </w:t>
      </w:r>
      <w:r w:rsidRPr="008319BF">
        <w:rPr>
          <w:rFonts w:ascii="Times New Roman" w:eastAsia="Times New Roman" w:hAnsi="Times New Roman" w:cs="Times New Roman"/>
          <w:sz w:val="24"/>
          <w:szCs w:val="24"/>
        </w:rPr>
        <w:lastRenderedPageBreak/>
        <w:t>functions.  This dramatically changed the FDA’s mission from protecting the American public to instead supporting increasing marketing potential and pharmaceutical corporate profits.</w:t>
      </w:r>
    </w:p>
    <w:p w:rsidR="00760E32" w:rsidRPr="008319BF" w:rsidRDefault="00760E32" w:rsidP="00F43BCB">
      <w:pPr>
        <w:spacing w:after="0" w:line="240" w:lineRule="auto"/>
        <w:rPr>
          <w:rFonts w:ascii="Times New Roman" w:eastAsia="Times New Roman" w:hAnsi="Times New Roman" w:cs="Times New Roman"/>
          <w:sz w:val="24"/>
          <w:szCs w:val="24"/>
        </w:rPr>
      </w:pPr>
    </w:p>
    <w:p w:rsidR="00F43BCB" w:rsidRPr="008319BF" w:rsidRDefault="0080612C" w:rsidP="00F43BCB">
      <w:pPr>
        <w:pBdr>
          <w:top w:val="single" w:sz="24" w:space="0" w:color="5B9BD5"/>
          <w:left w:val="single" w:sz="24" w:space="0" w:color="5B9BD5"/>
          <w:bottom w:val="single" w:sz="24" w:space="0" w:color="5B9BD5"/>
          <w:right w:val="single" w:sz="24" w:space="0" w:color="5B9BD5"/>
        </w:pBdr>
        <w:shd w:val="clear" w:color="auto" w:fill="5B9BD5"/>
        <w:spacing w:before="100" w:after="0" w:line="276" w:lineRule="auto"/>
        <w:outlineLvl w:val="0"/>
        <w:rPr>
          <w:rFonts w:ascii="Times New Roman" w:eastAsia="Times New Roman" w:hAnsi="Times New Roman" w:cs="Times New Roman"/>
          <w:caps/>
          <w:color w:val="FFFFFF"/>
          <w:spacing w:val="15"/>
          <w:sz w:val="24"/>
          <w:szCs w:val="24"/>
        </w:rPr>
      </w:pPr>
      <w:bookmarkStart w:id="14" w:name="_What_is_Psychiatric"/>
      <w:bookmarkStart w:id="15" w:name="_Lack_of_effective,"/>
      <w:bookmarkStart w:id="16" w:name="_Toc414015927"/>
      <w:bookmarkStart w:id="17" w:name="_Toc414292306"/>
      <w:bookmarkEnd w:id="14"/>
      <w:bookmarkEnd w:id="15"/>
      <w:r w:rsidRPr="008319BF">
        <w:rPr>
          <w:rFonts w:ascii="Times New Roman" w:eastAsia="Times New Roman" w:hAnsi="Times New Roman" w:cs="Times New Roman"/>
          <w:caps/>
          <w:color w:val="FFFFFF"/>
          <w:spacing w:val="15"/>
          <w:sz w:val="24"/>
          <w:szCs w:val="24"/>
        </w:rPr>
        <w:t xml:space="preserve">V.  </w:t>
      </w:r>
      <w:r w:rsidR="00F43BCB" w:rsidRPr="008319BF">
        <w:rPr>
          <w:rFonts w:ascii="Times New Roman" w:eastAsia="Times New Roman" w:hAnsi="Times New Roman" w:cs="Times New Roman"/>
          <w:caps/>
          <w:color w:val="FFFFFF"/>
          <w:spacing w:val="15"/>
          <w:sz w:val="24"/>
          <w:szCs w:val="24"/>
        </w:rPr>
        <w:t>Lack of effective, independent and impartial investigations</w:t>
      </w:r>
      <w:bookmarkEnd w:id="16"/>
      <w:bookmarkEnd w:id="17"/>
    </w:p>
    <w:p w:rsidR="00F43BCB" w:rsidRPr="008319BF" w:rsidRDefault="00F43BCB" w:rsidP="00F43BCB">
      <w:pPr>
        <w:spacing w:before="100" w:after="0" w:line="240" w:lineRule="auto"/>
        <w:rPr>
          <w:rFonts w:ascii="Times New Roman" w:eastAsia="Times New Roman" w:hAnsi="Times New Roman" w:cs="Times New Roman"/>
          <w:b/>
          <w:sz w:val="24"/>
          <w:szCs w:val="24"/>
        </w:rPr>
      </w:pPr>
    </w:p>
    <w:p w:rsidR="003722FF" w:rsidRDefault="00F43BCB" w:rsidP="00F43BCB">
      <w:pPr>
        <w:spacing w:before="100" w:after="200" w:line="276"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MWAN was unable to identify any federal monitoring of complaints by wards of the court, regarding alleged incidents of torture, cruel, inhumane, and degrading treatment and psychiatric abuse. </w:t>
      </w:r>
      <w:r w:rsidR="0067593D" w:rsidRPr="008319BF">
        <w:rPr>
          <w:rFonts w:ascii="Times New Roman" w:eastAsia="Times New Roman" w:hAnsi="Times New Roman" w:cs="Times New Roman"/>
          <w:sz w:val="24"/>
          <w:szCs w:val="24"/>
        </w:rPr>
        <w:t xml:space="preserve"> Instead individual complaints and those against private institutions or governmental subcontractors are handled at the state or local level.</w:t>
      </w:r>
    </w:p>
    <w:p w:rsidR="0094798E" w:rsidRPr="008319BF" w:rsidRDefault="0094798E" w:rsidP="00F43BCB">
      <w:pPr>
        <w:spacing w:before="100" w:after="200" w:line="276" w:lineRule="auto"/>
        <w:rPr>
          <w:rFonts w:ascii="Times New Roman" w:eastAsia="Times New Roman" w:hAnsi="Times New Roman" w:cs="Times New Roman"/>
          <w:sz w:val="24"/>
          <w:szCs w:val="24"/>
        </w:rPr>
      </w:pPr>
    </w:p>
    <w:p w:rsidR="00F43BCB" w:rsidRPr="008319BF" w:rsidRDefault="00F43BCB" w:rsidP="008319BF">
      <w:pPr>
        <w:pStyle w:val="Heading2"/>
      </w:pPr>
      <w:bookmarkStart w:id="18" w:name="_The_Human_Rights"/>
      <w:bookmarkStart w:id="19" w:name="_Toc414015928"/>
      <w:bookmarkStart w:id="20" w:name="_Toc414292307"/>
      <w:bookmarkEnd w:id="18"/>
      <w:r w:rsidRPr="008319BF">
        <w:t>The Human Rights and Special Prosecutions Section (HRSP)</w:t>
      </w:r>
      <w:bookmarkEnd w:id="19"/>
      <w:bookmarkEnd w:id="20"/>
    </w:p>
    <w:p w:rsidR="000336CD" w:rsidRDefault="000336CD"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The Human Rights and Special Prosecutions Section (HRSP)</w:t>
      </w:r>
      <w:r w:rsidRPr="008319BF">
        <w:rPr>
          <w:rFonts w:ascii="Times New Roman" w:eastAsia="Times New Roman" w:hAnsi="Times New Roman" w:cs="Times New Roman"/>
          <w:sz w:val="24"/>
          <w:szCs w:val="24"/>
          <w:vertAlign w:val="superscript"/>
        </w:rPr>
        <w:endnoteReference w:id="35"/>
      </w:r>
      <w:r w:rsidRPr="008319BF">
        <w:rPr>
          <w:rFonts w:ascii="Times New Roman" w:eastAsia="Times New Roman" w:hAnsi="Times New Roman" w:cs="Times New Roman"/>
          <w:sz w:val="24"/>
          <w:szCs w:val="24"/>
        </w:rPr>
        <w:t xml:space="preserve"> is a component of the Criminal Division of the U.S. Department of Justice (DOJ).   HRSP’s responsibilities including enforcing federal criminal laws relating to: </w:t>
      </w:r>
    </w:p>
    <w:p w:rsidR="00F43BCB" w:rsidRPr="008319BF" w:rsidRDefault="00F43BCB" w:rsidP="00F43BCB">
      <w:pPr>
        <w:spacing w:after="0" w:line="240" w:lineRule="auto"/>
        <w:ind w:left="709"/>
        <w:rPr>
          <w:rFonts w:ascii="Times New Roman" w:eastAsia="Times New Roman" w:hAnsi="Times New Roman" w:cs="Times New Roman"/>
          <w:sz w:val="24"/>
          <w:szCs w:val="24"/>
        </w:rPr>
      </w:pPr>
    </w:p>
    <w:p w:rsidR="00F43BCB" w:rsidRPr="008319BF" w:rsidRDefault="00F43BCB" w:rsidP="00F43BCB">
      <w:pPr>
        <w:numPr>
          <w:ilvl w:val="0"/>
          <w:numId w:val="10"/>
        </w:numPr>
        <w:spacing w:before="100" w:after="0" w:line="240" w:lineRule="auto"/>
        <w:ind w:left="709"/>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Serious human rights violations such as torture, genocide, war crimes and use of child soldiers</w:t>
      </w:r>
    </w:p>
    <w:p w:rsidR="00F43BCB" w:rsidRPr="008319BF" w:rsidRDefault="00F43BCB" w:rsidP="00F43BCB">
      <w:pPr>
        <w:numPr>
          <w:ilvl w:val="0"/>
          <w:numId w:val="10"/>
        </w:numPr>
        <w:spacing w:before="100" w:after="0" w:line="240" w:lineRule="auto"/>
        <w:ind w:left="709"/>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Immigration related offenses, particularly those involving human rights violators or smuggling networks connected with national security or transnational organized crime </w:t>
      </w:r>
    </w:p>
    <w:p w:rsidR="00F43BCB" w:rsidRPr="008319BF" w:rsidRDefault="00F43BCB" w:rsidP="00F43BCB">
      <w:pPr>
        <w:numPr>
          <w:ilvl w:val="0"/>
          <w:numId w:val="10"/>
        </w:numPr>
        <w:spacing w:before="100" w:after="0" w:line="240" w:lineRule="auto"/>
        <w:ind w:left="709"/>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International violent crimes, particularly those involving U.S. government employees and contractors overseas.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HRSP prosecutes cases in partnership with the United States Attorneys’ Offices.  HRSP does not investigate instances of domestic torture and does not investigate individual cases of alleged abuse and mistreatment of wards of the court or prisoners residing in the U.S.A.</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74449E" w:rsidRDefault="00F43BCB" w:rsidP="0074449E">
      <w:pPr>
        <w:pStyle w:val="Heading2"/>
      </w:pPr>
      <w:bookmarkStart w:id="21" w:name="_The_Civil_Rights"/>
      <w:bookmarkStart w:id="22" w:name="_Toc414015929"/>
      <w:bookmarkStart w:id="23" w:name="_Toc414292308"/>
      <w:bookmarkEnd w:id="21"/>
      <w:r w:rsidRPr="0074449E">
        <w:t>The Civil Rights of Institutionalized Persons Act (CRIPA)</w:t>
      </w:r>
      <w:bookmarkEnd w:id="22"/>
      <w:bookmarkEnd w:id="23"/>
    </w:p>
    <w:p w:rsidR="000336CD" w:rsidRDefault="000336CD" w:rsidP="00F43BCB">
      <w:pPr>
        <w:spacing w:after="0" w:line="240" w:lineRule="auto"/>
        <w:rPr>
          <w:rFonts w:ascii="Times New Roman" w:eastAsia="Calibri" w:hAnsi="Times New Roman" w:cs="Times New Roman"/>
          <w:sz w:val="24"/>
          <w:szCs w:val="24"/>
        </w:rPr>
      </w:pPr>
    </w:p>
    <w:p w:rsidR="00F43BCB" w:rsidRPr="008319BF" w:rsidRDefault="00F43BCB" w:rsidP="00F43BCB">
      <w:pPr>
        <w:spacing w:after="0" w:line="240" w:lineRule="auto"/>
        <w:rPr>
          <w:rFonts w:ascii="Times New Roman" w:eastAsia="Calibri" w:hAnsi="Times New Roman" w:cs="Times New Roman"/>
          <w:sz w:val="24"/>
          <w:szCs w:val="24"/>
        </w:rPr>
      </w:pPr>
      <w:r w:rsidRPr="008319BF">
        <w:rPr>
          <w:rFonts w:ascii="Times New Roman" w:eastAsia="Calibri" w:hAnsi="Times New Roman" w:cs="Times New Roman"/>
          <w:sz w:val="24"/>
          <w:szCs w:val="24"/>
        </w:rPr>
        <w:t xml:space="preserve">MWAN is not aware of any cases of alleged psychiatric torture or forced drugging or involuntary electroshock treatment that were litigated under CRIPA.  CRIPA does not investigate individual allegations of torture, cruel, inhumane and degrading treatment.  In 2014 DOJ Disability Rights Cases (CRIPA) that are published on their website involved primarily cases of community integration or disability access under Title II of ADA. The emphasis is </w:t>
      </w:r>
      <w:r w:rsidRPr="008319BF">
        <w:rPr>
          <w:rFonts w:ascii="Times New Roman" w:eastAsia="Times New Roman" w:hAnsi="Times New Roman" w:cs="Times New Roman"/>
          <w:sz w:val="24"/>
          <w:szCs w:val="24"/>
        </w:rPr>
        <w:t>the rights of individuals with disabilities to receive services in their communities, rather than in institutions.</w:t>
      </w:r>
      <w:r w:rsidRPr="008319BF">
        <w:rPr>
          <w:rFonts w:ascii="Times New Roman" w:eastAsia="Times New Roman" w:hAnsi="Times New Roman" w:cs="Times New Roman"/>
          <w:sz w:val="24"/>
          <w:szCs w:val="24"/>
          <w:vertAlign w:val="superscript"/>
        </w:rPr>
        <w:endnoteReference w:id="36"/>
      </w:r>
      <w:r w:rsidRPr="008319BF">
        <w:rPr>
          <w:rFonts w:ascii="Times New Roman" w:eastAsia="Calibri" w:hAnsi="Times New Roman" w:cs="Times New Roman"/>
          <w:sz w:val="24"/>
          <w:szCs w:val="24"/>
        </w:rPr>
        <w:t xml:space="preserve">  </w:t>
      </w:r>
    </w:p>
    <w:p w:rsidR="00206465" w:rsidRDefault="00206465" w:rsidP="00F43BCB">
      <w:pPr>
        <w:spacing w:after="0" w:line="240" w:lineRule="auto"/>
        <w:rPr>
          <w:rFonts w:ascii="Times New Roman" w:eastAsia="Calibri" w:hAnsi="Times New Roman" w:cs="Times New Roman"/>
          <w:sz w:val="24"/>
          <w:szCs w:val="24"/>
        </w:rPr>
      </w:pPr>
    </w:p>
    <w:p w:rsidR="00200D3C" w:rsidRDefault="00200D3C" w:rsidP="00F43BCB">
      <w:pPr>
        <w:spacing w:after="0" w:line="240" w:lineRule="auto"/>
        <w:rPr>
          <w:rFonts w:ascii="Times New Roman" w:eastAsia="Calibri" w:hAnsi="Times New Roman" w:cs="Times New Roman"/>
          <w:sz w:val="24"/>
          <w:szCs w:val="24"/>
        </w:rPr>
      </w:pPr>
    </w:p>
    <w:p w:rsidR="00F43BCB" w:rsidRPr="0074449E" w:rsidRDefault="00F43BCB" w:rsidP="0074449E">
      <w:pPr>
        <w:pStyle w:val="Heading2"/>
      </w:pPr>
      <w:bookmarkStart w:id="24" w:name="_CRIPA_does_not"/>
      <w:bookmarkStart w:id="25" w:name="_Toc414015930"/>
      <w:bookmarkStart w:id="26" w:name="_Toc414292309"/>
      <w:bookmarkEnd w:id="24"/>
      <w:r w:rsidRPr="0074449E">
        <w:lastRenderedPageBreak/>
        <w:t>CRIPA does not investigate private facilities</w:t>
      </w:r>
      <w:bookmarkEnd w:id="25"/>
      <w:bookmarkEnd w:id="26"/>
      <w:r w:rsidRPr="0074449E">
        <w:t xml:space="preserve"> </w:t>
      </w:r>
    </w:p>
    <w:p w:rsidR="00F43BCB" w:rsidRPr="008319BF" w:rsidRDefault="00F43BCB" w:rsidP="00F43BCB">
      <w:pPr>
        <w:spacing w:before="100" w:after="200" w:line="276"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Many U.S. facilities that house and provide medical treatment to wards of the court are private facilities or run by government sub-contractors. </w:t>
      </w:r>
    </w:p>
    <w:p w:rsidR="00367FEF" w:rsidRPr="008319BF" w:rsidRDefault="00367FEF" w:rsidP="00F43BCB">
      <w:pPr>
        <w:spacing w:before="100" w:after="200" w:line="276" w:lineRule="auto"/>
        <w:rPr>
          <w:rFonts w:ascii="Times New Roman" w:eastAsia="Times New Roman" w:hAnsi="Times New Roman" w:cs="Times New Roman"/>
          <w:sz w:val="24"/>
          <w:szCs w:val="24"/>
        </w:rPr>
      </w:pPr>
    </w:p>
    <w:p w:rsidR="00F43BCB" w:rsidRPr="0074449E" w:rsidRDefault="00F43BCB" w:rsidP="0074449E">
      <w:pPr>
        <w:pStyle w:val="Heading2"/>
      </w:pPr>
      <w:bookmarkStart w:id="27" w:name="_Toc414015931"/>
      <w:bookmarkStart w:id="28" w:name="_Toc414292310"/>
      <w:r w:rsidRPr="0074449E">
        <w:t>CRIPA does not investigate individual complaints of abuse and mistreatment</w:t>
      </w:r>
      <w:bookmarkEnd w:id="27"/>
      <w:bookmarkEnd w:id="28"/>
    </w:p>
    <w:p w:rsidR="000336CD" w:rsidRDefault="000336CD" w:rsidP="00F43BCB">
      <w:pPr>
        <w:spacing w:after="0" w:line="240" w:lineRule="auto"/>
        <w:rPr>
          <w:rFonts w:ascii="Times New Roman" w:eastAsia="Times New Roman" w:hAnsi="Times New Roman" w:cs="Times New Roman"/>
          <w:color w:val="000000"/>
          <w:sz w:val="24"/>
          <w:szCs w:val="24"/>
        </w:rPr>
      </w:pPr>
    </w:p>
    <w:p w:rsidR="00F43BCB" w:rsidRPr="008319BF" w:rsidRDefault="00F43BCB" w:rsidP="00F43BCB">
      <w:pPr>
        <w:spacing w:after="0" w:line="240" w:lineRule="auto"/>
        <w:rPr>
          <w:rFonts w:ascii="Times New Roman" w:eastAsia="Times New Roman" w:hAnsi="Times New Roman" w:cs="Times New Roman"/>
          <w:color w:val="000000"/>
          <w:sz w:val="24"/>
          <w:szCs w:val="24"/>
        </w:rPr>
      </w:pPr>
      <w:r w:rsidRPr="008319BF">
        <w:rPr>
          <w:rFonts w:ascii="Times New Roman" w:eastAsia="Times New Roman" w:hAnsi="Times New Roman" w:cs="Times New Roman"/>
          <w:color w:val="000000"/>
          <w:sz w:val="24"/>
          <w:szCs w:val="24"/>
        </w:rPr>
        <w:t xml:space="preserve">Although even one incidence of individual torture would constitute a violation of CAT, the DOJ does not </w:t>
      </w:r>
      <w:r w:rsidRPr="008319BF">
        <w:rPr>
          <w:rFonts w:ascii="Times New Roman" w:eastAsia="Times New Roman" w:hAnsi="Times New Roman" w:cs="Times New Roman"/>
          <w:sz w:val="24"/>
          <w:szCs w:val="24"/>
        </w:rPr>
        <w:t xml:space="preserve">represent individuals or address specific individual cases. </w:t>
      </w:r>
      <w:r w:rsidRPr="008319BF">
        <w:rPr>
          <w:rFonts w:ascii="Times New Roman" w:eastAsia="Times New Roman" w:hAnsi="Times New Roman" w:cs="Times New Roman"/>
          <w:color w:val="000000"/>
          <w:sz w:val="24"/>
          <w:szCs w:val="24"/>
        </w:rPr>
        <w:t xml:space="preserve">CRIPA investigators are not trained to do Istanbul Protocol torture evaluations. </w:t>
      </w:r>
      <w:r w:rsidRPr="008319BF">
        <w:rPr>
          <w:rFonts w:ascii="Times New Roman" w:eastAsia="Times New Roman" w:hAnsi="Times New Roman" w:cs="Times New Roman"/>
          <w:sz w:val="24"/>
          <w:szCs w:val="24"/>
        </w:rPr>
        <w:t>The DOJ only investigates</w:t>
      </w:r>
      <w:r w:rsidRPr="008319BF">
        <w:rPr>
          <w:rFonts w:ascii="Times New Roman" w:eastAsia="Times New Roman" w:hAnsi="Times New Roman" w:cs="Times New Roman"/>
          <w:color w:val="000000"/>
          <w:sz w:val="24"/>
          <w:szCs w:val="24"/>
        </w:rPr>
        <w:t xml:space="preserve"> institutional, systemic problems and </w:t>
      </w:r>
      <w:r w:rsidRPr="008319BF">
        <w:rPr>
          <w:rFonts w:ascii="Times New Roman" w:eastAsia="Times New Roman" w:hAnsi="Times New Roman" w:cs="Times New Roman"/>
          <w:sz w:val="24"/>
          <w:szCs w:val="24"/>
        </w:rPr>
        <w:t xml:space="preserve">file lawsuits against facilities as a whole. </w:t>
      </w:r>
      <w:r w:rsidRPr="008319BF">
        <w:rPr>
          <w:rFonts w:ascii="Times New Roman" w:eastAsia="Times New Roman" w:hAnsi="Times New Roman" w:cs="Times New Roman"/>
          <w:color w:val="000000"/>
          <w:sz w:val="24"/>
          <w:szCs w:val="24"/>
        </w:rPr>
        <w:t xml:space="preserve"> There have been relatively few investigations and even less prosecutions of human rights violations of individual persons who are abused within psychiatric facilities and in outpatient treatment.  This lack of prosecution does not mean that human rights abuses do not occur. The most serious human rights abuses occur behind closed doors and in secret.</w:t>
      </w:r>
    </w:p>
    <w:p w:rsidR="0094798E" w:rsidRPr="008319BF" w:rsidRDefault="0094798E" w:rsidP="00F43BCB">
      <w:pPr>
        <w:spacing w:after="0" w:line="240" w:lineRule="auto"/>
        <w:rPr>
          <w:rFonts w:ascii="Times New Roman" w:eastAsia="Times New Roman" w:hAnsi="Times New Roman" w:cs="Times New Roman"/>
          <w:sz w:val="24"/>
          <w:szCs w:val="24"/>
        </w:rPr>
      </w:pPr>
    </w:p>
    <w:p w:rsidR="00F43BCB" w:rsidRPr="0074449E" w:rsidRDefault="00F43BCB" w:rsidP="0074449E">
      <w:pPr>
        <w:pStyle w:val="Heading2"/>
      </w:pPr>
      <w:bookmarkStart w:id="29" w:name="_Under-reporting_of_abuse"/>
      <w:bookmarkStart w:id="30" w:name="_Toc414015932"/>
      <w:bookmarkStart w:id="31" w:name="_Toc414292311"/>
      <w:bookmarkEnd w:id="29"/>
      <w:r w:rsidRPr="0074449E">
        <w:t>Under-reporting of abuse</w:t>
      </w:r>
      <w:bookmarkEnd w:id="30"/>
      <w:bookmarkEnd w:id="31"/>
    </w:p>
    <w:p w:rsidR="00F43BCB" w:rsidRPr="008319BF" w:rsidRDefault="00F43BCB" w:rsidP="00F43BCB">
      <w:pPr>
        <w:spacing w:before="100" w:after="0" w:line="240" w:lineRule="auto"/>
        <w:rPr>
          <w:rFonts w:ascii="Times New Roman" w:eastAsia="Times New Roman" w:hAnsi="Times New Roman" w:cs="Times New Roman"/>
          <w:color w:val="000000"/>
          <w:sz w:val="24"/>
          <w:szCs w:val="24"/>
        </w:rPr>
      </w:pPr>
      <w:r w:rsidRPr="008319BF">
        <w:rPr>
          <w:rFonts w:ascii="Times New Roman" w:eastAsia="Times New Roman" w:hAnsi="Times New Roman" w:cs="Times New Roman"/>
          <w:color w:val="000000"/>
          <w:sz w:val="24"/>
          <w:szCs w:val="24"/>
        </w:rPr>
        <w:t xml:space="preserve">The isolated nature of institutions and the vulnerability of their residents combine to create environments ripe for abuse.  In 2002 one and a half million Americans resided in 17,000 nursing homes, and 30 percent of those facilities had been cited for harming residents or placing them at risk of serious injury or death. </w:t>
      </w:r>
      <w:r w:rsidRPr="008319BF">
        <w:rPr>
          <w:rFonts w:ascii="Times New Roman" w:eastAsia="Times New Roman" w:hAnsi="Times New Roman" w:cs="Times New Roman"/>
          <w:color w:val="000000"/>
          <w:sz w:val="24"/>
          <w:szCs w:val="24"/>
          <w:vertAlign w:val="superscript"/>
        </w:rPr>
        <w:endnoteReference w:id="37"/>
      </w:r>
      <w:r w:rsidRPr="008319BF">
        <w:rPr>
          <w:rFonts w:ascii="Times New Roman" w:eastAsia="Times New Roman" w:hAnsi="Times New Roman" w:cs="Times New Roman"/>
          <w:color w:val="000000"/>
          <w:sz w:val="24"/>
          <w:szCs w:val="24"/>
        </w:rPr>
        <w:t xml:space="preserve">  Studies suggest that 80 percent to 85 percent of abuse in institutions goes unreported.</w:t>
      </w:r>
      <w:r w:rsidRPr="008319BF">
        <w:rPr>
          <w:rFonts w:ascii="Times New Roman" w:eastAsia="Times New Roman" w:hAnsi="Times New Roman" w:cs="Times New Roman"/>
          <w:color w:val="000000"/>
          <w:sz w:val="24"/>
          <w:szCs w:val="24"/>
          <w:vertAlign w:val="superscript"/>
        </w:rPr>
        <w:endnoteReference w:id="38"/>
      </w:r>
      <w:r w:rsidRPr="008319BF">
        <w:rPr>
          <w:rFonts w:ascii="Times New Roman" w:eastAsia="Times New Roman" w:hAnsi="Times New Roman" w:cs="Times New Roman"/>
          <w:color w:val="000000"/>
          <w:position w:val="11"/>
          <w:sz w:val="24"/>
          <w:szCs w:val="24"/>
          <w:vertAlign w:val="superscript"/>
        </w:rPr>
        <w:t xml:space="preserve">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color w:val="000000"/>
          <w:sz w:val="24"/>
          <w:szCs w:val="24"/>
        </w:rPr>
        <w:t xml:space="preserve">Abuse typically occurs behind closed doors. Residents and family members are often reluctant to report abuse for fear of reprisal. </w:t>
      </w:r>
      <w:r w:rsidRPr="008319BF">
        <w:rPr>
          <w:rFonts w:ascii="Times New Roman" w:eastAsia="Times New Roman" w:hAnsi="Times New Roman" w:cs="Times New Roman"/>
          <w:sz w:val="24"/>
          <w:szCs w:val="24"/>
        </w:rPr>
        <w:t xml:space="preserve">Many victims have no prior experience with the legal system and do not know how to proceed to defend their rights. </w:t>
      </w:r>
      <w:r w:rsidRPr="008319BF">
        <w:rPr>
          <w:rFonts w:ascii="Times New Roman" w:eastAsia="Times New Roman" w:hAnsi="Times New Roman" w:cs="Times New Roman"/>
          <w:color w:val="000000"/>
          <w:sz w:val="24"/>
          <w:szCs w:val="24"/>
        </w:rPr>
        <w:t xml:space="preserve">In some cases, disabilities may interfere with residents’ ability to ask for help or may lead caregivers to dismiss what residents say.  </w:t>
      </w:r>
      <w:r w:rsidRPr="008319BF">
        <w:rPr>
          <w:rFonts w:ascii="Times New Roman" w:eastAsia="Times New Roman" w:hAnsi="Times New Roman" w:cs="Times New Roman"/>
          <w:sz w:val="24"/>
          <w:szCs w:val="24"/>
        </w:rPr>
        <w:t xml:space="preserve">Some persons with disabilities must rely on others to recognize that they are being abused and to take appropriate action to notify investigators from responsible agencies. Yet few family members, friends, and providers are adequately trained to recognize signs of abuse in individuals with developmental disabilities or mental disabilities and adequately assist victims to access the criminal justice and/or social service system.  </w:t>
      </w:r>
    </w:p>
    <w:p w:rsidR="00F43BCB" w:rsidRPr="008319BF" w:rsidRDefault="00F43BCB" w:rsidP="00F43BCB">
      <w:pPr>
        <w:spacing w:before="100" w:after="0" w:line="240" w:lineRule="auto"/>
        <w:rPr>
          <w:rFonts w:ascii="Times New Roman" w:eastAsia="Calibri" w:hAnsi="Times New Roman" w:cs="Times New Roman"/>
          <w:sz w:val="24"/>
          <w:szCs w:val="24"/>
        </w:rPr>
      </w:pPr>
      <w:r w:rsidRPr="008319BF">
        <w:rPr>
          <w:rFonts w:ascii="Times New Roman" w:eastAsia="Calibri" w:hAnsi="Times New Roman" w:cs="Times New Roman"/>
          <w:sz w:val="24"/>
          <w:szCs w:val="24"/>
        </w:rPr>
        <w:t xml:space="preserve">Even if they want to report or stop the abuse, some individuals may not be able to formulate and execute a plan of response. Some victims may not be able to physically escape from an abusive environment.  Other victims may not be able to travel to a police station to file a report. </w:t>
      </w:r>
      <w:r w:rsidRPr="008319BF">
        <w:rPr>
          <w:rFonts w:ascii="Times New Roman" w:eastAsia="Times New Roman" w:hAnsi="Times New Roman" w:cs="Times New Roman"/>
          <w:sz w:val="24"/>
          <w:szCs w:val="24"/>
        </w:rPr>
        <w:t xml:space="preserve">The insensitive attitudes of investigating officers may deter victims from coming forward or prevent them from pursuing a case.  </w:t>
      </w:r>
      <w:r w:rsidRPr="008319BF">
        <w:rPr>
          <w:rFonts w:ascii="Times New Roman" w:eastAsia="Calibri" w:hAnsi="Times New Roman" w:cs="Times New Roman"/>
          <w:sz w:val="24"/>
          <w:szCs w:val="24"/>
        </w:rPr>
        <w:t xml:space="preserve">Communication difficulties frequently leads to frustration when officers taking the report cannot understand the victim.  </w:t>
      </w:r>
    </w:p>
    <w:p w:rsidR="00F43BCB" w:rsidRPr="008319BF" w:rsidRDefault="00F43BCB" w:rsidP="00F43BCB">
      <w:pPr>
        <w:spacing w:before="100" w:after="0" w:line="240" w:lineRule="auto"/>
        <w:rPr>
          <w:rFonts w:ascii="Times New Roman" w:eastAsia="Calibri" w:hAnsi="Times New Roman" w:cs="Times New Roman"/>
          <w:sz w:val="24"/>
          <w:szCs w:val="24"/>
        </w:rPr>
      </w:pPr>
      <w:r w:rsidRPr="008319BF">
        <w:rPr>
          <w:rFonts w:ascii="Times New Roman" w:eastAsia="Calibri" w:hAnsi="Times New Roman" w:cs="Times New Roman"/>
          <w:sz w:val="24"/>
          <w:szCs w:val="24"/>
        </w:rPr>
        <w:t>Regardless of the type of disability or whether the abuse is emotional, physical, or sexual, people who provide care and support to individuals with disabilities are often the same people who victimize them – people the victims know and trust.</w:t>
      </w:r>
      <w:r w:rsidRPr="008319BF">
        <w:rPr>
          <w:rFonts w:ascii="Times New Roman" w:eastAsia="Calibri" w:hAnsi="Times New Roman" w:cs="Times New Roman"/>
          <w:sz w:val="24"/>
          <w:szCs w:val="24"/>
          <w:vertAlign w:val="superscript"/>
        </w:rPr>
        <w:endnoteReference w:id="39"/>
      </w:r>
      <w:r w:rsidRPr="008319BF">
        <w:rPr>
          <w:rFonts w:ascii="Times New Roman" w:eastAsia="Calibri" w:hAnsi="Times New Roman" w:cs="Times New Roman"/>
          <w:sz w:val="24"/>
          <w:szCs w:val="24"/>
        </w:rPr>
        <w:t xml:space="preserve"> (Petersilia et al., 2001)  </w:t>
      </w:r>
    </w:p>
    <w:p w:rsidR="00760E32" w:rsidRPr="008319BF" w:rsidRDefault="00760E32" w:rsidP="00F43BCB">
      <w:pPr>
        <w:spacing w:before="100" w:after="0" w:line="240" w:lineRule="auto"/>
        <w:rPr>
          <w:rFonts w:ascii="Times New Roman" w:eastAsia="Calibri" w:hAnsi="Times New Roman" w:cs="Times New Roman"/>
          <w:sz w:val="24"/>
          <w:szCs w:val="24"/>
        </w:rPr>
      </w:pPr>
    </w:p>
    <w:p w:rsidR="00F43BCB" w:rsidRPr="0074449E" w:rsidRDefault="00F43BCB" w:rsidP="0074449E">
      <w:pPr>
        <w:pStyle w:val="Heading2"/>
        <w:rPr>
          <w:rFonts w:eastAsia="Calibri"/>
        </w:rPr>
      </w:pPr>
      <w:bookmarkStart w:id="32" w:name="_Intimidation_of_victims"/>
      <w:bookmarkStart w:id="33" w:name="_Toc414015933"/>
      <w:bookmarkStart w:id="34" w:name="_Toc414292312"/>
      <w:bookmarkEnd w:id="32"/>
      <w:r w:rsidRPr="0074449E">
        <w:rPr>
          <w:rFonts w:eastAsia="Calibri"/>
        </w:rPr>
        <w:t>Intimidation of victims</w:t>
      </w:r>
      <w:bookmarkEnd w:id="33"/>
      <w:bookmarkEnd w:id="34"/>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Protection and security measures for victims is often inadequate and the abusers and their collaborators are routinely in charge of the victim’s care. The perpetrators of abuse within a psychiatric institution are often doctors and medical professionals – persons that the patient is supposed to trust.  The act of abuse is a betrayal of that trust.  The relationship of confidentiality between them makes proceeding with a complaint even more difficult. Victims also suffer loss of personal medical privacy in order to receive any consideration of redress or reparations for harm.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Victims are re-traumatized through the process by being forced to recant over and over the circumstances of their abuse. The boomerang effect of making a complaint means that the victim finds himself penalized with more coercive and abusive measures against him/her for coming forward.  For victims of psychiatric abuse, most of whom have been stripped of their legal rights and placed in financial conservatorship by the court, these are insurmountable obstacles to finding justice.  So most victims suffer in silence.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Physicians for Human Rights has stated that patient autonomy should be respected and informed refusal from competent patients honored. Physicians treating patients must retain clinical autonomy which is essential to the establishment of trust, and clinical intervention should not be directed by non-clinical personnel in the chain of command.  The physician's primary obligation “to do no harm” to the patient is honored.  Medical intervention should never be used as punishment.</w:t>
      </w:r>
      <w:r w:rsidRPr="008319BF">
        <w:rPr>
          <w:rFonts w:ascii="Times New Roman" w:eastAsia="Times New Roman" w:hAnsi="Times New Roman" w:cs="Times New Roman"/>
          <w:sz w:val="24"/>
          <w:szCs w:val="24"/>
          <w:vertAlign w:val="superscript"/>
        </w:rPr>
        <w:endnoteReference w:id="40"/>
      </w:r>
    </w:p>
    <w:p w:rsidR="00413E00" w:rsidRPr="008319BF" w:rsidRDefault="00413E00" w:rsidP="00F43BCB">
      <w:pPr>
        <w:spacing w:before="100" w:after="0" w:line="240" w:lineRule="auto"/>
        <w:rPr>
          <w:rFonts w:ascii="Times New Roman" w:eastAsia="Times New Roman" w:hAnsi="Times New Roman" w:cs="Times New Roman"/>
          <w:sz w:val="24"/>
          <w:szCs w:val="24"/>
        </w:rPr>
      </w:pPr>
    </w:p>
    <w:p w:rsidR="00F43BCB" w:rsidRPr="0074449E" w:rsidRDefault="00F43BCB" w:rsidP="0074449E">
      <w:pPr>
        <w:pStyle w:val="Heading2"/>
      </w:pPr>
      <w:bookmarkStart w:id="35" w:name="_Difficulty_proving_Psychiatric"/>
      <w:bookmarkStart w:id="36" w:name="_Toc414015934"/>
      <w:bookmarkStart w:id="37" w:name="_Toc414292313"/>
      <w:bookmarkEnd w:id="35"/>
      <w:r w:rsidRPr="0074449E">
        <w:rPr>
          <w:rFonts w:eastAsia="Calibri"/>
        </w:rPr>
        <w:t>Difficulty proving Psychiatric Torture allegations</w:t>
      </w:r>
      <w:bookmarkEnd w:id="36"/>
      <w:bookmarkEnd w:id="37"/>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Medical Whistleblower Advocacy Network (MWAN) found that organizations tasked with investigation of complaints routinely discounted any complaint that did not show long term physical harm to the patient.  Psychiatric, emotional, psychological mistreatment was routinely ignored and rarely documented.  Patients are presumed to be mentally ill and thus their perceptions of mental harm were discounted.  This is in spite of mounting evidence that physical torture – although it leaves identifiable scars is not more damaging than psychological torture.  Psychological torture can leave lifelong emotional scars and often victims never fully recover.</w:t>
      </w:r>
      <w:r w:rsidRPr="008319BF">
        <w:rPr>
          <w:rFonts w:ascii="Times New Roman" w:eastAsia="Times New Roman" w:hAnsi="Times New Roman" w:cs="Times New Roman"/>
          <w:sz w:val="24"/>
          <w:szCs w:val="24"/>
          <w:vertAlign w:val="superscript"/>
        </w:rPr>
        <w:endnoteReference w:id="41"/>
      </w:r>
      <w:r w:rsidRPr="008319BF">
        <w:rPr>
          <w:rFonts w:ascii="Times New Roman" w:eastAsia="Times New Roman" w:hAnsi="Times New Roman" w:cs="Times New Roman"/>
          <w:sz w:val="24"/>
          <w:szCs w:val="24"/>
        </w:rPr>
        <w:t xml:space="preserve">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U.S. investigators of alleged cases of psychiatric abuse have little or no experience with Istanbul Protocol.  Forensic psychiatric evaluations are usually done with the intent of committing someone to an institution or forced outpatient commitment, not for the purpose of proving abuse.  Organizations who claim to investigate complaints of mistreatment within psychiatric institutions, routinely work closely with those medical professionals who run those very same institutions and are biased toward forced psychiatry and thus work to protect the medical professionals from a malpractice lawsuit.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MWAN found that organizations would not take seriously the right to due process for mental patients or the right to informed consent. Obtaining medical documents to submit in evidence is difficult if not impossible for psychiatric patients.  Psychiatric institutions routinely withhold medical documentation from patients and their families, making it difficult if not impossible to </w:t>
      </w:r>
      <w:r w:rsidRPr="008319BF">
        <w:rPr>
          <w:rFonts w:ascii="Times New Roman" w:eastAsia="Times New Roman" w:hAnsi="Times New Roman" w:cs="Times New Roman"/>
          <w:sz w:val="24"/>
          <w:szCs w:val="24"/>
        </w:rPr>
        <w:lastRenderedPageBreak/>
        <w:t xml:space="preserve">prove the abuse happened.  Doctors and other medical staff are adept in writing medical records in such a manner as to pass blame onto the mental patient rather than themselves.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When corroboration of the victim’s testimony is required, other mental patients do not make reliable or credible witnesses. Staff wish to protect their employment and thus side with medical providers. </w:t>
      </w:r>
    </w:p>
    <w:p w:rsidR="00413E00" w:rsidRPr="008319BF" w:rsidRDefault="00413E00" w:rsidP="00F43BCB">
      <w:pPr>
        <w:spacing w:before="100" w:after="0" w:line="240" w:lineRule="auto"/>
        <w:rPr>
          <w:rFonts w:ascii="Times New Roman" w:eastAsia="Times New Roman" w:hAnsi="Times New Roman" w:cs="Times New Roman"/>
          <w:sz w:val="24"/>
          <w:szCs w:val="24"/>
        </w:rPr>
      </w:pPr>
    </w:p>
    <w:p w:rsidR="00F43BCB" w:rsidRPr="0074449E" w:rsidRDefault="00F43BCB" w:rsidP="0074449E">
      <w:pPr>
        <w:pStyle w:val="Heading2"/>
      </w:pPr>
      <w:bookmarkStart w:id="38" w:name="_Lack_of_Human"/>
      <w:bookmarkStart w:id="39" w:name="_Toc414015935"/>
      <w:bookmarkStart w:id="40" w:name="_Toc414292314"/>
      <w:bookmarkEnd w:id="38"/>
      <w:r w:rsidRPr="0074449E">
        <w:t>Lack of Human Rights training of institution staff</w:t>
      </w:r>
      <w:bookmarkEnd w:id="39"/>
      <w:bookmarkEnd w:id="40"/>
    </w:p>
    <w:p w:rsidR="00F43BCB" w:rsidRPr="008319BF" w:rsidRDefault="00F43BCB" w:rsidP="00F43BCB">
      <w:pPr>
        <w:spacing w:before="100" w:after="0" w:line="240" w:lineRule="auto"/>
        <w:rPr>
          <w:rFonts w:ascii="Times New Roman" w:eastAsia="Times New Roman" w:hAnsi="Times New Roman" w:cs="Times New Roman"/>
          <w:color w:val="000000"/>
          <w:sz w:val="24"/>
          <w:szCs w:val="24"/>
        </w:rPr>
      </w:pPr>
      <w:r w:rsidRPr="008319BF">
        <w:rPr>
          <w:rFonts w:ascii="Times New Roman" w:eastAsia="Times New Roman" w:hAnsi="Times New Roman" w:cs="Times New Roman"/>
          <w:color w:val="000000"/>
          <w:sz w:val="24"/>
          <w:szCs w:val="24"/>
        </w:rPr>
        <w:t xml:space="preserve">The U.S.A. has provided education and training of all law enforcement or military personnel on how to how to identify signs of torture and cruel, inhuman or degrading treatment and instructed personnel instructed on how to report such incidents.  The US government also ensures specific training for all medical personnel dealing with military or prison detainees in the detection of signs of torture and ill-treatment and so that the Istanbul Protocol of 1999 becomes an integral part of the training provided to physicians and others involved in care.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color w:val="000000"/>
          <w:sz w:val="24"/>
          <w:szCs w:val="24"/>
        </w:rPr>
        <w:t>In comparison, i</w:t>
      </w:r>
      <w:r w:rsidRPr="008319BF">
        <w:rPr>
          <w:rFonts w:ascii="Times New Roman" w:eastAsia="Times New Roman" w:hAnsi="Times New Roman" w:cs="Times New Roman"/>
          <w:sz w:val="24"/>
          <w:szCs w:val="24"/>
        </w:rPr>
        <w:t>ndividual complaints alleging torture in psychiatric facilities are handled in house (usually the ombudsman within the psychiatric institution). Istanbul Protocol training i</w:t>
      </w:r>
      <w:r w:rsidRPr="008319BF">
        <w:rPr>
          <w:rFonts w:ascii="Times New Roman" w:eastAsia="Times New Roman" w:hAnsi="Times New Roman" w:cs="Times New Roman"/>
          <w:color w:val="000000"/>
          <w:sz w:val="24"/>
          <w:szCs w:val="24"/>
        </w:rPr>
        <w:t xml:space="preserve">s not currently done for physicians, staff and personnel involved in psychiatric institutions, mental health facilities and other places of psychiatric detention. </w:t>
      </w:r>
      <w:r w:rsidRPr="008319BF">
        <w:rPr>
          <w:rFonts w:ascii="Times New Roman" w:eastAsia="Times New Roman" w:hAnsi="Times New Roman" w:cs="Times New Roman"/>
          <w:sz w:val="24"/>
          <w:szCs w:val="24"/>
        </w:rPr>
        <w:t xml:space="preserve">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persons responsible for determining whether torture has occurred are the “qualified health care providers” and staff of the institution.  These are the same professionals involved in forcing compliance of patients with forced drugging and electroshock therapy.  </w:t>
      </w:r>
      <w:r w:rsidRPr="008319BF">
        <w:rPr>
          <w:rFonts w:ascii="Times New Roman" w:eastAsia="Times New Roman" w:hAnsi="Times New Roman" w:cs="Times New Roman"/>
          <w:color w:val="000000"/>
          <w:sz w:val="24"/>
          <w:szCs w:val="24"/>
        </w:rPr>
        <w:t>I</w:t>
      </w:r>
      <w:r w:rsidRPr="008319BF">
        <w:rPr>
          <w:rFonts w:ascii="Times New Roman" w:eastAsia="Times New Roman" w:hAnsi="Times New Roman" w:cs="Times New Roman"/>
          <w:sz w:val="24"/>
          <w:szCs w:val="24"/>
        </w:rPr>
        <w:t xml:space="preserve">t is within the secret confines of such lock-up facilities that torture, cruel and degrading treatment occurs to those deemed to have psychiatric disabilities. </w:t>
      </w:r>
    </w:p>
    <w:p w:rsidR="00413E00" w:rsidRPr="008319BF" w:rsidRDefault="00413E00" w:rsidP="00F43BCB">
      <w:pPr>
        <w:spacing w:before="100" w:after="0" w:line="240" w:lineRule="auto"/>
        <w:rPr>
          <w:rFonts w:ascii="Times New Roman" w:eastAsia="Times New Roman" w:hAnsi="Times New Roman" w:cs="Times New Roman"/>
          <w:sz w:val="24"/>
          <w:szCs w:val="24"/>
        </w:rPr>
      </w:pPr>
    </w:p>
    <w:p w:rsidR="00F43BCB" w:rsidRPr="0074449E" w:rsidRDefault="00F43BCB" w:rsidP="0074449E">
      <w:pPr>
        <w:pStyle w:val="Heading2"/>
      </w:pPr>
      <w:bookmarkStart w:id="41" w:name="_Victim_compliance_with"/>
      <w:bookmarkStart w:id="42" w:name="_Toc414015936"/>
      <w:bookmarkStart w:id="43" w:name="_Toc414292315"/>
      <w:bookmarkEnd w:id="41"/>
      <w:r w:rsidRPr="0074449E">
        <w:t>Victim compliance with abusers (Health Care providers)</w:t>
      </w:r>
      <w:bookmarkEnd w:id="42"/>
      <w:bookmarkEnd w:id="43"/>
    </w:p>
    <w:p w:rsidR="00F43BCB" w:rsidRPr="008319BF" w:rsidRDefault="00F43BCB" w:rsidP="00F43BCB">
      <w:pPr>
        <w:spacing w:before="100" w:after="0" w:line="240" w:lineRule="auto"/>
        <w:rPr>
          <w:rFonts w:ascii="Times New Roman" w:eastAsia="Times New Roman" w:hAnsi="Times New Roman" w:cs="Times New Roman"/>
          <w:color w:val="000000"/>
          <w:sz w:val="24"/>
          <w:szCs w:val="24"/>
        </w:rPr>
      </w:pPr>
      <w:r w:rsidRPr="008319BF">
        <w:rPr>
          <w:rFonts w:ascii="Times New Roman" w:eastAsia="Times New Roman" w:hAnsi="Times New Roman" w:cs="Times New Roman"/>
          <w:sz w:val="24"/>
          <w:szCs w:val="24"/>
        </w:rPr>
        <w:t>The process of pursing a complaint against psychiatric abusers is at best an extremely complex, expensive, and emotionally grueling legal process.  Perpetrators of human rights violations deliberately choose victims that are compliant.  This compliancy is further reinforced by a dependence on care givers and the relatively powerless relationship which exists between individuals with disabilities and their service providers.</w:t>
      </w:r>
      <w:r w:rsidRPr="008319BF">
        <w:rPr>
          <w:rFonts w:ascii="Times New Roman" w:eastAsia="Times New Roman" w:hAnsi="Times New Roman" w:cs="Times New Roman"/>
          <w:color w:val="000000"/>
          <w:sz w:val="24"/>
          <w:szCs w:val="24"/>
        </w:rPr>
        <w:t xml:space="preserve"> It is estimated that risk of abuse increases by 78% due to the vulnerability of people with developmental disabilities and their need for personal assistance services. In a survey of individuals with disabilities who had been abused, 96% of the cases involved perpetrators who were known to their victim. The largest group of offenders (44%) were individuals who had a relationship with the victim specifically because of their disability (27.7% disability service providers, 5.4% specialized transportation, 4.3% specialized foster parents and 6.5% other disabled individuals).</w:t>
      </w:r>
      <w:r w:rsidRPr="008319BF">
        <w:rPr>
          <w:rFonts w:ascii="Times New Roman" w:eastAsia="Times New Roman" w:hAnsi="Times New Roman" w:cs="Times New Roman"/>
          <w:color w:val="000000"/>
          <w:sz w:val="24"/>
          <w:szCs w:val="24"/>
          <w:vertAlign w:val="superscript"/>
        </w:rPr>
        <w:endnoteReference w:id="42"/>
      </w:r>
      <w:r w:rsidRPr="008319BF">
        <w:rPr>
          <w:rFonts w:ascii="Times New Roman" w:eastAsia="Times New Roman" w:hAnsi="Times New Roman" w:cs="Times New Roman"/>
          <w:color w:val="000000"/>
          <w:sz w:val="24"/>
          <w:szCs w:val="24"/>
        </w:rPr>
        <w:t xml:space="preserve">  (Sobsey and Doe, 1991).  </w:t>
      </w:r>
    </w:p>
    <w:p w:rsidR="00413E00" w:rsidRPr="008319BF" w:rsidRDefault="00413E00" w:rsidP="00F43BCB">
      <w:pPr>
        <w:spacing w:before="100" w:after="0" w:line="240" w:lineRule="auto"/>
        <w:rPr>
          <w:rFonts w:ascii="Times New Roman" w:eastAsia="Times New Roman" w:hAnsi="Times New Roman" w:cs="Times New Roman"/>
          <w:sz w:val="24"/>
          <w:szCs w:val="24"/>
        </w:rPr>
      </w:pPr>
    </w:p>
    <w:p w:rsidR="00F43BCB" w:rsidRPr="0074449E" w:rsidRDefault="00F43BCB" w:rsidP="0074449E">
      <w:pPr>
        <w:pStyle w:val="Heading2"/>
      </w:pPr>
      <w:bookmarkStart w:id="44" w:name="_CRIPA_-_Lengthy"/>
      <w:bookmarkStart w:id="45" w:name="_Toc414015937"/>
      <w:bookmarkStart w:id="46" w:name="_Toc414292316"/>
      <w:bookmarkEnd w:id="44"/>
      <w:r w:rsidRPr="0074449E">
        <w:t>CRIPA - Lengthy investigations</w:t>
      </w:r>
      <w:bookmarkEnd w:id="45"/>
      <w:bookmarkEnd w:id="46"/>
      <w:r w:rsidRPr="0074449E">
        <w:t xml:space="preserve"> </w:t>
      </w:r>
    </w:p>
    <w:p w:rsidR="00F43BCB" w:rsidRPr="008319BF" w:rsidRDefault="00F43BCB" w:rsidP="00F43BCB">
      <w:pPr>
        <w:spacing w:before="100" w:after="0" w:line="240" w:lineRule="auto"/>
        <w:rPr>
          <w:rFonts w:ascii="Times New Roman" w:eastAsia="Times New Roman" w:hAnsi="Times New Roman" w:cs="Times New Roman"/>
          <w:color w:val="000000"/>
          <w:sz w:val="24"/>
          <w:szCs w:val="24"/>
        </w:rPr>
      </w:pPr>
      <w:r w:rsidRPr="008319BF">
        <w:rPr>
          <w:rFonts w:ascii="Times New Roman" w:eastAsia="Times New Roman" w:hAnsi="Times New Roman" w:cs="Times New Roman"/>
          <w:color w:val="000000"/>
          <w:sz w:val="24"/>
          <w:szCs w:val="24"/>
        </w:rPr>
        <w:t xml:space="preserve">DOJ’s work has been slow—even in cases involving egregious conditions such as imminent threats to life.  It is not unusual for investigations to take many months to complete, and lawsuits </w:t>
      </w:r>
      <w:r w:rsidRPr="008319BF">
        <w:rPr>
          <w:rFonts w:ascii="Times New Roman" w:eastAsia="Times New Roman" w:hAnsi="Times New Roman" w:cs="Times New Roman"/>
          <w:color w:val="000000"/>
          <w:sz w:val="24"/>
          <w:szCs w:val="24"/>
        </w:rPr>
        <w:lastRenderedPageBreak/>
        <w:t xml:space="preserve">often are not initiated for many more months thereafter.  DOJ has sometimes found that it was denied access into institutions, and then must put additional pressure to gain access – this delays investigation, meanwhile the vulnerable psychiatric patient is threatened into silence, documentary evidence disappears, and additional documentation created by staff to prevent prosecution. DOJ has chosen not to enforce CRIPA in a strategic way to address inappropriate incarceration of individuals due to behavior that is manifested due to their disability. </w:t>
      </w:r>
    </w:p>
    <w:p w:rsidR="00413E00" w:rsidRPr="008319BF" w:rsidRDefault="00413E00" w:rsidP="00F43BCB">
      <w:pPr>
        <w:spacing w:before="100" w:after="0" w:line="240" w:lineRule="auto"/>
        <w:rPr>
          <w:rFonts w:ascii="Times New Roman" w:eastAsia="Times New Roman" w:hAnsi="Times New Roman" w:cs="Times New Roman"/>
          <w:color w:val="000000"/>
          <w:sz w:val="24"/>
          <w:szCs w:val="24"/>
        </w:rPr>
      </w:pPr>
    </w:p>
    <w:p w:rsidR="00F43BCB" w:rsidRPr="0074449E" w:rsidRDefault="00F43BCB" w:rsidP="0074449E">
      <w:pPr>
        <w:pStyle w:val="Heading2"/>
      </w:pPr>
      <w:bookmarkStart w:id="47" w:name="_CRIPA_Conciliation_rather"/>
      <w:bookmarkStart w:id="48" w:name="_Toc414015938"/>
      <w:bookmarkStart w:id="49" w:name="_Toc414292317"/>
      <w:bookmarkEnd w:id="47"/>
      <w:r w:rsidRPr="0074449E">
        <w:t>CRIPA Conciliation rather than litigation</w:t>
      </w:r>
      <w:bookmarkEnd w:id="48"/>
      <w:bookmarkEnd w:id="49"/>
    </w:p>
    <w:p w:rsidR="00F43BCB" w:rsidRPr="008319BF" w:rsidRDefault="00F43BCB" w:rsidP="00F43BCB">
      <w:pPr>
        <w:spacing w:before="100" w:after="0" w:line="240" w:lineRule="auto"/>
        <w:rPr>
          <w:rFonts w:ascii="Times New Roman" w:eastAsia="Times New Roman" w:hAnsi="Times New Roman" w:cs="Times New Roman"/>
          <w:color w:val="000000"/>
          <w:sz w:val="24"/>
          <w:szCs w:val="24"/>
        </w:rPr>
      </w:pPr>
      <w:r w:rsidRPr="008319BF">
        <w:rPr>
          <w:rFonts w:ascii="Times New Roman" w:eastAsia="Times New Roman" w:hAnsi="Times New Roman" w:cs="Times New Roman"/>
          <w:sz w:val="24"/>
          <w:szCs w:val="24"/>
        </w:rPr>
        <w:t>DOJ</w:t>
      </w:r>
      <w:r w:rsidRPr="008319BF">
        <w:rPr>
          <w:rFonts w:ascii="Times New Roman" w:eastAsia="Times New Roman" w:hAnsi="Times New Roman" w:cs="Times New Roman"/>
          <w:color w:val="000000"/>
          <w:sz w:val="24"/>
          <w:szCs w:val="24"/>
        </w:rPr>
        <w:t xml:space="preserve"> </w:t>
      </w:r>
      <w:r w:rsidRPr="008319BF">
        <w:rPr>
          <w:rFonts w:ascii="Times New Roman" w:eastAsia="Times New Roman" w:hAnsi="Times New Roman" w:cs="Times New Roman"/>
          <w:sz w:val="24"/>
          <w:szCs w:val="24"/>
        </w:rPr>
        <w:t xml:space="preserve">has a </w:t>
      </w:r>
      <w:r w:rsidRPr="008319BF">
        <w:rPr>
          <w:rFonts w:ascii="Times New Roman" w:eastAsia="Times New Roman" w:hAnsi="Times New Roman" w:cs="Times New Roman"/>
          <w:color w:val="000000"/>
          <w:sz w:val="24"/>
          <w:szCs w:val="24"/>
        </w:rPr>
        <w:t xml:space="preserve">policy of avoiding litigation and </w:t>
      </w:r>
      <w:r w:rsidRPr="008319BF">
        <w:rPr>
          <w:rFonts w:ascii="Times New Roman" w:eastAsia="Times New Roman" w:hAnsi="Times New Roman" w:cs="Times New Roman"/>
          <w:sz w:val="24"/>
          <w:szCs w:val="24"/>
        </w:rPr>
        <w:t xml:space="preserve">focuses on conciliation as a means of achieving compliance. The DOJ must wait 49 days after issuing a findings letter before they can file a suit against an institution.  Prior to filing suit, the DOJ must negotiate with institutions and so investigations and negotiations can last for years. CRIPA allows only for equitable relief as a remedy to any violations – such as getting an injunction to stop certain practices, being ordered to upgrade facilities or increasing the size of the staff.  DOJ relies </w:t>
      </w:r>
      <w:r w:rsidRPr="008319BF">
        <w:rPr>
          <w:rFonts w:ascii="Times New Roman" w:eastAsia="Times New Roman" w:hAnsi="Times New Roman" w:cs="Times New Roman"/>
          <w:color w:val="000000"/>
          <w:sz w:val="24"/>
          <w:szCs w:val="24"/>
        </w:rPr>
        <w:t xml:space="preserve">on general rather than specific remedies, and </w:t>
      </w:r>
      <w:r w:rsidRPr="008319BF">
        <w:rPr>
          <w:rFonts w:ascii="Times New Roman" w:eastAsia="Times New Roman" w:hAnsi="Times New Roman" w:cs="Times New Roman"/>
          <w:sz w:val="24"/>
          <w:szCs w:val="24"/>
        </w:rPr>
        <w:t xml:space="preserve">has </w:t>
      </w:r>
      <w:r w:rsidRPr="008319BF">
        <w:rPr>
          <w:rFonts w:ascii="Times New Roman" w:eastAsia="Times New Roman" w:hAnsi="Times New Roman" w:cs="Times New Roman"/>
          <w:color w:val="000000"/>
          <w:sz w:val="24"/>
          <w:szCs w:val="24"/>
        </w:rPr>
        <w:t>increasing</w:t>
      </w:r>
      <w:r w:rsidRPr="008319BF">
        <w:rPr>
          <w:rFonts w:ascii="Times New Roman" w:eastAsia="Times New Roman" w:hAnsi="Times New Roman" w:cs="Times New Roman"/>
          <w:sz w:val="24"/>
          <w:szCs w:val="24"/>
        </w:rPr>
        <w:t xml:space="preserve">ly accepted </w:t>
      </w:r>
      <w:r w:rsidRPr="008319BF">
        <w:rPr>
          <w:rFonts w:ascii="Times New Roman" w:eastAsia="Times New Roman" w:hAnsi="Times New Roman" w:cs="Times New Roman"/>
          <w:color w:val="000000"/>
          <w:sz w:val="24"/>
          <w:szCs w:val="24"/>
        </w:rPr>
        <w:t>private, unenforceable agreements to resolve cases</w:t>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color w:val="000000"/>
          <w:sz w:val="24"/>
          <w:szCs w:val="24"/>
        </w:rPr>
        <w:t xml:space="preserve"> </w:t>
      </w:r>
    </w:p>
    <w:p w:rsidR="00F43BCB" w:rsidRPr="008319BF" w:rsidRDefault="00F43BCB" w:rsidP="00F43BCB">
      <w:pPr>
        <w:spacing w:before="100" w:after="0" w:line="240" w:lineRule="auto"/>
        <w:rPr>
          <w:rFonts w:ascii="Times New Roman" w:eastAsia="Calibri" w:hAnsi="Times New Roman" w:cs="Times New Roman"/>
          <w:color w:val="000000"/>
          <w:sz w:val="24"/>
          <w:szCs w:val="24"/>
        </w:rPr>
      </w:pPr>
      <w:r w:rsidRPr="008319BF">
        <w:rPr>
          <w:rFonts w:ascii="Times New Roman" w:eastAsia="Times New Roman" w:hAnsi="Times New Roman" w:cs="Times New Roman"/>
          <w:sz w:val="24"/>
          <w:szCs w:val="24"/>
        </w:rPr>
        <w:t xml:space="preserve">DOJ staff should file complaints promptly and use temporary restraining orders, preliminary injunctions, and other enforcement tools available while litigation is pending in order to protect vulnerable populations and correct dangerous conditions as quickly as possible. DOJ </w:t>
      </w:r>
      <w:r w:rsidRPr="008319BF">
        <w:rPr>
          <w:rFonts w:ascii="Times New Roman" w:eastAsia="Calibri" w:hAnsi="Times New Roman" w:cs="Times New Roman"/>
          <w:color w:val="000000"/>
          <w:sz w:val="24"/>
          <w:szCs w:val="24"/>
        </w:rPr>
        <w:t xml:space="preserve">staff should insist on specific outcomes rather than more general policies and procedures to remedy violations and to guard against regression when monitoring ends. </w:t>
      </w:r>
    </w:p>
    <w:p w:rsidR="003722FF" w:rsidRPr="008319BF" w:rsidRDefault="003722FF" w:rsidP="00F43BCB">
      <w:pPr>
        <w:spacing w:before="100" w:after="0" w:line="240" w:lineRule="auto"/>
        <w:ind w:left="709"/>
        <w:rPr>
          <w:rFonts w:ascii="Times New Roman" w:eastAsia="Calibri" w:hAnsi="Times New Roman" w:cs="Times New Roman"/>
          <w:color w:val="000000"/>
          <w:sz w:val="24"/>
          <w:szCs w:val="24"/>
        </w:rPr>
      </w:pPr>
    </w:p>
    <w:p w:rsidR="00F43BCB" w:rsidRPr="008319BF" w:rsidRDefault="0080612C" w:rsidP="008319BF">
      <w:pPr>
        <w:pStyle w:val="Heading1"/>
      </w:pPr>
      <w:bookmarkStart w:id="50" w:name="_Barriers_to_accountability"/>
      <w:bookmarkStart w:id="51" w:name="_Toc414015939"/>
      <w:bookmarkStart w:id="52" w:name="_Toc414292318"/>
      <w:bookmarkEnd w:id="50"/>
      <w:r w:rsidRPr="008319BF">
        <w:t>V</w:t>
      </w:r>
      <w:r w:rsidR="003145A8" w:rsidRPr="008319BF">
        <w:t>I</w:t>
      </w:r>
      <w:r w:rsidR="008319BF">
        <w:t xml:space="preserve">. </w:t>
      </w:r>
      <w:r w:rsidR="00F43BCB" w:rsidRPr="008319BF">
        <w:t>Barriers to accountability and redress</w:t>
      </w:r>
      <w:bookmarkEnd w:id="51"/>
      <w:bookmarkEnd w:id="52"/>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reality of available legal redress and reparations is quite different than the stated US governmental policy.  MWAN has spoken to numerous individuals who were mistreated in psychiatric care and who have never received an impartial review of the conditions of their detention, nor any apology or redress for torture, inhumane treatment or abuse.  Neither has appropriate rehabilitation been provided to victims of psychiatric abuse, instead perpetrators are protected by quasi-governmental immunity for their actions which protects them from criminal investigation as well as civil liability.  </w:t>
      </w:r>
    </w:p>
    <w:p w:rsidR="002C7F1D" w:rsidRPr="008319BF" w:rsidRDefault="002C7F1D" w:rsidP="00F43BCB">
      <w:pPr>
        <w:spacing w:before="100" w:after="0" w:line="240" w:lineRule="auto"/>
        <w:rPr>
          <w:rFonts w:ascii="Times New Roman" w:eastAsia="Times New Roman" w:hAnsi="Times New Roman" w:cs="Times New Roman"/>
          <w:sz w:val="24"/>
          <w:szCs w:val="24"/>
        </w:rPr>
      </w:pPr>
    </w:p>
    <w:p w:rsidR="00F43BCB" w:rsidRPr="0074449E" w:rsidRDefault="00F43BCB" w:rsidP="0074449E">
      <w:pPr>
        <w:pStyle w:val="Heading2"/>
      </w:pPr>
      <w:bookmarkStart w:id="53" w:name="_Lack_of_Judicial"/>
      <w:bookmarkStart w:id="54" w:name="_Toc414015940"/>
      <w:bookmarkStart w:id="55" w:name="_Toc414292319"/>
      <w:bookmarkEnd w:id="53"/>
      <w:r w:rsidRPr="0074449E">
        <w:t>Lack of Judicial review of guardianship cases</w:t>
      </w:r>
      <w:bookmarkEnd w:id="54"/>
      <w:bookmarkEnd w:id="55"/>
    </w:p>
    <w:p w:rsidR="000336CD" w:rsidRDefault="000336CD" w:rsidP="00F43BCB">
      <w:pPr>
        <w:autoSpaceDE w:val="0"/>
        <w:autoSpaceDN w:val="0"/>
        <w:adjustRightInd w:val="0"/>
        <w:spacing w:after="0" w:line="240" w:lineRule="auto"/>
        <w:rPr>
          <w:rFonts w:ascii="Times New Roman" w:eastAsia="Calibri" w:hAnsi="Times New Roman" w:cs="Times New Roman"/>
          <w:color w:val="000000"/>
          <w:sz w:val="24"/>
          <w:szCs w:val="24"/>
        </w:rPr>
      </w:pPr>
    </w:p>
    <w:p w:rsidR="00F43BCB" w:rsidRPr="008319BF" w:rsidRDefault="00F43BCB" w:rsidP="00F43BCB">
      <w:pPr>
        <w:autoSpaceDE w:val="0"/>
        <w:autoSpaceDN w:val="0"/>
        <w:adjustRightInd w:val="0"/>
        <w:spacing w:after="0" w:line="240" w:lineRule="auto"/>
        <w:rPr>
          <w:rFonts w:ascii="Times New Roman" w:eastAsia="Calibri" w:hAnsi="Times New Roman" w:cs="Times New Roman"/>
          <w:color w:val="000000"/>
          <w:sz w:val="24"/>
          <w:szCs w:val="24"/>
        </w:rPr>
      </w:pPr>
      <w:r w:rsidRPr="008319BF">
        <w:rPr>
          <w:rFonts w:ascii="Times New Roman" w:eastAsia="Calibri" w:hAnsi="Times New Roman" w:cs="Times New Roman"/>
          <w:color w:val="000000"/>
          <w:sz w:val="24"/>
          <w:szCs w:val="24"/>
        </w:rPr>
        <w:t xml:space="preserve">There is no federal oversight of the state probate court system which does administration of guardianship cases.  More and more foster children, disabled persons, and the elderly are being committed to a system of care which has little transparency or oversight. The exact number of persons who are wards of the court is unknown. Most courts cannot track even major case events such as a change in guardian status. There is no transparency for oversight of complaints regarding psychiatric torture, abuse, mistreatment and neglect.  There is no centralized system to monitor a persons’ care and well-being while in psychiatric detention or outpatient treatment.  Judges of the court do not receive regular reports regarding the wards situation.  Judges </w:t>
      </w:r>
      <w:r w:rsidRPr="008319BF">
        <w:rPr>
          <w:rFonts w:ascii="Times New Roman" w:eastAsia="Calibri" w:hAnsi="Times New Roman" w:cs="Times New Roman"/>
          <w:color w:val="000000"/>
          <w:sz w:val="24"/>
          <w:szCs w:val="24"/>
        </w:rPr>
        <w:lastRenderedPageBreak/>
        <w:t>automatically assume that substituted decision makers and “qualified health care providers” are doing what is in the best interest of the ward. Victims are held in locked institutions under the control of their abusers.</w:t>
      </w:r>
    </w:p>
    <w:p w:rsidR="00F43BCB" w:rsidRPr="008319BF" w:rsidRDefault="00F43BCB" w:rsidP="00F43BCB">
      <w:pPr>
        <w:autoSpaceDE w:val="0"/>
        <w:autoSpaceDN w:val="0"/>
        <w:adjustRightInd w:val="0"/>
        <w:spacing w:after="0" w:line="240" w:lineRule="auto"/>
        <w:rPr>
          <w:rFonts w:ascii="Times New Roman" w:eastAsia="Calibri" w:hAnsi="Times New Roman" w:cs="Times New Roman"/>
          <w:color w:val="000000"/>
          <w:sz w:val="24"/>
          <w:szCs w:val="24"/>
        </w:rPr>
      </w:pPr>
    </w:p>
    <w:p w:rsidR="00F43BCB" w:rsidRPr="008319BF" w:rsidRDefault="00F43BCB" w:rsidP="00887AAA">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There remains little accurate information of who is in guardianship and the quality and nature of their medical care. There are approximately 1.5 million active pending adult guardianship cases in the United States, according to the 2011 National Center for State Courts report </w:t>
      </w:r>
      <w:r w:rsidRPr="008319BF">
        <w:rPr>
          <w:rFonts w:ascii="Times New Roman" w:eastAsia="Times New Roman" w:hAnsi="Times New Roman" w:cs="Times New Roman"/>
          <w:i/>
          <w:iCs/>
          <w:sz w:val="24"/>
          <w:szCs w:val="24"/>
          <w:u w:val="single"/>
        </w:rPr>
        <w:t>Adult Guardianships: A "Best Guess" National Estimate and the Momentum for Reform</w:t>
      </w:r>
      <w:r w:rsidRPr="008319BF">
        <w:rPr>
          <w:rFonts w:ascii="Times New Roman" w:eastAsia="Times New Roman" w:hAnsi="Times New Roman" w:cs="Times New Roman"/>
          <w:i/>
          <w:iCs/>
          <w:color w:val="0000FF"/>
          <w:sz w:val="24"/>
          <w:szCs w:val="24"/>
          <w:u w:val="single"/>
        </w:rPr>
        <w:t>.</w:t>
      </w:r>
      <w:r w:rsidRPr="008319BF">
        <w:rPr>
          <w:rFonts w:ascii="Times New Roman" w:eastAsia="Times New Roman" w:hAnsi="Times New Roman" w:cs="Times New Roman"/>
          <w:sz w:val="24"/>
          <w:szCs w:val="24"/>
        </w:rPr>
        <w:t xml:space="preserve">  However numerous reports have shown that many state court administrative offices did not receive complete information on guardianship from trial courts. It is often impossible to determine whether the case is an adult guardianships or a conservatorship.  There is a lack of statewide case management systems that can even identify key case events. Some states cannot distinguish between guardianships granted to children, incapacitated young adults, and elders. There were major difficulties tracking caseloads, as these cases can remain open for years and sometimes decades. </w:t>
      </w:r>
      <w:r w:rsidRPr="008319BF">
        <w:rPr>
          <w:rFonts w:ascii="Times New Roman" w:eastAsia="Times New Roman" w:hAnsi="Times New Roman" w:cs="Times New Roman"/>
          <w:sz w:val="24"/>
          <w:szCs w:val="24"/>
          <w:vertAlign w:val="superscript"/>
        </w:rPr>
        <w:endnoteReference w:id="43"/>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44"/>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45"/>
      </w:r>
      <w:r w:rsidR="00887AAA"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46"/>
      </w:r>
      <w:r w:rsidR="00887AAA"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47"/>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48"/>
      </w:r>
    </w:p>
    <w:p w:rsidR="00B22A3A" w:rsidRPr="008319BF" w:rsidRDefault="00B22A3A" w:rsidP="00413E00">
      <w:pPr>
        <w:spacing w:before="100" w:after="0" w:line="240" w:lineRule="auto"/>
        <w:ind w:left="1429"/>
        <w:rPr>
          <w:rFonts w:ascii="Times New Roman" w:eastAsia="Times New Roman" w:hAnsi="Times New Roman" w:cs="Times New Roman"/>
          <w:sz w:val="24"/>
          <w:szCs w:val="24"/>
        </w:rPr>
      </w:pPr>
    </w:p>
    <w:p w:rsidR="00F43BCB" w:rsidRPr="0074449E" w:rsidRDefault="00F43BCB" w:rsidP="0074449E">
      <w:pPr>
        <w:pStyle w:val="Heading2"/>
      </w:pPr>
      <w:bookmarkStart w:id="56" w:name="_LACK_OF_COMMUNICATION"/>
      <w:bookmarkStart w:id="57" w:name="_Toc414015941"/>
      <w:bookmarkStart w:id="58" w:name="_Toc414292320"/>
      <w:bookmarkEnd w:id="56"/>
      <w:r w:rsidRPr="0074449E">
        <w:t>LACK OF COMMUNICATION BETWEEN FDA AND JUDGES</w:t>
      </w:r>
      <w:bookmarkEnd w:id="57"/>
      <w:bookmarkEnd w:id="58"/>
    </w:p>
    <w:p w:rsidR="000336CD" w:rsidRDefault="000336CD"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There is no direct communication between the Food and Drug Administration and the Judges that are court ordering the forced treatment of patients.  Judges are not trained in understanding the serious and life threatening adverse events that can happen with these mind altering medications.  Judges do not consult the physician instruction insert and carefully consider the implications for personal and public safety when there is a serious FDA black box warning on a pharmaceutical product. Judges are not educated on how these medications work in the brain, or what their therapeutic effects really are, and how they can be used, but also abused by care providers.  Yet Judges routinely make legal decisions forcing these drugs on wards of the court.  Judges do not directly receive notices of FDA safety alert warnings, nor are they notified when the FDA is considering pulling a medication off the market due to safety concerns and adverse events.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Therefore, when a psychiatric drug or other treatment is facing sanctions by the FDA, the pharmaceutical marketing representatives increase pressure and incentives for those “qualified health care providers” to expand the use of the medication on wards of the court.  This maximizes profits to the pharmaceutical company, who often will lose customers in the general public because of the FDA warning announcements. Wards of the court cannot sue for malpractice and can be forcibly made to take medication in spite of their concerns and over the strident objections of their families.  In addition, Medicaid and Medicare will continue, in spite of the FDA warning, to pay for uninterrupted drug treatment for wards of the court.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Judges make these forced drugging decisions in absence of the FDA regulatory agency’s advice and without consulting the FDA database regarding adverse events caused by the pharmaceutical product.  Most Judges do not really know what “off-label” use really entails.  Wards of the court are also court ordered into other kinds of treatment, such as electroshock therapy, with little </w:t>
      </w:r>
      <w:r w:rsidRPr="008319BF">
        <w:rPr>
          <w:rFonts w:ascii="Times New Roman" w:eastAsia="Times New Roman" w:hAnsi="Times New Roman" w:cs="Times New Roman"/>
          <w:sz w:val="24"/>
          <w:szCs w:val="24"/>
        </w:rPr>
        <w:lastRenderedPageBreak/>
        <w:t xml:space="preserve">proof of safety or efficacy, and with little regard for the human rights implications of such treatments.   </w:t>
      </w:r>
    </w:p>
    <w:p w:rsidR="00B22A3A" w:rsidRPr="008319BF" w:rsidRDefault="00B22A3A" w:rsidP="00F43BCB">
      <w:pPr>
        <w:spacing w:after="0" w:line="240" w:lineRule="auto"/>
        <w:rPr>
          <w:rFonts w:ascii="Times New Roman" w:eastAsia="Times New Roman" w:hAnsi="Times New Roman" w:cs="Times New Roman"/>
          <w:sz w:val="24"/>
          <w:szCs w:val="24"/>
        </w:rPr>
      </w:pPr>
    </w:p>
    <w:p w:rsidR="00413E00" w:rsidRPr="008319BF" w:rsidRDefault="00B22A3A" w:rsidP="00DE26C2">
      <w:pPr>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Judges are also not informed directly about findings of the </w:t>
      </w:r>
      <w:r w:rsidR="00DD0666" w:rsidRPr="008319BF">
        <w:rPr>
          <w:rFonts w:ascii="Times New Roman" w:eastAsia="Times New Roman" w:hAnsi="Times New Roman" w:cs="Times New Roman"/>
          <w:sz w:val="24"/>
          <w:szCs w:val="24"/>
        </w:rPr>
        <w:t xml:space="preserve">Office of </w:t>
      </w:r>
      <w:r w:rsidRPr="008319BF">
        <w:rPr>
          <w:rFonts w:ascii="Times New Roman" w:eastAsia="Times New Roman" w:hAnsi="Times New Roman" w:cs="Times New Roman"/>
          <w:sz w:val="24"/>
          <w:szCs w:val="24"/>
        </w:rPr>
        <w:t xml:space="preserve">Inspector General’s Health and Human Services research findings that relate to force-drugging of the elderly and other vulnerable populations </w:t>
      </w:r>
      <w:r w:rsidR="003722FF" w:rsidRPr="008319BF">
        <w:rPr>
          <w:rFonts w:ascii="Times New Roman" w:eastAsia="Times New Roman" w:hAnsi="Times New Roman" w:cs="Times New Roman"/>
          <w:sz w:val="24"/>
          <w:szCs w:val="24"/>
        </w:rPr>
        <w:t xml:space="preserve">under </w:t>
      </w:r>
      <w:r w:rsidRPr="008319BF">
        <w:rPr>
          <w:rFonts w:ascii="Times New Roman" w:eastAsia="Times New Roman" w:hAnsi="Times New Roman" w:cs="Times New Roman"/>
          <w:sz w:val="24"/>
          <w:szCs w:val="24"/>
        </w:rPr>
        <w:t>guardianship.</w:t>
      </w:r>
      <w:r w:rsidR="00DE26C2" w:rsidRPr="008319BF">
        <w:rPr>
          <w:rStyle w:val="EndnoteReference"/>
          <w:rFonts w:ascii="Times New Roman" w:eastAsia="Times New Roman" w:hAnsi="Times New Roman" w:cs="Times New Roman"/>
          <w:sz w:val="24"/>
          <w:szCs w:val="24"/>
        </w:rPr>
        <w:endnoteReference w:id="49"/>
      </w:r>
      <w:r w:rsidRPr="008319BF">
        <w:rPr>
          <w:rFonts w:ascii="Times New Roman" w:eastAsia="Times New Roman" w:hAnsi="Times New Roman" w:cs="Times New Roman"/>
          <w:sz w:val="24"/>
          <w:szCs w:val="24"/>
        </w:rPr>
        <w:t xml:space="preserve"> </w:t>
      </w:r>
    </w:p>
    <w:p w:rsidR="00DE26C2" w:rsidRPr="008319BF" w:rsidRDefault="00DE26C2" w:rsidP="00DE26C2">
      <w:pPr>
        <w:rPr>
          <w:rFonts w:ascii="Times New Roman" w:eastAsia="Times New Roman" w:hAnsi="Times New Roman" w:cs="Times New Roman"/>
          <w:sz w:val="24"/>
          <w:szCs w:val="24"/>
        </w:rPr>
      </w:pPr>
    </w:p>
    <w:p w:rsidR="00F43BCB" w:rsidRPr="0074449E" w:rsidRDefault="00F43BCB" w:rsidP="0074449E">
      <w:pPr>
        <w:pStyle w:val="Heading2"/>
      </w:pPr>
      <w:bookmarkStart w:id="59" w:name="_Lack_of_Command"/>
      <w:bookmarkStart w:id="60" w:name="_Toc414015942"/>
      <w:bookmarkStart w:id="61" w:name="_Toc414292321"/>
      <w:bookmarkEnd w:id="59"/>
      <w:r w:rsidRPr="0074449E">
        <w:t>Lack of Command Responsibility</w:t>
      </w:r>
      <w:bookmarkEnd w:id="60"/>
      <w:bookmarkEnd w:id="61"/>
    </w:p>
    <w:p w:rsidR="00F43BCB" w:rsidRPr="008319BF" w:rsidRDefault="00367FEF" w:rsidP="00F43BCB">
      <w:pPr>
        <w:autoSpaceDE w:val="0"/>
        <w:autoSpaceDN w:val="0"/>
        <w:adjustRightInd w:val="0"/>
        <w:spacing w:before="100" w:after="0" w:line="240" w:lineRule="auto"/>
        <w:rPr>
          <w:rFonts w:ascii="Times New Roman" w:eastAsia="Calibri" w:hAnsi="Times New Roman" w:cs="Times New Roman"/>
          <w:color w:val="000000"/>
          <w:sz w:val="24"/>
          <w:szCs w:val="24"/>
        </w:rPr>
      </w:pPr>
      <w:r w:rsidRPr="008319BF">
        <w:rPr>
          <w:rFonts w:ascii="Times New Roman" w:eastAsia="Calibri" w:hAnsi="Times New Roman" w:cs="Times New Roman"/>
          <w:color w:val="000000"/>
          <w:sz w:val="24"/>
          <w:szCs w:val="24"/>
        </w:rPr>
        <w:t xml:space="preserve">With force-drugging of wards of the court, Judges are ultimately in the position of command responsibility. Command responsibility may also rest with the supervisors of medical care and the medical treatment team.  </w:t>
      </w:r>
      <w:r w:rsidR="00F43BCB" w:rsidRPr="008319BF">
        <w:rPr>
          <w:rFonts w:ascii="Times New Roman" w:eastAsia="Calibri" w:hAnsi="Times New Roman" w:cs="Times New Roman"/>
          <w:color w:val="000000"/>
          <w:sz w:val="24"/>
          <w:szCs w:val="24"/>
        </w:rPr>
        <w:t xml:space="preserve">There is a lack of command responsibility. </w:t>
      </w:r>
      <w:r w:rsidR="00DD0666" w:rsidRPr="008319BF">
        <w:rPr>
          <w:rFonts w:ascii="Times New Roman" w:eastAsia="Calibri" w:hAnsi="Times New Roman" w:cs="Times New Roman"/>
          <w:color w:val="000000"/>
          <w:sz w:val="24"/>
          <w:szCs w:val="24"/>
        </w:rPr>
        <w:t>Judges often do not personally see the ward for hearings but instead me</w:t>
      </w:r>
      <w:r w:rsidR="00F54EA4" w:rsidRPr="008319BF">
        <w:rPr>
          <w:rFonts w:ascii="Times New Roman" w:eastAsia="Calibri" w:hAnsi="Times New Roman" w:cs="Times New Roman"/>
          <w:color w:val="000000"/>
          <w:sz w:val="24"/>
          <w:szCs w:val="24"/>
        </w:rPr>
        <w:t>e</w:t>
      </w:r>
      <w:r w:rsidR="00DD0666" w:rsidRPr="008319BF">
        <w:rPr>
          <w:rFonts w:ascii="Times New Roman" w:eastAsia="Calibri" w:hAnsi="Times New Roman" w:cs="Times New Roman"/>
          <w:color w:val="000000"/>
          <w:sz w:val="24"/>
          <w:szCs w:val="24"/>
        </w:rPr>
        <w:t xml:space="preserve">t with the guardian who presents the written finding of the health care providers and hospital psychiatrist. </w:t>
      </w:r>
      <w:r w:rsidRPr="008319BF">
        <w:rPr>
          <w:rFonts w:ascii="Times New Roman" w:eastAsia="Calibri" w:hAnsi="Times New Roman" w:cs="Times New Roman"/>
          <w:color w:val="000000"/>
          <w:sz w:val="24"/>
          <w:szCs w:val="24"/>
        </w:rPr>
        <w:t xml:space="preserve">The prohibition against torture relates not only to public officials, such as law enforcement agents in the strictest sense, but may apply to doctors, health professionals and social workers, including those working in private hospitals, other institutions and detention centers.  </w:t>
      </w:r>
      <w:r w:rsidR="00DD0666" w:rsidRPr="008319BF">
        <w:rPr>
          <w:rFonts w:ascii="Times New Roman" w:eastAsia="Calibri" w:hAnsi="Times New Roman" w:cs="Times New Roman"/>
          <w:color w:val="000000"/>
          <w:sz w:val="24"/>
          <w:szCs w:val="24"/>
        </w:rPr>
        <w:t>Judges do not adequately track the medical care given to the wards under their jurisdiction and often do not prevent or punish those who abuse the ward for financial gain.</w:t>
      </w:r>
    </w:p>
    <w:p w:rsidR="00F43BCB" w:rsidRDefault="00F43BCB" w:rsidP="00F43BCB">
      <w:pPr>
        <w:autoSpaceDE w:val="0"/>
        <w:autoSpaceDN w:val="0"/>
        <w:adjustRightInd w:val="0"/>
        <w:spacing w:before="100" w:after="0" w:line="240" w:lineRule="auto"/>
        <w:rPr>
          <w:rFonts w:ascii="Times New Roman" w:eastAsia="Calibri" w:hAnsi="Times New Roman" w:cs="Times New Roman"/>
          <w:color w:val="000000"/>
          <w:sz w:val="24"/>
          <w:szCs w:val="24"/>
        </w:rPr>
      </w:pPr>
      <w:r w:rsidRPr="008319BF">
        <w:rPr>
          <w:rFonts w:ascii="Times New Roman" w:eastAsia="Calibri" w:hAnsi="Times New Roman" w:cs="Times New Roman"/>
          <w:color w:val="000000"/>
          <w:sz w:val="24"/>
          <w:szCs w:val="24"/>
        </w:rPr>
        <w:t xml:space="preserve">Wards of the court can be neglected or even abused by the very persons empowered by the court to protect them – their own guardians and care givers.  The judges of the court may fail to question the actions of the qualified health care providers or the guardian. Most persons in positions of responsibility within the medical establishment are protected by quasi-governmental immunity as well as medical malpractice insurance. Wards of the court have usually been stripped of their own legal right to appear in court – legal death.  </w:t>
      </w:r>
    </w:p>
    <w:p w:rsidR="00413E00" w:rsidRPr="008319BF" w:rsidRDefault="00413E00" w:rsidP="00F43BCB">
      <w:pPr>
        <w:autoSpaceDE w:val="0"/>
        <w:autoSpaceDN w:val="0"/>
        <w:adjustRightInd w:val="0"/>
        <w:spacing w:before="100" w:after="0" w:line="240" w:lineRule="auto"/>
        <w:rPr>
          <w:rFonts w:ascii="Times New Roman" w:eastAsia="Calibri" w:hAnsi="Times New Roman" w:cs="Times New Roman"/>
          <w:color w:val="000000"/>
          <w:sz w:val="24"/>
          <w:szCs w:val="24"/>
        </w:rPr>
      </w:pPr>
    </w:p>
    <w:p w:rsidR="00F43BCB" w:rsidRPr="0074449E" w:rsidRDefault="00F43BCB" w:rsidP="0074449E">
      <w:pPr>
        <w:pStyle w:val="Heading2"/>
      </w:pPr>
      <w:bookmarkStart w:id="62" w:name="_CRIPA_-Lack_of"/>
      <w:bookmarkStart w:id="63" w:name="_Toc414015943"/>
      <w:bookmarkStart w:id="64" w:name="_Toc414292322"/>
      <w:bookmarkEnd w:id="62"/>
      <w:r w:rsidRPr="0074449E">
        <w:t>CRIPA -Lack of communication to the US Congress</w:t>
      </w:r>
      <w:bookmarkEnd w:id="63"/>
      <w:bookmarkEnd w:id="64"/>
      <w:r w:rsidRPr="0074449E">
        <w:t xml:space="preserve"> </w:t>
      </w:r>
    </w:p>
    <w:p w:rsidR="00F43BCB" w:rsidRDefault="00F43BCB" w:rsidP="00F43BCB">
      <w:pPr>
        <w:autoSpaceDE w:val="0"/>
        <w:adjustRightInd w:val="0"/>
        <w:spacing w:before="100" w:after="0" w:line="240" w:lineRule="auto"/>
        <w:rPr>
          <w:rFonts w:ascii="Times New Roman" w:eastAsia="Calibri" w:hAnsi="Times New Roman" w:cs="Times New Roman"/>
          <w:color w:val="000000"/>
          <w:sz w:val="24"/>
          <w:szCs w:val="24"/>
        </w:rPr>
      </w:pPr>
      <w:r w:rsidRPr="008319BF">
        <w:rPr>
          <w:rFonts w:ascii="Times New Roman" w:eastAsia="Calibri" w:hAnsi="Times New Roman" w:cs="Times New Roman"/>
          <w:color w:val="000000"/>
          <w:sz w:val="24"/>
          <w:szCs w:val="24"/>
        </w:rPr>
        <w:t xml:space="preserve">The DOJ should improve its CRIPA enforcement reports to Congress by including the full range of data required under the statute. </w:t>
      </w:r>
      <w:r w:rsidRPr="008319BF">
        <w:rPr>
          <w:rFonts w:ascii="Times New Roman" w:eastAsia="Times New Roman" w:hAnsi="Times New Roman" w:cs="Times New Roman"/>
          <w:color w:val="000000"/>
          <w:sz w:val="24"/>
          <w:szCs w:val="24"/>
        </w:rPr>
        <w:t xml:space="preserve">Currently annual reports do not always provide all the information the statute requires. For example: DOJ’s annual reports do not quantify or qualify the conditions under which wards of the court are kept. DOJ’s annual reports mention investigations launched with no tracking to indicate outcomes. A strong annual report would help leverage voluntary compliance and encourage people to report illegal conditions in institutions.  A more strategic enforcement to proactively protect the rights of institutional residents would further the goals of Congress. </w:t>
      </w:r>
      <w:r w:rsidRPr="008319BF">
        <w:rPr>
          <w:rFonts w:ascii="Times New Roman" w:eastAsia="Calibri" w:hAnsi="Times New Roman" w:cs="Times New Roman"/>
          <w:color w:val="000000"/>
          <w:sz w:val="24"/>
          <w:szCs w:val="24"/>
        </w:rPr>
        <w:t xml:space="preserve">Congress should also increase its oversight of DOJ’s enforcement of CRIPA and ensure that DOJ has sufficient funding and other support to do its work. </w:t>
      </w:r>
    </w:p>
    <w:p w:rsidR="00663289" w:rsidRDefault="00663289" w:rsidP="00F43BCB">
      <w:pPr>
        <w:autoSpaceDE w:val="0"/>
        <w:adjustRightInd w:val="0"/>
        <w:spacing w:before="100" w:after="0" w:line="240" w:lineRule="auto"/>
        <w:rPr>
          <w:rFonts w:ascii="Times New Roman" w:eastAsia="Calibri" w:hAnsi="Times New Roman" w:cs="Times New Roman"/>
          <w:color w:val="000000"/>
          <w:sz w:val="24"/>
          <w:szCs w:val="24"/>
        </w:rPr>
      </w:pPr>
    </w:p>
    <w:p w:rsidR="007910BB" w:rsidRDefault="007910BB" w:rsidP="00F43BCB">
      <w:pPr>
        <w:autoSpaceDE w:val="0"/>
        <w:adjustRightInd w:val="0"/>
        <w:spacing w:before="100" w:after="0" w:line="240" w:lineRule="auto"/>
        <w:rPr>
          <w:rFonts w:ascii="Times New Roman" w:eastAsia="Calibri" w:hAnsi="Times New Roman" w:cs="Times New Roman"/>
          <w:color w:val="000000"/>
          <w:sz w:val="24"/>
          <w:szCs w:val="24"/>
        </w:rPr>
      </w:pPr>
    </w:p>
    <w:p w:rsidR="007910BB" w:rsidRDefault="007910BB" w:rsidP="00F43BCB">
      <w:pPr>
        <w:autoSpaceDE w:val="0"/>
        <w:adjustRightInd w:val="0"/>
        <w:spacing w:before="100" w:after="0" w:line="240" w:lineRule="auto"/>
        <w:rPr>
          <w:rFonts w:ascii="Times New Roman" w:eastAsia="Calibri" w:hAnsi="Times New Roman" w:cs="Times New Roman"/>
          <w:color w:val="000000"/>
          <w:sz w:val="24"/>
          <w:szCs w:val="24"/>
        </w:rPr>
      </w:pPr>
    </w:p>
    <w:p w:rsidR="007910BB" w:rsidRPr="008319BF" w:rsidRDefault="007910BB" w:rsidP="00F43BCB">
      <w:pPr>
        <w:autoSpaceDE w:val="0"/>
        <w:adjustRightInd w:val="0"/>
        <w:spacing w:before="100" w:after="0" w:line="240" w:lineRule="auto"/>
        <w:rPr>
          <w:rFonts w:ascii="Times New Roman" w:eastAsia="Calibri" w:hAnsi="Times New Roman" w:cs="Times New Roman"/>
          <w:color w:val="000000"/>
          <w:sz w:val="24"/>
          <w:szCs w:val="24"/>
        </w:rPr>
      </w:pPr>
    </w:p>
    <w:p w:rsidR="00F43BCB" w:rsidRPr="0074449E" w:rsidRDefault="00F43BCB" w:rsidP="0074449E">
      <w:pPr>
        <w:pStyle w:val="Heading2"/>
      </w:pPr>
      <w:bookmarkStart w:id="65" w:name="_Lack_of_coordination"/>
      <w:bookmarkStart w:id="66" w:name="_Toc414015944"/>
      <w:bookmarkStart w:id="67" w:name="_Toc414292323"/>
      <w:bookmarkEnd w:id="65"/>
      <w:r w:rsidRPr="0074449E">
        <w:lastRenderedPageBreak/>
        <w:t>Lack of coordination between federal agencies</w:t>
      </w:r>
      <w:bookmarkEnd w:id="66"/>
      <w:bookmarkEnd w:id="67"/>
    </w:p>
    <w:p w:rsidR="00F43BCB" w:rsidRPr="008319BF" w:rsidRDefault="00F43BCB" w:rsidP="00F43BCB">
      <w:pPr>
        <w:spacing w:before="100" w:after="0" w:line="240" w:lineRule="auto"/>
        <w:rPr>
          <w:rFonts w:ascii="Times New Roman" w:eastAsia="Times New Roman" w:hAnsi="Times New Roman" w:cs="Times New Roman"/>
          <w:color w:val="000000"/>
          <w:sz w:val="24"/>
          <w:szCs w:val="24"/>
        </w:rPr>
      </w:pPr>
      <w:r w:rsidRPr="008319BF">
        <w:rPr>
          <w:rFonts w:ascii="Times New Roman" w:eastAsia="Times New Roman" w:hAnsi="Times New Roman" w:cs="Times New Roman"/>
          <w:color w:val="000000"/>
          <w:sz w:val="24"/>
          <w:szCs w:val="24"/>
        </w:rPr>
        <w:t xml:space="preserve">There is a lack of coordination among federal agencies in regards to federal enforcement of disability rights.  The Department of Justice may find serious violations but Health and Human Services (HHS) may still continue to fully fund the facility. </w:t>
      </w:r>
    </w:p>
    <w:p w:rsidR="00E428EF" w:rsidRPr="008319BF" w:rsidRDefault="00E428EF" w:rsidP="00F43BCB">
      <w:pPr>
        <w:spacing w:before="100" w:after="0" w:line="240" w:lineRule="auto"/>
        <w:rPr>
          <w:rFonts w:ascii="Times New Roman" w:eastAsia="Times New Roman" w:hAnsi="Times New Roman" w:cs="Times New Roman"/>
          <w:color w:val="000000"/>
          <w:sz w:val="24"/>
          <w:szCs w:val="24"/>
        </w:rPr>
      </w:pPr>
    </w:p>
    <w:p w:rsidR="00F43BCB" w:rsidRPr="0074449E" w:rsidRDefault="00F43BCB" w:rsidP="0074449E">
      <w:pPr>
        <w:pStyle w:val="Heading2"/>
      </w:pPr>
      <w:bookmarkStart w:id="68" w:name="_CRIPA_-Lack_of_1"/>
      <w:bookmarkStart w:id="69" w:name="_Toc414015945"/>
      <w:bookmarkStart w:id="70" w:name="_Toc414292324"/>
      <w:bookmarkEnd w:id="68"/>
      <w:r w:rsidRPr="0074449E">
        <w:t>CRIPA -Lack of public publication of DOJ findings</w:t>
      </w:r>
      <w:bookmarkEnd w:id="69"/>
      <w:bookmarkEnd w:id="70"/>
    </w:p>
    <w:p w:rsidR="00F43BCB" w:rsidRPr="008319BF" w:rsidRDefault="00F43BCB" w:rsidP="00F43BCB">
      <w:pPr>
        <w:spacing w:before="100" w:after="0" w:line="240" w:lineRule="auto"/>
        <w:rPr>
          <w:rFonts w:ascii="Times New Roman" w:eastAsia="Times New Roman" w:hAnsi="Times New Roman" w:cs="Times New Roman"/>
          <w:color w:val="000000"/>
          <w:sz w:val="24"/>
          <w:szCs w:val="24"/>
        </w:rPr>
      </w:pPr>
      <w:r w:rsidRPr="008319BF">
        <w:rPr>
          <w:rFonts w:ascii="Times New Roman" w:eastAsia="Times New Roman" w:hAnsi="Times New Roman" w:cs="Times New Roman"/>
          <w:color w:val="000000"/>
          <w:sz w:val="24"/>
          <w:szCs w:val="24"/>
        </w:rPr>
        <w:t>Institutions are resistant to change, they are entrenched organizations and it takes more than litigation to make them change policies and practices.  Sunshine helps dispel darkness and when media exposes egregious violations, then institutions are more likely to reform. DOJ limits its effectiveness by using a narrow, traditional approach to law enforcement.  Because the DOJ doesn’t advertise investigations, it weakens its ability to gather information from people with relevant evidence.  Remaining silent about its victories, the DOJ fails to maximize the deterrent effect of its work.</w:t>
      </w:r>
    </w:p>
    <w:p w:rsidR="00367FEF" w:rsidRPr="008319BF" w:rsidRDefault="00367FEF" w:rsidP="00F43BCB">
      <w:pPr>
        <w:spacing w:before="100" w:after="0" w:line="240" w:lineRule="auto"/>
        <w:rPr>
          <w:rFonts w:ascii="Times New Roman" w:eastAsia="Times New Roman" w:hAnsi="Times New Roman" w:cs="Times New Roman"/>
          <w:color w:val="000000"/>
          <w:sz w:val="24"/>
          <w:szCs w:val="24"/>
        </w:rPr>
      </w:pPr>
    </w:p>
    <w:p w:rsidR="00DE26C2" w:rsidRPr="008319BF" w:rsidRDefault="003145A8" w:rsidP="008319BF">
      <w:pPr>
        <w:pStyle w:val="Heading1"/>
      </w:pPr>
      <w:bookmarkStart w:id="71" w:name="_Toc414292325"/>
      <w:r w:rsidRPr="008319BF">
        <w:t xml:space="preserve">VII. </w:t>
      </w:r>
      <w:r w:rsidR="00934F1F" w:rsidRPr="008319BF">
        <w:t>Vulne</w:t>
      </w:r>
      <w:r w:rsidR="003722FF" w:rsidRPr="008319BF">
        <w:t>rable Populations</w:t>
      </w:r>
      <w:bookmarkEnd w:id="71"/>
      <w:r w:rsidR="003722FF" w:rsidRPr="008319BF">
        <w:t xml:space="preserve"> </w:t>
      </w:r>
    </w:p>
    <w:p w:rsidR="003722FF" w:rsidRPr="008319BF" w:rsidRDefault="003722FF" w:rsidP="00F43BCB">
      <w:pPr>
        <w:spacing w:after="0" w:line="240" w:lineRule="auto"/>
        <w:ind w:firstLine="283"/>
        <w:rPr>
          <w:rFonts w:ascii="Times New Roman" w:eastAsia="Times New Roman" w:hAnsi="Times New Roman" w:cs="Times New Roman"/>
          <w:sz w:val="24"/>
          <w:szCs w:val="24"/>
        </w:rPr>
      </w:pPr>
    </w:p>
    <w:p w:rsidR="00F43BCB" w:rsidRPr="008319BF" w:rsidRDefault="00F43BCB" w:rsidP="0074449E">
      <w:pPr>
        <w:pStyle w:val="Heading2"/>
        <w:rPr>
          <w:rFonts w:eastAsia="Arial Unicode MS"/>
        </w:rPr>
      </w:pPr>
      <w:bookmarkStart w:id="72" w:name="_Human_Rights_of"/>
      <w:bookmarkStart w:id="73" w:name="_Toc414015949"/>
      <w:bookmarkStart w:id="74" w:name="_Toc414292326"/>
      <w:bookmarkEnd w:id="72"/>
      <w:r w:rsidRPr="008319BF">
        <w:rPr>
          <w:rFonts w:eastAsia="Arial Unicode MS"/>
        </w:rPr>
        <w:t>Wards of the Court</w:t>
      </w:r>
      <w:bookmarkEnd w:id="73"/>
      <w:bookmarkEnd w:id="74"/>
      <w:r w:rsidRPr="008319BF">
        <w:rPr>
          <w:rFonts w:eastAsia="Arial Unicode MS"/>
        </w:rPr>
        <w:t xml:space="preserve"> </w:t>
      </w:r>
    </w:p>
    <w:p w:rsidR="000336CD" w:rsidRDefault="000336CD" w:rsidP="00B023C2">
      <w:pPr>
        <w:spacing w:after="0" w:line="240" w:lineRule="auto"/>
        <w:rPr>
          <w:rFonts w:ascii="Times New Roman" w:eastAsia="Times New Roman" w:hAnsi="Times New Roman" w:cs="Times New Roman"/>
          <w:bCs/>
          <w:sz w:val="24"/>
          <w:szCs w:val="24"/>
        </w:rPr>
      </w:pPr>
    </w:p>
    <w:p w:rsidR="00B023C2" w:rsidRPr="008319BF" w:rsidRDefault="00B023C2" w:rsidP="00B023C2">
      <w:pPr>
        <w:spacing w:after="0" w:line="240" w:lineRule="auto"/>
        <w:rPr>
          <w:rFonts w:ascii="Times New Roman" w:eastAsia="Times New Roman" w:hAnsi="Times New Roman" w:cs="Times New Roman"/>
          <w:bCs/>
          <w:sz w:val="24"/>
          <w:szCs w:val="24"/>
        </w:rPr>
      </w:pPr>
      <w:r w:rsidRPr="008319BF">
        <w:rPr>
          <w:rFonts w:ascii="Times New Roman" w:eastAsia="Times New Roman" w:hAnsi="Times New Roman" w:cs="Times New Roman"/>
          <w:bCs/>
          <w:sz w:val="24"/>
          <w:szCs w:val="24"/>
        </w:rPr>
        <w:t xml:space="preserve">When the government steps in to make decisions for someone, it is called </w:t>
      </w:r>
      <w:r w:rsidRPr="008319BF">
        <w:rPr>
          <w:rFonts w:ascii="Times New Roman" w:eastAsia="Times New Roman" w:hAnsi="Times New Roman" w:cs="Times New Roman"/>
          <w:bCs/>
          <w:i/>
          <w:sz w:val="24"/>
          <w:szCs w:val="24"/>
        </w:rPr>
        <w:t>Parens Patriae</w:t>
      </w:r>
      <w:r w:rsidRPr="008319BF">
        <w:rPr>
          <w:rFonts w:ascii="Times New Roman" w:eastAsia="Times New Roman" w:hAnsi="Times New Roman" w:cs="Times New Roman"/>
          <w:bCs/>
          <w:sz w:val="24"/>
          <w:szCs w:val="24"/>
        </w:rPr>
        <w:t xml:space="preserve">, (parent of the nation.)  In order for the government to be able to assert this right, it has to prove the person is incompetent to decide for him or herself.  In addition, in order to be constitutional the court ordered drugging must be in the person's medical interest. Thus it may be questioned whether it is in the wards medical interest to be force-drugged with off-label drugs that have not been proven to be safe or effective.  </w:t>
      </w:r>
    </w:p>
    <w:p w:rsidR="003E3FA9" w:rsidRPr="008319BF" w:rsidRDefault="003E3FA9" w:rsidP="00B023C2">
      <w:pPr>
        <w:spacing w:after="0" w:line="240" w:lineRule="auto"/>
        <w:rPr>
          <w:rFonts w:ascii="Times New Roman" w:eastAsia="Times New Roman" w:hAnsi="Times New Roman" w:cs="Times New Roman"/>
          <w:bCs/>
          <w:sz w:val="24"/>
          <w:szCs w:val="24"/>
        </w:rPr>
      </w:pPr>
    </w:p>
    <w:p w:rsidR="00652DDC" w:rsidRPr="008319BF" w:rsidRDefault="00B023C2" w:rsidP="00E44055">
      <w:pPr>
        <w:spacing w:after="0" w:line="240" w:lineRule="auto"/>
        <w:rPr>
          <w:rFonts w:ascii="Times New Roman" w:hAnsi="Times New Roman" w:cs="Times New Roman"/>
          <w:sz w:val="24"/>
          <w:szCs w:val="24"/>
        </w:rPr>
      </w:pPr>
      <w:r w:rsidRPr="008319BF">
        <w:rPr>
          <w:rFonts w:ascii="Times New Roman" w:eastAsia="Times New Roman" w:hAnsi="Times New Roman" w:cs="Times New Roman"/>
          <w:bCs/>
          <w:sz w:val="24"/>
          <w:szCs w:val="24"/>
        </w:rPr>
        <w:t xml:space="preserve">In 1979, the United States Court of Appeals for the First Circuit established in </w:t>
      </w:r>
      <w:r w:rsidRPr="008319BF">
        <w:rPr>
          <w:rFonts w:ascii="Times New Roman" w:eastAsia="Times New Roman" w:hAnsi="Times New Roman" w:cs="Times New Roman"/>
          <w:bCs/>
          <w:i/>
          <w:sz w:val="24"/>
          <w:szCs w:val="24"/>
        </w:rPr>
        <w:t>Rogers v. Okin</w:t>
      </w:r>
      <w:r w:rsidRPr="008319BF">
        <w:rPr>
          <w:rFonts w:ascii="Times New Roman" w:eastAsia="Times New Roman" w:hAnsi="Times New Roman" w:cs="Times New Roman"/>
          <w:bCs/>
          <w:sz w:val="24"/>
          <w:szCs w:val="24"/>
        </w:rPr>
        <w:t xml:space="preserve"> that a competent patient committed to a psychiatric hospital has the right to refuse treatment in non-emergency situations. The case of </w:t>
      </w:r>
      <w:r w:rsidRPr="008319BF">
        <w:rPr>
          <w:rFonts w:ascii="Times New Roman" w:eastAsia="Times New Roman" w:hAnsi="Times New Roman" w:cs="Times New Roman"/>
          <w:bCs/>
          <w:i/>
          <w:sz w:val="24"/>
          <w:szCs w:val="24"/>
        </w:rPr>
        <w:t>Rennie v. Klein</w:t>
      </w:r>
      <w:r w:rsidRPr="008319BF">
        <w:rPr>
          <w:rFonts w:ascii="Times New Roman" w:eastAsia="Times New Roman" w:hAnsi="Times New Roman" w:cs="Times New Roman"/>
          <w:bCs/>
          <w:sz w:val="24"/>
          <w:szCs w:val="24"/>
        </w:rPr>
        <w:t xml:space="preserve"> established that an involuntarily committed individual has a constitutional right to refuse psychotropic medication without a court order. </w:t>
      </w:r>
      <w:r w:rsidRPr="008319BF">
        <w:rPr>
          <w:rFonts w:ascii="Times New Roman" w:eastAsia="Times New Roman" w:hAnsi="Times New Roman" w:cs="Times New Roman"/>
          <w:bCs/>
          <w:i/>
          <w:sz w:val="24"/>
          <w:szCs w:val="24"/>
        </w:rPr>
        <w:t>Rogers v. Okin</w:t>
      </w:r>
      <w:r w:rsidRPr="008319BF">
        <w:rPr>
          <w:rFonts w:ascii="Times New Roman" w:eastAsia="Times New Roman" w:hAnsi="Times New Roman" w:cs="Times New Roman"/>
          <w:bCs/>
          <w:sz w:val="24"/>
          <w:szCs w:val="24"/>
        </w:rPr>
        <w:t xml:space="preserve"> established the patient's right to make treatment decisions.</w:t>
      </w:r>
      <w:r w:rsidR="00F54EA4" w:rsidRPr="008319BF">
        <w:rPr>
          <w:rFonts w:ascii="Times New Roman" w:eastAsia="Times New Roman" w:hAnsi="Times New Roman" w:cs="Times New Roman"/>
          <w:bCs/>
          <w:sz w:val="24"/>
          <w:szCs w:val="24"/>
        </w:rPr>
        <w:t xml:space="preserve">  </w:t>
      </w:r>
      <w:r w:rsidRPr="008319BF">
        <w:rPr>
          <w:rFonts w:ascii="Times New Roman" w:hAnsi="Times New Roman" w:cs="Times New Roman"/>
          <w:sz w:val="24"/>
          <w:szCs w:val="24"/>
        </w:rPr>
        <w:t xml:space="preserve">Additional U.S. Supreme Court decisions have added more restraints to involuntary commitment and treatment. </w:t>
      </w:r>
      <w:r w:rsidR="003E3FA9" w:rsidRPr="008319BF">
        <w:rPr>
          <w:rFonts w:ascii="Times New Roman" w:hAnsi="Times New Roman" w:cs="Times New Roman"/>
          <w:sz w:val="24"/>
          <w:szCs w:val="24"/>
        </w:rPr>
        <w:t xml:space="preserve"> </w:t>
      </w:r>
      <w:r w:rsidR="003E3FA9" w:rsidRPr="008319BF">
        <w:rPr>
          <w:rStyle w:val="EndnoteReference"/>
          <w:rFonts w:ascii="Times New Roman" w:hAnsi="Times New Roman" w:cs="Times New Roman"/>
          <w:sz w:val="24"/>
          <w:szCs w:val="24"/>
        </w:rPr>
        <w:endnoteReference w:id="50"/>
      </w:r>
      <w:r w:rsidR="003E3FA9" w:rsidRPr="008319BF">
        <w:rPr>
          <w:rFonts w:ascii="Times New Roman" w:hAnsi="Times New Roman" w:cs="Times New Roman"/>
          <w:sz w:val="24"/>
          <w:szCs w:val="24"/>
        </w:rPr>
        <w:t xml:space="preserve"> </w:t>
      </w:r>
      <w:r w:rsidR="003E3FA9" w:rsidRPr="008319BF">
        <w:rPr>
          <w:rStyle w:val="EndnoteReference"/>
          <w:rFonts w:ascii="Times New Roman" w:hAnsi="Times New Roman" w:cs="Times New Roman"/>
          <w:sz w:val="24"/>
          <w:szCs w:val="24"/>
        </w:rPr>
        <w:endnoteReference w:id="51"/>
      </w:r>
      <w:r w:rsidR="00E44055" w:rsidRPr="008319BF">
        <w:rPr>
          <w:rFonts w:ascii="Times New Roman" w:hAnsi="Times New Roman" w:cs="Times New Roman"/>
          <w:sz w:val="24"/>
          <w:szCs w:val="24"/>
        </w:rPr>
        <w:t xml:space="preserve">  </w:t>
      </w:r>
    </w:p>
    <w:p w:rsidR="00652DDC" w:rsidRPr="008319BF" w:rsidRDefault="00652DDC" w:rsidP="00E44055">
      <w:pPr>
        <w:spacing w:after="0" w:line="240" w:lineRule="auto"/>
        <w:rPr>
          <w:rFonts w:ascii="Times New Roman" w:hAnsi="Times New Roman" w:cs="Times New Roman"/>
          <w:sz w:val="24"/>
          <w:szCs w:val="24"/>
        </w:rPr>
      </w:pPr>
    </w:p>
    <w:p w:rsidR="00E44055" w:rsidRPr="008319BF" w:rsidRDefault="003E3FA9" w:rsidP="00E44055">
      <w:pPr>
        <w:spacing w:after="0" w:line="240" w:lineRule="auto"/>
        <w:rPr>
          <w:rFonts w:ascii="Times New Roman" w:hAnsi="Times New Roman" w:cs="Times New Roman"/>
          <w:color w:val="000000"/>
          <w:sz w:val="24"/>
          <w:szCs w:val="24"/>
        </w:rPr>
      </w:pPr>
      <w:r w:rsidRPr="008319BF">
        <w:rPr>
          <w:rFonts w:ascii="Times New Roman" w:hAnsi="Times New Roman" w:cs="Times New Roman"/>
          <w:sz w:val="24"/>
          <w:szCs w:val="24"/>
        </w:rPr>
        <w:t>Psychiatrists’ predictions regarding “dangerousness” and the possibility of future violence are totally unreliable. Attorney James B. Gottstein JD estimated that no more 10% of involuntary commitments actually meet the legal standard for commitment.</w:t>
      </w:r>
      <w:r w:rsidR="00F54EA4" w:rsidRPr="008319BF">
        <w:rPr>
          <w:rFonts w:ascii="Times New Roman" w:hAnsi="Times New Roman" w:cs="Times New Roman"/>
          <w:sz w:val="24"/>
          <w:szCs w:val="24"/>
        </w:rPr>
        <w:t xml:space="preserve"> </w:t>
      </w:r>
      <w:r w:rsidRPr="008319BF">
        <w:rPr>
          <w:rStyle w:val="EndnoteReference"/>
          <w:rFonts w:ascii="Times New Roman" w:hAnsi="Times New Roman" w:cs="Times New Roman"/>
          <w:sz w:val="24"/>
          <w:szCs w:val="24"/>
        </w:rPr>
        <w:endnoteReference w:id="52"/>
      </w:r>
      <w:r w:rsidRPr="008319BF">
        <w:rPr>
          <w:rFonts w:ascii="Times New Roman" w:hAnsi="Times New Roman" w:cs="Times New Roman"/>
          <w:sz w:val="24"/>
          <w:szCs w:val="24"/>
        </w:rPr>
        <w:t xml:space="preserve">  </w:t>
      </w:r>
      <w:r w:rsidR="00E44055" w:rsidRPr="008319BF">
        <w:rPr>
          <w:rFonts w:ascii="Times New Roman" w:eastAsia="Times New Roman" w:hAnsi="Times New Roman" w:cs="Times New Roman"/>
          <w:bCs/>
          <w:sz w:val="24"/>
          <w:szCs w:val="24"/>
        </w:rPr>
        <w:t xml:space="preserve">The non-prisoner patient has more legal right to refuse force-drugging with off-label medications.  </w:t>
      </w:r>
      <w:r w:rsidR="00E44055" w:rsidRPr="008319BF">
        <w:rPr>
          <w:rFonts w:ascii="Times New Roman" w:hAnsi="Times New Roman" w:cs="Times New Roman"/>
          <w:color w:val="000000"/>
          <w:sz w:val="24"/>
          <w:szCs w:val="24"/>
        </w:rPr>
        <w:t xml:space="preserve">In the </w:t>
      </w:r>
      <w:r w:rsidR="00E44055" w:rsidRPr="008319BF">
        <w:rPr>
          <w:rFonts w:ascii="Times New Roman" w:hAnsi="Times New Roman" w:cs="Times New Roman"/>
          <w:i/>
          <w:color w:val="000000"/>
          <w:sz w:val="24"/>
          <w:szCs w:val="24"/>
        </w:rPr>
        <w:t>Faith Myers v Alaska Psychiatric Institute</w:t>
      </w:r>
      <w:r w:rsidR="00E44055" w:rsidRPr="008319BF">
        <w:rPr>
          <w:rFonts w:ascii="Times New Roman" w:hAnsi="Times New Roman" w:cs="Times New Roman"/>
          <w:color w:val="000000"/>
          <w:sz w:val="24"/>
          <w:szCs w:val="24"/>
        </w:rPr>
        <w:t xml:space="preserve"> </w:t>
      </w:r>
      <w:r w:rsidR="00E44055" w:rsidRPr="008319BF">
        <w:rPr>
          <w:rStyle w:val="EndnoteReference"/>
          <w:rFonts w:ascii="Times New Roman" w:eastAsia="Times New Roman" w:hAnsi="Times New Roman" w:cs="Times New Roman"/>
          <w:bCs/>
          <w:sz w:val="24"/>
          <w:szCs w:val="24"/>
        </w:rPr>
        <w:endnoteReference w:id="53"/>
      </w:r>
      <w:r w:rsidR="00E44055" w:rsidRPr="008319BF">
        <w:rPr>
          <w:rFonts w:ascii="Times New Roman" w:eastAsia="Times New Roman" w:hAnsi="Times New Roman" w:cs="Times New Roman"/>
          <w:bCs/>
          <w:sz w:val="24"/>
          <w:szCs w:val="24"/>
        </w:rPr>
        <w:t xml:space="preserve"> </w:t>
      </w:r>
      <w:r w:rsidR="00E44055" w:rsidRPr="008319BF">
        <w:rPr>
          <w:rFonts w:ascii="Times New Roman" w:hAnsi="Times New Roman" w:cs="Times New Roman"/>
          <w:color w:val="000000"/>
          <w:sz w:val="24"/>
          <w:szCs w:val="24"/>
        </w:rPr>
        <w:t xml:space="preserve">case ruling means doctors cannot force patients to take psychotropic, or mind-altering, drugs against their will unless a court “expressly finds by clear and convincing evidence that the proposed treatment is in the patient’s best interests and no less </w:t>
      </w:r>
      <w:r w:rsidR="00E44055" w:rsidRPr="008319BF">
        <w:rPr>
          <w:rFonts w:ascii="Times New Roman" w:hAnsi="Times New Roman" w:cs="Times New Roman"/>
          <w:color w:val="000000"/>
          <w:sz w:val="24"/>
          <w:szCs w:val="24"/>
        </w:rPr>
        <w:lastRenderedPageBreak/>
        <w:t xml:space="preserve">intrusive alternative is available.”  </w:t>
      </w:r>
      <w:r w:rsidR="00652DDC" w:rsidRPr="008319BF">
        <w:rPr>
          <w:rFonts w:ascii="Times New Roman" w:hAnsi="Times New Roman" w:cs="Times New Roman"/>
          <w:color w:val="000000"/>
          <w:sz w:val="24"/>
          <w:szCs w:val="24"/>
        </w:rPr>
        <w:t>T</w:t>
      </w:r>
      <w:r w:rsidR="00E44055" w:rsidRPr="008319BF">
        <w:rPr>
          <w:rFonts w:ascii="Times New Roman" w:eastAsia="Times New Roman" w:hAnsi="Times New Roman" w:cs="Times New Roman"/>
          <w:bCs/>
          <w:sz w:val="24"/>
          <w:szCs w:val="24"/>
        </w:rPr>
        <w:t>he Soteria study done by Dr. Loren Mosher</w:t>
      </w:r>
      <w:r w:rsidR="00814094" w:rsidRPr="008319BF">
        <w:rPr>
          <w:rFonts w:ascii="Times New Roman" w:eastAsia="Times New Roman" w:hAnsi="Times New Roman" w:cs="Times New Roman"/>
          <w:bCs/>
          <w:sz w:val="24"/>
          <w:szCs w:val="24"/>
        </w:rPr>
        <w:t>,</w:t>
      </w:r>
      <w:r w:rsidR="00E44055" w:rsidRPr="008319BF">
        <w:rPr>
          <w:rFonts w:ascii="Times New Roman" w:eastAsia="Times New Roman" w:hAnsi="Times New Roman" w:cs="Times New Roman"/>
          <w:bCs/>
          <w:sz w:val="24"/>
          <w:szCs w:val="24"/>
        </w:rPr>
        <w:t xml:space="preserve"> found that establishing a trusting relationship</w:t>
      </w:r>
      <w:r w:rsidR="00F54EA4" w:rsidRPr="008319BF">
        <w:rPr>
          <w:rFonts w:ascii="Times New Roman" w:eastAsia="Times New Roman" w:hAnsi="Times New Roman" w:cs="Times New Roman"/>
          <w:bCs/>
          <w:sz w:val="24"/>
          <w:szCs w:val="24"/>
        </w:rPr>
        <w:t xml:space="preserve"> between the patient and the doctor</w:t>
      </w:r>
      <w:r w:rsidR="00E44055" w:rsidRPr="008319BF">
        <w:rPr>
          <w:rFonts w:ascii="Times New Roman" w:eastAsia="Times New Roman" w:hAnsi="Times New Roman" w:cs="Times New Roman"/>
          <w:bCs/>
          <w:sz w:val="24"/>
          <w:szCs w:val="24"/>
        </w:rPr>
        <w:t xml:space="preserve"> meant that </w:t>
      </w:r>
      <w:r w:rsidR="00814094" w:rsidRPr="008319BF">
        <w:rPr>
          <w:rFonts w:ascii="Times New Roman" w:eastAsia="Times New Roman" w:hAnsi="Times New Roman" w:cs="Times New Roman"/>
          <w:bCs/>
          <w:sz w:val="24"/>
          <w:szCs w:val="24"/>
        </w:rPr>
        <w:t xml:space="preserve">he </w:t>
      </w:r>
      <w:r w:rsidR="00E44055" w:rsidRPr="008319BF">
        <w:rPr>
          <w:rFonts w:ascii="Times New Roman" w:eastAsia="Times New Roman" w:hAnsi="Times New Roman" w:cs="Times New Roman"/>
          <w:bCs/>
          <w:sz w:val="24"/>
          <w:szCs w:val="24"/>
        </w:rPr>
        <w:t>never had to resort to involuntary commission of anyone.</w:t>
      </w:r>
      <w:r w:rsidR="00814094" w:rsidRPr="008319BF">
        <w:rPr>
          <w:rFonts w:ascii="Times New Roman" w:hAnsi="Times New Roman" w:cs="Times New Roman"/>
          <w:sz w:val="24"/>
          <w:szCs w:val="24"/>
        </w:rPr>
        <w:t xml:space="preserve">  P</w:t>
      </w:r>
      <w:r w:rsidR="00814094" w:rsidRPr="008319BF">
        <w:rPr>
          <w:rFonts w:ascii="Times New Roman" w:eastAsia="Times New Roman" w:hAnsi="Times New Roman" w:cs="Times New Roman"/>
          <w:bCs/>
          <w:sz w:val="24"/>
          <w:szCs w:val="24"/>
        </w:rPr>
        <w:t xml:space="preserve">eople diagnosed with serious mental illness are not any more dangerous than the general public.  In reality, coercion (force) is very </w:t>
      </w:r>
      <w:r w:rsidR="00652DDC" w:rsidRPr="008319BF">
        <w:rPr>
          <w:rFonts w:ascii="Times New Roman" w:eastAsia="Times New Roman" w:hAnsi="Times New Roman" w:cs="Times New Roman"/>
          <w:bCs/>
          <w:sz w:val="24"/>
          <w:szCs w:val="24"/>
        </w:rPr>
        <w:t>c</w:t>
      </w:r>
      <w:r w:rsidR="00814094" w:rsidRPr="008319BF">
        <w:rPr>
          <w:rFonts w:ascii="Times New Roman" w:eastAsia="Times New Roman" w:hAnsi="Times New Roman" w:cs="Times New Roman"/>
          <w:bCs/>
          <w:sz w:val="24"/>
          <w:szCs w:val="24"/>
        </w:rPr>
        <w:t>ounterproductive and quite understandably increases, rather than decreases violence.</w:t>
      </w:r>
    </w:p>
    <w:p w:rsidR="00E44055" w:rsidRPr="008319BF" w:rsidRDefault="00E44055" w:rsidP="00B023C2">
      <w:pPr>
        <w:spacing w:after="0" w:line="240" w:lineRule="auto"/>
        <w:rPr>
          <w:rFonts w:ascii="Times New Roman" w:eastAsia="Times New Roman" w:hAnsi="Times New Roman" w:cs="Times New Roman"/>
          <w:bCs/>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Wards of the court have </w:t>
      </w:r>
      <w:r w:rsidR="00E44055" w:rsidRPr="008319BF">
        <w:rPr>
          <w:rFonts w:ascii="Times New Roman" w:eastAsia="Arial Unicode MS" w:hAnsi="Times New Roman" w:cs="Times New Roman"/>
          <w:sz w:val="24"/>
          <w:szCs w:val="24"/>
        </w:rPr>
        <w:t xml:space="preserve">assigned </w:t>
      </w:r>
      <w:r w:rsidRPr="008319BF">
        <w:rPr>
          <w:rFonts w:ascii="Times New Roman" w:eastAsia="Arial Unicode MS" w:hAnsi="Times New Roman" w:cs="Times New Roman"/>
          <w:sz w:val="24"/>
          <w:szCs w:val="24"/>
        </w:rPr>
        <w:t xml:space="preserve">surrogate decision makers for both legal and medical decisions, </w:t>
      </w:r>
      <w:r w:rsidRPr="008319BF">
        <w:rPr>
          <w:rFonts w:ascii="Times New Roman" w:eastAsia="Arial Unicode MS" w:hAnsi="Times New Roman" w:cs="Times New Roman"/>
          <w:sz w:val="24"/>
          <w:szCs w:val="24"/>
          <w:vertAlign w:val="superscript"/>
        </w:rPr>
        <w:endnoteReference w:id="54"/>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55"/>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56"/>
      </w:r>
      <w:r w:rsidRPr="008319BF">
        <w:rPr>
          <w:rFonts w:ascii="Times New Roman" w:eastAsia="Arial Unicode MS" w:hAnsi="Times New Roman" w:cs="Times New Roman"/>
          <w:sz w:val="24"/>
          <w:szCs w:val="24"/>
        </w:rPr>
        <w:t xml:space="preserve"> thus wards are prevented even from effective appeal to the Judge or even to their US Congressmen/Congresswomen. </w:t>
      </w:r>
      <w:r w:rsidRPr="008319BF">
        <w:rPr>
          <w:rFonts w:ascii="Times New Roman" w:eastAsia="Arial Unicode MS" w:hAnsi="Times New Roman" w:cs="Times New Roman"/>
          <w:sz w:val="24"/>
          <w:szCs w:val="24"/>
          <w:vertAlign w:val="superscript"/>
        </w:rPr>
        <w:endnoteReference w:id="57"/>
      </w:r>
      <w:r w:rsidRPr="008319BF">
        <w:rPr>
          <w:rFonts w:ascii="Times New Roman" w:eastAsia="Arial Unicode MS" w:hAnsi="Times New Roman" w:cs="Times New Roman"/>
          <w:sz w:val="24"/>
          <w:szCs w:val="24"/>
        </w:rPr>
        <w:t xml:space="preserve">  In the U.S.A. the guardianship system offers few procedural protections, and has spawned a profit-driven professional guardianship industry that often enriches itself at the expense of society’s most vulnerable members—foster children, the disabled and elderly.</w:t>
      </w:r>
      <w:r w:rsidRPr="008319BF">
        <w:rPr>
          <w:rFonts w:ascii="Times New Roman" w:eastAsia="Arial Unicode MS" w:hAnsi="Times New Roman" w:cs="Times New Roman"/>
          <w:sz w:val="24"/>
          <w:szCs w:val="24"/>
          <w:vertAlign w:val="superscript"/>
        </w:rPr>
        <w:endnoteReference w:id="58"/>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59"/>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60"/>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61"/>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62"/>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63"/>
      </w:r>
      <w:r w:rsidRPr="008319BF">
        <w:rPr>
          <w:rFonts w:ascii="Times New Roman" w:eastAsia="Arial Unicode MS" w:hAnsi="Times New Roman" w:cs="Times New Roman"/>
          <w:sz w:val="24"/>
          <w:szCs w:val="24"/>
        </w:rPr>
        <w:t xml:space="preserve">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A majority of jurisdictions do not require personal visits to the incapacitated individual.  Financial resources are transferred to the guardians, thus leaving the individuals with diminished capacity, in complete dependency on the guardians’ decisions. </w:t>
      </w:r>
      <w:r w:rsidRPr="008319BF">
        <w:rPr>
          <w:rFonts w:ascii="Times New Roman" w:eastAsia="Arial Unicode MS" w:hAnsi="Times New Roman" w:cs="Times New Roman"/>
          <w:sz w:val="24"/>
          <w:szCs w:val="24"/>
          <w:vertAlign w:val="superscript"/>
        </w:rPr>
        <w:endnoteReference w:id="64"/>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65"/>
      </w:r>
      <w:r w:rsidRPr="008319BF">
        <w:rPr>
          <w:rFonts w:ascii="Times New Roman" w:eastAsia="Arial Unicode MS" w:hAnsi="Times New Roman" w:cs="Times New Roman"/>
          <w:sz w:val="24"/>
          <w:szCs w:val="24"/>
        </w:rPr>
        <w:t xml:space="preserve">  According to a study in the Los Angeles Times, more than half of all guardianship petitions filed by professional guardians in Southern California between 1997 and 2003 were granted by the courts on an emergency basis. </w:t>
      </w:r>
      <w:r w:rsidRPr="008319BF">
        <w:rPr>
          <w:rFonts w:ascii="Times New Roman" w:eastAsia="Arial Unicode MS" w:hAnsi="Times New Roman" w:cs="Times New Roman"/>
          <w:sz w:val="24"/>
          <w:szCs w:val="24"/>
          <w:vertAlign w:val="superscript"/>
        </w:rPr>
        <w:endnoteReference w:id="66"/>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67"/>
      </w:r>
      <w:r w:rsidRPr="008319BF">
        <w:rPr>
          <w:rFonts w:ascii="Times New Roman" w:eastAsia="Arial Unicode MS" w:hAnsi="Times New Roman" w:cs="Times New Roman"/>
          <w:sz w:val="24"/>
          <w:szCs w:val="24"/>
        </w:rPr>
        <w:t xml:space="preserve"> Of these emergency appointments, 56 percent were granted without notice to the proposed ward, 64 percent before an attorney was selected to represent the ward, and a stunning 92 percent before an otherwise mandatory court investigator’s report.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The courts are being swamped with new applications for guardianship– many of them under the guise of emergency guardianship, thus allowing medical proxy decision makers to make legal decisions about patients in many cases without notifying the patient or the patient's family. Emergency placements are prone to abuse by the professional guardianship industry and professional guardians making financial decisions for their own self-interest.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Professional guardians know how to manipulate the medical and court system to use procedural loopholes of the emergency guardianship procedure to gain legal and financial control over the ward’s rights and assets and total control over the ward’s medical care. </w:t>
      </w:r>
      <w:r w:rsidRPr="008319BF">
        <w:rPr>
          <w:rFonts w:ascii="Times New Roman" w:eastAsia="Arial Unicode MS" w:hAnsi="Times New Roman" w:cs="Times New Roman"/>
          <w:sz w:val="24"/>
          <w:szCs w:val="24"/>
          <w:vertAlign w:val="superscript"/>
        </w:rPr>
        <w:endnoteReference w:id="68"/>
      </w:r>
      <w:r w:rsidRPr="008319BF">
        <w:rPr>
          <w:rFonts w:ascii="Times New Roman" w:eastAsia="Arial Unicode MS" w:hAnsi="Times New Roman" w:cs="Times New Roman"/>
          <w:sz w:val="24"/>
          <w:szCs w:val="24"/>
        </w:rPr>
        <w:t xml:space="preserve"> For profit “professional” guardians are allowed to be compensated from their wards’ accounts for the services they provide, and many have seized the economic opportunity presented by the incapacity of others by making a business of acting as a guardian. They have cooperative business financial relationships with a variety of service providers such as doctors, hospitals, lawyers, courts and government agencies responsible for mental health care.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By the time the family realizes what is happening legally behind closed doors, the legal process is already completed and guardianship has been granted by the court. Without ever talking to the patient or the family, Judges are making life changing decisions about these proposed wards. Thus the ward, who has the most to lose in these proceedings has often little or no input, in addition family members may not even be appraised of the court proceedings until after emergency guardianship has been already established – thus depowering them to act as advocates for their family member.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lastRenderedPageBreak/>
        <w:t>A Los Angeles Times investigation similarly uncovered numerous instances of egregious abuse by guardians where evidence of abuse was already in the courts’ own files. Nearly 75 percent of America’s courts do not have a computerized data system to track guardianship cases and identify problems. Nearly 20 percent of courts do not require annual accounting of a ward’s finances.  Among courts that do collect such information, more than one third do not have an official who is designated to verify the content of the guardians’ reports, and less than 20 percent verify every report.  In more than 40 percent of courts, no one is assigned to visit individuals under guardianship to determine if they are being abused or financially exploited.</w:t>
      </w:r>
      <w:r w:rsidRPr="008319BF">
        <w:rPr>
          <w:rFonts w:ascii="Times New Roman" w:eastAsia="Arial Unicode MS" w:hAnsi="Times New Roman" w:cs="Times New Roman"/>
          <w:sz w:val="24"/>
          <w:szCs w:val="24"/>
          <w:vertAlign w:val="superscript"/>
        </w:rPr>
        <w:endnoteReference w:id="69"/>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Judges often out of expediency grant the guardian complete powers over a ward despite the principle of limited guardianship.  It is important that the guardian stands for the human rights of the ward not for compliance with the hospital or doctors' wishes.  But Judges routinely accept without question the written documents submitted by the medical proxy decision makers, without questioning their financial and sometimes pharmaceutical research related motives.  Judges should instead make sure that they do true substantial judicial due diligence and insist that wards are transported to the court or that in some manner direct face-to-face communication is established with the Judge.   Judges need to question whether a drug that is not approved by the FDA needs to be used on a ward of the court – especially in light of growing evidence of adverse effects, lack of evidence of efficacy and successful litigation against the drug manufacturer.  Forcing wards of the court to take medications that are “off-label” – not approved for that use by the FDA, is tantamount to human experimentation on the vulnerable wards of the court.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The ward has no legal ability to sue the pharmaceutical company for any harm he/she suffers even long-term disability, torture or even death result.  Given that these drugs are expensive, have potentially severe side effects, and have limited evidence supporting their effectiveness off-label, they should perhaps be used with greater caution.</w:t>
      </w:r>
      <w:r w:rsidRPr="008319BF">
        <w:rPr>
          <w:rFonts w:ascii="Times New Roman" w:eastAsia="Arial Unicode MS" w:hAnsi="Times New Roman" w:cs="Times New Roman"/>
          <w:sz w:val="24"/>
          <w:szCs w:val="24"/>
          <w:vertAlign w:val="superscript"/>
        </w:rPr>
        <w:endnoteReference w:id="70"/>
      </w:r>
    </w:p>
    <w:p w:rsidR="00577114" w:rsidRPr="008319BF" w:rsidRDefault="00577114" w:rsidP="00F43BCB">
      <w:pPr>
        <w:spacing w:after="0" w:line="240" w:lineRule="auto"/>
        <w:rPr>
          <w:rFonts w:ascii="Times New Roman" w:eastAsia="Arial Unicode MS" w:hAnsi="Times New Roman" w:cs="Times New Roman"/>
          <w:sz w:val="24"/>
          <w:szCs w:val="24"/>
        </w:rPr>
      </w:pPr>
    </w:p>
    <w:p w:rsidR="00577114" w:rsidRPr="0074449E" w:rsidRDefault="00577114" w:rsidP="0074449E">
      <w:pPr>
        <w:pStyle w:val="Heading2"/>
        <w:rPr>
          <w:rFonts w:eastAsia="Arial Unicode MS"/>
        </w:rPr>
      </w:pPr>
      <w:bookmarkStart w:id="75" w:name="_Toc414292327"/>
      <w:r w:rsidRPr="0074449E">
        <w:rPr>
          <w:rFonts w:eastAsia="Arial Unicode MS"/>
        </w:rPr>
        <w:t>PRISONERS</w:t>
      </w:r>
      <w:r w:rsidR="003E3FA9" w:rsidRPr="0074449E">
        <w:rPr>
          <w:rFonts w:eastAsia="Arial Unicode MS"/>
        </w:rPr>
        <w:t xml:space="preserve"> and Detainees</w:t>
      </w:r>
      <w:bookmarkEnd w:id="75"/>
    </w:p>
    <w:p w:rsidR="009044EF" w:rsidRPr="008319BF" w:rsidRDefault="00BC3C10" w:rsidP="00652DDC">
      <w:pPr>
        <w:spacing w:before="100" w:beforeAutospacing="1" w:after="100" w:afterAutospacing="1"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bCs/>
          <w:sz w:val="24"/>
          <w:szCs w:val="24"/>
        </w:rPr>
        <w:t xml:space="preserve">According to the 2004 federal Bureau of Justice Statistics (BJS) report, Mental Health Problems of Prison and Jail Inmates more than half of all prison and state inmates reported mental health problems.  In 2011, there were 1,382,418 inmates in state prisons with approximately 15% of them (207,000) seriously mentally ill. </w:t>
      </w:r>
      <w:r w:rsidRPr="008319BF">
        <w:rPr>
          <w:rStyle w:val="EndnoteReference"/>
          <w:rFonts w:ascii="Times New Roman" w:eastAsia="Times New Roman" w:hAnsi="Times New Roman" w:cs="Times New Roman"/>
          <w:bCs/>
          <w:sz w:val="24"/>
          <w:szCs w:val="24"/>
        </w:rPr>
        <w:endnoteReference w:id="71"/>
      </w:r>
      <w:r w:rsidRPr="008319BF">
        <w:rPr>
          <w:rFonts w:ascii="Times New Roman" w:eastAsia="Times New Roman" w:hAnsi="Times New Roman" w:cs="Times New Roman"/>
          <w:bCs/>
          <w:sz w:val="24"/>
          <w:szCs w:val="24"/>
        </w:rPr>
        <w:t xml:space="preserve">  The numbers of mentally</w:t>
      </w:r>
      <w:r w:rsidR="00BD7B6A" w:rsidRPr="008319BF">
        <w:rPr>
          <w:rFonts w:ascii="Times New Roman" w:eastAsia="Times New Roman" w:hAnsi="Times New Roman" w:cs="Times New Roman"/>
          <w:bCs/>
          <w:sz w:val="24"/>
          <w:szCs w:val="24"/>
        </w:rPr>
        <w:t xml:space="preserve"> ill</w:t>
      </w:r>
      <w:r w:rsidRPr="008319BF">
        <w:rPr>
          <w:rFonts w:ascii="Times New Roman" w:eastAsia="Times New Roman" w:hAnsi="Times New Roman" w:cs="Times New Roman"/>
          <w:bCs/>
          <w:sz w:val="24"/>
          <w:szCs w:val="24"/>
        </w:rPr>
        <w:t xml:space="preserve"> in the state prison population is five times greater (56%) than in the general adult population (11%). The number of individuals with serious mental illness in prisons and jails is now estimated to exceed the number in state psychiatric hospitals tenfold. </w:t>
      </w:r>
      <w:r w:rsidR="009044EF" w:rsidRPr="008319BF">
        <w:rPr>
          <w:rFonts w:ascii="Times New Roman" w:eastAsia="Times New Roman" w:hAnsi="Times New Roman" w:cs="Times New Roman"/>
          <w:sz w:val="24"/>
          <w:szCs w:val="24"/>
        </w:rPr>
        <w:t xml:space="preserve">The increase in the use of antipsychotics and antidepressants increased dramatically over the last 5 years with the largest cost going for off-label patented medications. </w:t>
      </w:r>
      <w:r w:rsidR="002C7F1D" w:rsidRPr="008319BF">
        <w:rPr>
          <w:rFonts w:ascii="Times New Roman" w:eastAsia="Times New Roman" w:hAnsi="Times New Roman" w:cs="Times New Roman"/>
          <w:sz w:val="24"/>
          <w:szCs w:val="24"/>
        </w:rPr>
        <w:t>P</w:t>
      </w:r>
      <w:r w:rsidRPr="008319BF">
        <w:rPr>
          <w:rFonts w:ascii="Times New Roman" w:eastAsia="Times New Roman" w:hAnsi="Times New Roman" w:cs="Times New Roman"/>
          <w:bCs/>
          <w:sz w:val="24"/>
          <w:szCs w:val="24"/>
        </w:rPr>
        <w:t xml:space="preserve">risons distribute psychotropic medications to their inmates at an estimated </w:t>
      </w:r>
      <w:r w:rsidRPr="008319BF">
        <w:rPr>
          <w:rFonts w:ascii="Times New Roman" w:eastAsia="Times New Roman" w:hAnsi="Times New Roman" w:cs="Times New Roman"/>
          <w:sz w:val="24"/>
          <w:szCs w:val="24"/>
        </w:rPr>
        <w:t>cost to taxpayers of about $9 billion annually.</w:t>
      </w:r>
      <w:r w:rsidR="00BD7B6A" w:rsidRPr="008319BF">
        <w:rPr>
          <w:rStyle w:val="EndnoteReference"/>
          <w:rFonts w:ascii="Times New Roman" w:eastAsia="Times New Roman" w:hAnsi="Times New Roman" w:cs="Times New Roman"/>
          <w:sz w:val="24"/>
          <w:szCs w:val="24"/>
        </w:rPr>
        <w:endnoteReference w:id="72"/>
      </w:r>
      <w:r w:rsidRPr="008319BF">
        <w:rPr>
          <w:rFonts w:ascii="Times New Roman" w:eastAsia="Times New Roman" w:hAnsi="Times New Roman" w:cs="Times New Roman"/>
          <w:sz w:val="24"/>
          <w:szCs w:val="24"/>
        </w:rPr>
        <w:t xml:space="preserve"> </w:t>
      </w:r>
    </w:p>
    <w:p w:rsidR="00134E50" w:rsidRPr="008319BF" w:rsidRDefault="00E44055" w:rsidP="00652DDC">
      <w:pPr>
        <w:spacing w:before="100" w:beforeAutospacing="1" w:after="100" w:afterAutospacing="1" w:line="240" w:lineRule="auto"/>
        <w:rPr>
          <w:rFonts w:ascii="Times New Roman" w:hAnsi="Times New Roman" w:cs="Times New Roman"/>
          <w:color w:val="000000"/>
          <w:sz w:val="24"/>
          <w:szCs w:val="24"/>
        </w:rPr>
      </w:pPr>
      <w:r w:rsidRPr="008319BF">
        <w:rPr>
          <w:rFonts w:ascii="Times New Roman" w:eastAsia="Times New Roman" w:hAnsi="Times New Roman" w:cs="Times New Roman"/>
          <w:bCs/>
          <w:sz w:val="24"/>
          <w:szCs w:val="24"/>
        </w:rPr>
        <w:t xml:space="preserve">In the U.S.A. </w:t>
      </w:r>
      <w:r w:rsidR="00814094" w:rsidRPr="008319BF">
        <w:rPr>
          <w:rFonts w:ascii="Times New Roman" w:eastAsia="Times New Roman" w:hAnsi="Times New Roman" w:cs="Times New Roman"/>
          <w:bCs/>
          <w:sz w:val="24"/>
          <w:szCs w:val="24"/>
        </w:rPr>
        <w:t>i</w:t>
      </w:r>
      <w:r w:rsidRPr="008319BF">
        <w:rPr>
          <w:rFonts w:ascii="Times New Roman" w:eastAsia="Times New Roman" w:hAnsi="Times New Roman" w:cs="Times New Roman"/>
          <w:bCs/>
          <w:sz w:val="24"/>
          <w:szCs w:val="24"/>
        </w:rPr>
        <w:t xml:space="preserve">t is the </w:t>
      </w:r>
      <w:r w:rsidR="00814094" w:rsidRPr="008319BF">
        <w:rPr>
          <w:rFonts w:ascii="Times New Roman" w:eastAsia="Times New Roman" w:hAnsi="Times New Roman" w:cs="Times New Roman"/>
          <w:bCs/>
          <w:sz w:val="24"/>
          <w:szCs w:val="24"/>
        </w:rPr>
        <w:t xml:space="preserve">belief </w:t>
      </w:r>
      <w:r w:rsidRPr="008319BF">
        <w:rPr>
          <w:rFonts w:ascii="Times New Roman" w:eastAsia="Times New Roman" w:hAnsi="Times New Roman" w:cs="Times New Roman"/>
          <w:bCs/>
          <w:sz w:val="24"/>
          <w:szCs w:val="24"/>
        </w:rPr>
        <w:t xml:space="preserve">of courts and correctional facilities that locking people up and drugging them against their will </w:t>
      </w:r>
      <w:r w:rsidR="00814094" w:rsidRPr="008319BF">
        <w:rPr>
          <w:rFonts w:ascii="Times New Roman" w:eastAsia="Times New Roman" w:hAnsi="Times New Roman" w:cs="Times New Roman"/>
          <w:bCs/>
          <w:sz w:val="24"/>
          <w:szCs w:val="24"/>
        </w:rPr>
        <w:t xml:space="preserve">decrease the violent tendencies of the prisoner.  However, since the advent of the massive use off-label use of neuroleptic medications on increasing numbers of </w:t>
      </w:r>
      <w:r w:rsidR="00814094" w:rsidRPr="008319BF">
        <w:rPr>
          <w:rFonts w:ascii="Times New Roman" w:eastAsia="Times New Roman" w:hAnsi="Times New Roman" w:cs="Times New Roman"/>
          <w:bCs/>
          <w:sz w:val="24"/>
          <w:szCs w:val="24"/>
        </w:rPr>
        <w:lastRenderedPageBreak/>
        <w:t xml:space="preserve">mentally ill in prisons and jails, we have seen the severity of inmates’ illnesses </w:t>
      </w:r>
      <w:r w:rsidR="00134E50" w:rsidRPr="008319BF">
        <w:rPr>
          <w:rFonts w:ascii="Times New Roman" w:eastAsia="Times New Roman" w:hAnsi="Times New Roman" w:cs="Times New Roman"/>
          <w:bCs/>
          <w:sz w:val="24"/>
          <w:szCs w:val="24"/>
        </w:rPr>
        <w:t>increase</w:t>
      </w:r>
      <w:r w:rsidR="00DE26C2" w:rsidRPr="008319BF">
        <w:rPr>
          <w:rFonts w:ascii="Times New Roman" w:eastAsia="Times New Roman" w:hAnsi="Times New Roman" w:cs="Times New Roman"/>
          <w:bCs/>
          <w:sz w:val="24"/>
          <w:szCs w:val="24"/>
        </w:rPr>
        <w:t>.</w:t>
      </w:r>
      <w:r w:rsidR="00134E50" w:rsidRPr="008319BF">
        <w:rPr>
          <w:rFonts w:ascii="Times New Roman" w:eastAsia="Times New Roman" w:hAnsi="Times New Roman" w:cs="Times New Roman"/>
          <w:bCs/>
          <w:sz w:val="24"/>
          <w:szCs w:val="24"/>
        </w:rPr>
        <w:t xml:space="preserve"> </w:t>
      </w:r>
      <w:r w:rsidR="00814094" w:rsidRPr="008319BF">
        <w:rPr>
          <w:rFonts w:ascii="Times New Roman" w:eastAsia="Times New Roman" w:hAnsi="Times New Roman" w:cs="Times New Roman"/>
          <w:bCs/>
          <w:sz w:val="24"/>
          <w:szCs w:val="24"/>
        </w:rPr>
        <w:t xml:space="preserve"> </w:t>
      </w:r>
      <w:r w:rsidR="00DE26C2" w:rsidRPr="008319BF">
        <w:rPr>
          <w:rFonts w:ascii="Times New Roman" w:eastAsia="Times New Roman" w:hAnsi="Times New Roman" w:cs="Times New Roman"/>
          <w:bCs/>
          <w:sz w:val="24"/>
          <w:szCs w:val="24"/>
        </w:rPr>
        <w:t xml:space="preserve">It is well-established by scientific evidence that psychiatric drugs increase, rather than decrease violence. </w:t>
      </w:r>
      <w:r w:rsidR="00DE26C2" w:rsidRPr="008319BF">
        <w:rPr>
          <w:rStyle w:val="EndnoteReference"/>
          <w:rFonts w:ascii="Times New Roman" w:eastAsia="Times New Roman" w:hAnsi="Times New Roman" w:cs="Times New Roman"/>
          <w:bCs/>
          <w:sz w:val="24"/>
          <w:szCs w:val="24"/>
        </w:rPr>
        <w:endnoteReference w:id="73"/>
      </w:r>
      <w:r w:rsidR="00DE26C2" w:rsidRPr="008319BF">
        <w:rPr>
          <w:rFonts w:ascii="Times New Roman" w:eastAsia="Times New Roman" w:hAnsi="Times New Roman" w:cs="Times New Roman"/>
          <w:bCs/>
          <w:sz w:val="24"/>
          <w:szCs w:val="24"/>
        </w:rPr>
        <w:t xml:space="preserve">  </w:t>
      </w:r>
      <w:r w:rsidR="00814094" w:rsidRPr="008319BF">
        <w:rPr>
          <w:rFonts w:ascii="Times New Roman" w:eastAsia="Times New Roman" w:hAnsi="Times New Roman" w:cs="Times New Roman"/>
          <w:bCs/>
          <w:sz w:val="24"/>
          <w:szCs w:val="24"/>
        </w:rPr>
        <w:t>These psychiatric drugs have a FDA black box warning label</w:t>
      </w:r>
      <w:r w:rsidR="00DE26C2" w:rsidRPr="008319BF">
        <w:rPr>
          <w:rFonts w:ascii="Times New Roman" w:eastAsia="Times New Roman" w:hAnsi="Times New Roman" w:cs="Times New Roman"/>
          <w:bCs/>
          <w:sz w:val="24"/>
          <w:szCs w:val="24"/>
        </w:rPr>
        <w:t>s that indicate</w:t>
      </w:r>
      <w:r w:rsidR="00814094" w:rsidRPr="008319BF">
        <w:rPr>
          <w:rFonts w:ascii="Times New Roman" w:eastAsia="Times New Roman" w:hAnsi="Times New Roman" w:cs="Times New Roman"/>
          <w:bCs/>
          <w:sz w:val="24"/>
          <w:szCs w:val="24"/>
        </w:rPr>
        <w:t xml:space="preserve"> that these drugs increase violent thought</w:t>
      </w:r>
      <w:r w:rsidR="00DE26C2" w:rsidRPr="008319BF">
        <w:rPr>
          <w:rFonts w:ascii="Times New Roman" w:eastAsia="Times New Roman" w:hAnsi="Times New Roman" w:cs="Times New Roman"/>
          <w:bCs/>
          <w:sz w:val="24"/>
          <w:szCs w:val="24"/>
        </w:rPr>
        <w:t>s</w:t>
      </w:r>
      <w:r w:rsidR="00814094" w:rsidRPr="008319BF">
        <w:rPr>
          <w:rFonts w:ascii="Times New Roman" w:eastAsia="Times New Roman" w:hAnsi="Times New Roman" w:cs="Times New Roman"/>
          <w:bCs/>
          <w:sz w:val="24"/>
          <w:szCs w:val="24"/>
        </w:rPr>
        <w:t xml:space="preserve"> and suicidal ideation.  </w:t>
      </w:r>
      <w:r w:rsidR="00370663" w:rsidRPr="008319BF">
        <w:rPr>
          <w:rFonts w:ascii="Times New Roman" w:eastAsia="Times New Roman" w:hAnsi="Times New Roman" w:cs="Times New Roman"/>
          <w:bCs/>
          <w:sz w:val="24"/>
          <w:szCs w:val="24"/>
        </w:rPr>
        <w:t>In addition, medications forced on prisoners have long term effects on the brain</w:t>
      </w:r>
      <w:r w:rsidR="00814094" w:rsidRPr="008319BF">
        <w:rPr>
          <w:rFonts w:ascii="Times New Roman" w:eastAsia="Times New Roman" w:hAnsi="Times New Roman" w:cs="Times New Roman"/>
          <w:bCs/>
          <w:sz w:val="24"/>
          <w:szCs w:val="24"/>
        </w:rPr>
        <w:t xml:space="preserve"> and can cause chronic mental health problems</w:t>
      </w:r>
      <w:r w:rsidR="00DE26C2" w:rsidRPr="008319BF">
        <w:rPr>
          <w:rFonts w:ascii="Times New Roman" w:eastAsia="Times New Roman" w:hAnsi="Times New Roman" w:cs="Times New Roman"/>
          <w:bCs/>
          <w:sz w:val="24"/>
          <w:szCs w:val="24"/>
        </w:rPr>
        <w:t>, thus leading to a revolving door of release</w:t>
      </w:r>
      <w:r w:rsidR="00134E50" w:rsidRPr="008319BF">
        <w:rPr>
          <w:rFonts w:ascii="Times New Roman" w:eastAsia="Times New Roman" w:hAnsi="Times New Roman" w:cs="Times New Roman"/>
          <w:bCs/>
          <w:sz w:val="24"/>
          <w:szCs w:val="24"/>
        </w:rPr>
        <w:t>, re-offending</w:t>
      </w:r>
      <w:r w:rsidR="00DE26C2" w:rsidRPr="008319BF">
        <w:rPr>
          <w:rFonts w:ascii="Times New Roman" w:eastAsia="Times New Roman" w:hAnsi="Times New Roman" w:cs="Times New Roman"/>
          <w:bCs/>
          <w:sz w:val="24"/>
          <w:szCs w:val="24"/>
        </w:rPr>
        <w:t xml:space="preserve"> and re-incarceration.</w:t>
      </w:r>
      <w:r w:rsidR="00370663" w:rsidRPr="008319BF">
        <w:rPr>
          <w:rFonts w:ascii="Times New Roman" w:eastAsia="Times New Roman" w:hAnsi="Times New Roman" w:cs="Times New Roman"/>
          <w:bCs/>
          <w:sz w:val="24"/>
          <w:szCs w:val="24"/>
        </w:rPr>
        <w:t xml:space="preserve"> </w:t>
      </w:r>
      <w:r w:rsidR="00DE26C2" w:rsidRPr="008319BF">
        <w:rPr>
          <w:rFonts w:ascii="Times New Roman" w:eastAsia="Times New Roman" w:hAnsi="Times New Roman" w:cs="Times New Roman"/>
          <w:bCs/>
          <w:sz w:val="24"/>
          <w:szCs w:val="24"/>
        </w:rPr>
        <w:t>When released, p</w:t>
      </w:r>
      <w:r w:rsidR="00370663" w:rsidRPr="008319BF">
        <w:rPr>
          <w:rFonts w:ascii="Times New Roman" w:eastAsia="Times New Roman" w:hAnsi="Times New Roman" w:cs="Times New Roman"/>
          <w:bCs/>
          <w:sz w:val="24"/>
          <w:szCs w:val="24"/>
        </w:rPr>
        <w:t xml:space="preserve">risoners may suddenly go off their medications and this sudden withdrawal from psychiatric medications may </w:t>
      </w:r>
      <w:r w:rsidR="00814094" w:rsidRPr="008319BF">
        <w:rPr>
          <w:rFonts w:ascii="Times New Roman" w:eastAsia="Times New Roman" w:hAnsi="Times New Roman" w:cs="Times New Roman"/>
          <w:bCs/>
          <w:sz w:val="24"/>
          <w:szCs w:val="24"/>
        </w:rPr>
        <w:t xml:space="preserve">also </w:t>
      </w:r>
      <w:r w:rsidR="00370663" w:rsidRPr="008319BF">
        <w:rPr>
          <w:rFonts w:ascii="Times New Roman" w:eastAsia="Times New Roman" w:hAnsi="Times New Roman" w:cs="Times New Roman"/>
          <w:bCs/>
          <w:sz w:val="24"/>
          <w:szCs w:val="24"/>
        </w:rPr>
        <w:t>cause them to be violent or suicidal.</w:t>
      </w:r>
      <w:r w:rsidR="00652DDC" w:rsidRPr="008319BF">
        <w:rPr>
          <w:rFonts w:ascii="Times New Roman" w:eastAsia="Times New Roman" w:hAnsi="Times New Roman" w:cs="Times New Roman"/>
          <w:bCs/>
          <w:sz w:val="24"/>
          <w:szCs w:val="24"/>
        </w:rPr>
        <w:t xml:space="preserve"> There are numerous court cases which address prisoner rights and forcible medication. </w:t>
      </w:r>
      <w:r w:rsidR="001C1B28" w:rsidRPr="008319BF">
        <w:rPr>
          <w:rStyle w:val="EndnoteReference"/>
          <w:rFonts w:ascii="Times New Roman" w:eastAsia="Times New Roman" w:hAnsi="Times New Roman" w:cs="Times New Roman"/>
          <w:bCs/>
          <w:sz w:val="24"/>
          <w:szCs w:val="24"/>
        </w:rPr>
        <w:endnoteReference w:id="74"/>
      </w:r>
      <w:r w:rsidRPr="008319BF">
        <w:rPr>
          <w:rFonts w:ascii="Times New Roman" w:eastAsia="Times New Roman" w:hAnsi="Times New Roman" w:cs="Times New Roman"/>
          <w:bCs/>
          <w:sz w:val="24"/>
          <w:szCs w:val="24"/>
        </w:rPr>
        <w:t xml:space="preserve">  </w:t>
      </w:r>
      <w:r w:rsidR="00652DDC" w:rsidRPr="008319BF">
        <w:rPr>
          <w:rStyle w:val="EndnoteReference"/>
          <w:rFonts w:ascii="Times New Roman" w:eastAsia="Times New Roman" w:hAnsi="Times New Roman" w:cs="Times New Roman"/>
          <w:sz w:val="24"/>
          <w:szCs w:val="24"/>
        </w:rPr>
        <w:endnoteReference w:id="75"/>
      </w:r>
      <w:r w:rsidR="00652DDC" w:rsidRPr="008319BF">
        <w:rPr>
          <w:rFonts w:ascii="Times New Roman" w:eastAsia="Times New Roman" w:hAnsi="Times New Roman" w:cs="Times New Roman"/>
          <w:sz w:val="24"/>
          <w:szCs w:val="24"/>
        </w:rPr>
        <w:t xml:space="preserve"> </w:t>
      </w:r>
    </w:p>
    <w:p w:rsidR="009044EF" w:rsidRPr="008319BF" w:rsidRDefault="00972B27" w:rsidP="00F4203A">
      <w:pPr>
        <w:spacing w:after="0" w:line="240" w:lineRule="auto"/>
        <w:rPr>
          <w:rFonts w:ascii="Times New Roman" w:eastAsia="Times New Roman" w:hAnsi="Times New Roman" w:cs="Times New Roman"/>
          <w:bCs/>
          <w:sz w:val="24"/>
          <w:szCs w:val="24"/>
        </w:rPr>
      </w:pPr>
      <w:r w:rsidRPr="008319BF">
        <w:rPr>
          <w:rFonts w:ascii="Times New Roman" w:eastAsia="Times New Roman" w:hAnsi="Times New Roman" w:cs="Times New Roman"/>
          <w:sz w:val="24"/>
          <w:szCs w:val="24"/>
        </w:rPr>
        <w:t xml:space="preserve">Once a person has been convicted of a crime and committed to a prison situation they have the least legal protection against forced drugging.  Prisoners have a liberty interest, protected by the Fourteenth Amendment, in not being treated against their will. The extent of this liberty interest was defined in </w:t>
      </w:r>
      <w:r w:rsidRPr="008319BF">
        <w:rPr>
          <w:rFonts w:ascii="Times New Roman" w:eastAsia="Times New Roman" w:hAnsi="Times New Roman" w:cs="Times New Roman"/>
          <w:i/>
          <w:sz w:val="24"/>
          <w:szCs w:val="24"/>
        </w:rPr>
        <w:t>Washington v. Harper</w:t>
      </w:r>
      <w:r w:rsidRPr="008319BF">
        <w:rPr>
          <w:rFonts w:ascii="Times New Roman" w:eastAsia="Times New Roman" w:hAnsi="Times New Roman" w:cs="Times New Roman"/>
          <w:sz w:val="24"/>
          <w:szCs w:val="24"/>
        </w:rPr>
        <w:t xml:space="preserve">. </w:t>
      </w:r>
      <w:r w:rsidRPr="008319BF">
        <w:rPr>
          <w:rStyle w:val="EndnoteReference"/>
          <w:rFonts w:ascii="Times New Roman" w:eastAsia="Times New Roman" w:hAnsi="Times New Roman" w:cs="Times New Roman"/>
          <w:sz w:val="24"/>
          <w:szCs w:val="24"/>
        </w:rPr>
        <w:endnoteReference w:id="76"/>
      </w:r>
      <w:r w:rsidR="00370663" w:rsidRPr="008319BF">
        <w:rPr>
          <w:rFonts w:ascii="Times New Roman" w:eastAsia="Times New Roman" w:hAnsi="Times New Roman" w:cs="Times New Roman"/>
          <w:sz w:val="24"/>
          <w:szCs w:val="24"/>
        </w:rPr>
        <w:t xml:space="preserve">  </w:t>
      </w:r>
      <w:r w:rsidR="00134E50" w:rsidRPr="008319BF">
        <w:rPr>
          <w:rFonts w:ascii="Times New Roman" w:eastAsia="Times New Roman" w:hAnsi="Times New Roman" w:cs="Times New Roman"/>
          <w:sz w:val="24"/>
          <w:szCs w:val="24"/>
        </w:rPr>
        <w:t xml:space="preserve">The court has routinely granted decision making power to </w:t>
      </w:r>
      <w:r w:rsidR="00370663" w:rsidRPr="008319BF">
        <w:rPr>
          <w:rFonts w:ascii="Times New Roman" w:eastAsia="Times New Roman" w:hAnsi="Times New Roman" w:cs="Times New Roman"/>
          <w:bCs/>
          <w:sz w:val="24"/>
          <w:szCs w:val="24"/>
        </w:rPr>
        <w:t xml:space="preserve">the prison psychiatrist, </w:t>
      </w:r>
      <w:r w:rsidR="00B228E7" w:rsidRPr="008319BF">
        <w:rPr>
          <w:rFonts w:ascii="Times New Roman" w:eastAsia="Times New Roman" w:hAnsi="Times New Roman" w:cs="Times New Roman"/>
          <w:bCs/>
          <w:sz w:val="24"/>
          <w:szCs w:val="24"/>
        </w:rPr>
        <w:t xml:space="preserve">who </w:t>
      </w:r>
      <w:r w:rsidR="00370663" w:rsidRPr="008319BF">
        <w:rPr>
          <w:rFonts w:ascii="Times New Roman" w:eastAsia="Times New Roman" w:hAnsi="Times New Roman" w:cs="Times New Roman"/>
          <w:bCs/>
          <w:sz w:val="24"/>
          <w:szCs w:val="24"/>
        </w:rPr>
        <w:t>was to ensure that the prisoner was mentally ill and dangerous and th</w:t>
      </w:r>
      <w:r w:rsidR="00B228E7" w:rsidRPr="008319BF">
        <w:rPr>
          <w:rFonts w:ascii="Times New Roman" w:eastAsia="Times New Roman" w:hAnsi="Times New Roman" w:cs="Times New Roman"/>
          <w:bCs/>
          <w:sz w:val="24"/>
          <w:szCs w:val="24"/>
        </w:rPr>
        <w:t xml:space="preserve">e use of </w:t>
      </w:r>
      <w:r w:rsidR="00370663" w:rsidRPr="008319BF">
        <w:rPr>
          <w:rFonts w:ascii="Times New Roman" w:eastAsia="Times New Roman" w:hAnsi="Times New Roman" w:cs="Times New Roman"/>
          <w:bCs/>
          <w:sz w:val="24"/>
          <w:szCs w:val="24"/>
        </w:rPr>
        <w:t>medication was appropriate</w:t>
      </w:r>
      <w:r w:rsidR="00134E50" w:rsidRPr="008319BF">
        <w:rPr>
          <w:rFonts w:ascii="Times New Roman" w:eastAsia="Times New Roman" w:hAnsi="Times New Roman" w:cs="Times New Roman"/>
          <w:bCs/>
          <w:sz w:val="24"/>
          <w:szCs w:val="24"/>
        </w:rPr>
        <w:t>.</w:t>
      </w:r>
      <w:r w:rsidR="00370663" w:rsidRPr="008319BF">
        <w:rPr>
          <w:rFonts w:ascii="Times New Roman" w:eastAsia="Times New Roman" w:hAnsi="Times New Roman" w:cs="Times New Roman"/>
          <w:bCs/>
          <w:sz w:val="24"/>
          <w:szCs w:val="24"/>
        </w:rPr>
        <w:t xml:space="preserve"> </w:t>
      </w:r>
      <w:r w:rsidR="00B228E7" w:rsidRPr="008319BF">
        <w:rPr>
          <w:rFonts w:ascii="Times New Roman" w:eastAsia="Times New Roman" w:hAnsi="Times New Roman" w:cs="Times New Roman"/>
          <w:bCs/>
          <w:sz w:val="24"/>
          <w:szCs w:val="24"/>
        </w:rPr>
        <w:t xml:space="preserve">The court assumes </w:t>
      </w:r>
      <w:r w:rsidR="00134E50" w:rsidRPr="008319BF">
        <w:rPr>
          <w:rFonts w:ascii="Times New Roman" w:eastAsia="Times New Roman" w:hAnsi="Times New Roman" w:cs="Times New Roman"/>
          <w:bCs/>
          <w:sz w:val="24"/>
          <w:szCs w:val="24"/>
        </w:rPr>
        <w:t xml:space="preserve">that the prison psychiatrist has integrity as a medical professional and is serving the best interests of the prisoner and the needs of prison safety and security. </w:t>
      </w:r>
      <w:r w:rsidR="00370663" w:rsidRPr="008319BF">
        <w:rPr>
          <w:rFonts w:ascii="Times New Roman" w:eastAsia="Times New Roman" w:hAnsi="Times New Roman" w:cs="Times New Roman"/>
          <w:bCs/>
          <w:sz w:val="24"/>
          <w:szCs w:val="24"/>
        </w:rPr>
        <w:t xml:space="preserve">Prisoners may not refuse testing or treatment for a condition that would threaten the health and safety of the prison community, including communicable diseases and treatable psychiatric conditions. Prisoners may also be forced to accept treatment that is necessary to protect their health from permanent injury. </w:t>
      </w:r>
      <w:r w:rsidR="00B228E7" w:rsidRPr="008319BF">
        <w:rPr>
          <w:rFonts w:ascii="Times New Roman" w:eastAsia="Times New Roman" w:hAnsi="Times New Roman" w:cs="Times New Roman"/>
          <w:bCs/>
          <w:sz w:val="24"/>
          <w:szCs w:val="24"/>
        </w:rPr>
        <w:t xml:space="preserve"> </w:t>
      </w:r>
      <w:r w:rsidR="00370663" w:rsidRPr="008319BF">
        <w:rPr>
          <w:rFonts w:ascii="Times New Roman" w:eastAsia="Times New Roman" w:hAnsi="Times New Roman" w:cs="Times New Roman"/>
          <w:bCs/>
          <w:sz w:val="24"/>
          <w:szCs w:val="24"/>
        </w:rPr>
        <w:t xml:space="preserve">Prisoners with religious objections to medical treatment may be treated against these objections if the treatment is necessary to preserve prison discipline.  </w:t>
      </w:r>
    </w:p>
    <w:p w:rsidR="009044EF" w:rsidRPr="008319BF" w:rsidRDefault="009044EF" w:rsidP="00F4203A">
      <w:pPr>
        <w:spacing w:after="0" w:line="240" w:lineRule="auto"/>
        <w:rPr>
          <w:rFonts w:ascii="Times New Roman" w:eastAsia="Times New Roman" w:hAnsi="Times New Roman" w:cs="Times New Roman"/>
          <w:bCs/>
          <w:sz w:val="24"/>
          <w:szCs w:val="24"/>
        </w:rPr>
      </w:pPr>
    </w:p>
    <w:p w:rsidR="0073766D" w:rsidRPr="008319BF" w:rsidRDefault="00972B27" w:rsidP="009044EF">
      <w:pPr>
        <w:spacing w:after="0" w:line="240" w:lineRule="auto"/>
        <w:rPr>
          <w:rFonts w:ascii="Times New Roman" w:eastAsia="Times New Roman" w:hAnsi="Times New Roman" w:cs="Times New Roman"/>
          <w:bCs/>
          <w:sz w:val="24"/>
          <w:szCs w:val="24"/>
        </w:rPr>
      </w:pPr>
      <w:r w:rsidRPr="008319BF">
        <w:rPr>
          <w:rFonts w:ascii="Times New Roman" w:eastAsia="Times New Roman" w:hAnsi="Times New Roman" w:cs="Times New Roman"/>
          <w:bCs/>
          <w:sz w:val="24"/>
          <w:szCs w:val="24"/>
        </w:rPr>
        <w:t>In addition, t</w:t>
      </w:r>
      <w:r w:rsidR="00F4203A" w:rsidRPr="008319BF">
        <w:rPr>
          <w:rFonts w:ascii="Times New Roman" w:eastAsia="Times New Roman" w:hAnsi="Times New Roman" w:cs="Times New Roman"/>
          <w:bCs/>
          <w:sz w:val="24"/>
          <w:szCs w:val="24"/>
        </w:rPr>
        <w:t>he reasoning that finds someone incompetent to decline medication or electroshock is often flawed – if the person agrees to take medication he</w:t>
      </w:r>
      <w:r w:rsidR="0073766D" w:rsidRPr="008319BF">
        <w:rPr>
          <w:rFonts w:ascii="Times New Roman" w:eastAsia="Times New Roman" w:hAnsi="Times New Roman" w:cs="Times New Roman"/>
          <w:bCs/>
          <w:sz w:val="24"/>
          <w:szCs w:val="24"/>
        </w:rPr>
        <w:t>/she</w:t>
      </w:r>
      <w:r w:rsidR="00F4203A" w:rsidRPr="008319BF">
        <w:rPr>
          <w:rFonts w:ascii="Times New Roman" w:eastAsia="Times New Roman" w:hAnsi="Times New Roman" w:cs="Times New Roman"/>
          <w:bCs/>
          <w:sz w:val="24"/>
          <w:szCs w:val="24"/>
        </w:rPr>
        <w:t xml:space="preserve"> is deemed competent but if alternatively he</w:t>
      </w:r>
      <w:r w:rsidR="0073766D" w:rsidRPr="008319BF">
        <w:rPr>
          <w:rFonts w:ascii="Times New Roman" w:eastAsia="Times New Roman" w:hAnsi="Times New Roman" w:cs="Times New Roman"/>
          <w:bCs/>
          <w:sz w:val="24"/>
          <w:szCs w:val="24"/>
        </w:rPr>
        <w:t>/she</w:t>
      </w:r>
      <w:r w:rsidR="00F4203A" w:rsidRPr="008319BF">
        <w:rPr>
          <w:rFonts w:ascii="Times New Roman" w:eastAsia="Times New Roman" w:hAnsi="Times New Roman" w:cs="Times New Roman"/>
          <w:bCs/>
          <w:sz w:val="24"/>
          <w:szCs w:val="24"/>
        </w:rPr>
        <w:t xml:space="preserve"> declines medication the person is incompetent. </w:t>
      </w:r>
      <w:r w:rsidR="00134E50" w:rsidRPr="008319BF">
        <w:rPr>
          <w:rFonts w:ascii="Times New Roman" w:eastAsia="Times New Roman" w:hAnsi="Times New Roman" w:cs="Times New Roman"/>
          <w:bCs/>
          <w:sz w:val="24"/>
          <w:szCs w:val="24"/>
        </w:rPr>
        <w:t xml:space="preserve">Force </w:t>
      </w:r>
      <w:r w:rsidR="009A3DA9" w:rsidRPr="008319BF">
        <w:rPr>
          <w:rFonts w:ascii="Times New Roman" w:eastAsia="Times New Roman" w:hAnsi="Times New Roman" w:cs="Times New Roman"/>
          <w:bCs/>
          <w:sz w:val="24"/>
          <w:szCs w:val="24"/>
        </w:rPr>
        <w:t>drugging on prisoners is</w:t>
      </w:r>
      <w:r w:rsidR="00134E50" w:rsidRPr="008319BF">
        <w:rPr>
          <w:rFonts w:ascii="Times New Roman" w:eastAsia="Times New Roman" w:hAnsi="Times New Roman" w:cs="Times New Roman"/>
          <w:bCs/>
          <w:sz w:val="24"/>
          <w:szCs w:val="24"/>
        </w:rPr>
        <w:t xml:space="preserve"> also used</w:t>
      </w:r>
      <w:r w:rsidR="009A3DA9" w:rsidRPr="008319BF">
        <w:rPr>
          <w:rFonts w:ascii="Times New Roman" w:eastAsia="Times New Roman" w:hAnsi="Times New Roman" w:cs="Times New Roman"/>
          <w:bCs/>
          <w:sz w:val="24"/>
          <w:szCs w:val="24"/>
        </w:rPr>
        <w:t xml:space="preserve"> to restore a prisoner to competency so that he can be competent to stand trial</w:t>
      </w:r>
      <w:r w:rsidR="00370663" w:rsidRPr="008319BF">
        <w:rPr>
          <w:rFonts w:ascii="Times New Roman" w:eastAsia="Times New Roman" w:hAnsi="Times New Roman" w:cs="Times New Roman"/>
          <w:bCs/>
          <w:sz w:val="24"/>
          <w:szCs w:val="24"/>
        </w:rPr>
        <w:t xml:space="preserve">. </w:t>
      </w:r>
      <w:r w:rsidR="009A3DA9" w:rsidRPr="008319BF">
        <w:rPr>
          <w:rFonts w:ascii="Times New Roman" w:eastAsia="Times New Roman" w:hAnsi="Times New Roman" w:cs="Times New Roman"/>
          <w:bCs/>
          <w:sz w:val="24"/>
          <w:szCs w:val="24"/>
        </w:rPr>
        <w:t xml:space="preserve">This is because a defendant must be able to understand the nature of the charges and be able to assist his or her lawyer. </w:t>
      </w:r>
      <w:r w:rsidRPr="008319BF">
        <w:rPr>
          <w:rFonts w:ascii="Times New Roman" w:eastAsia="Times New Roman" w:hAnsi="Times New Roman" w:cs="Times New Roman"/>
          <w:bCs/>
          <w:sz w:val="24"/>
          <w:szCs w:val="24"/>
        </w:rPr>
        <w:t xml:space="preserve"> So the argument to be </w:t>
      </w:r>
      <w:r w:rsidR="009A3DA9" w:rsidRPr="008319BF">
        <w:rPr>
          <w:rFonts w:ascii="Times New Roman" w:eastAsia="Times New Roman" w:hAnsi="Times New Roman" w:cs="Times New Roman"/>
          <w:bCs/>
          <w:sz w:val="24"/>
          <w:szCs w:val="24"/>
        </w:rPr>
        <w:t xml:space="preserve">able to put someone on trial for murder is </w:t>
      </w:r>
      <w:r w:rsidR="00134E50" w:rsidRPr="008319BF">
        <w:rPr>
          <w:rFonts w:ascii="Times New Roman" w:eastAsia="Times New Roman" w:hAnsi="Times New Roman" w:cs="Times New Roman"/>
          <w:bCs/>
          <w:sz w:val="24"/>
          <w:szCs w:val="24"/>
        </w:rPr>
        <w:t xml:space="preserve">considered to be </w:t>
      </w:r>
      <w:r w:rsidR="009A3DA9" w:rsidRPr="008319BF">
        <w:rPr>
          <w:rFonts w:ascii="Times New Roman" w:eastAsia="Times New Roman" w:hAnsi="Times New Roman" w:cs="Times New Roman"/>
          <w:bCs/>
          <w:sz w:val="24"/>
          <w:szCs w:val="24"/>
        </w:rPr>
        <w:t>an important enough governmental interest</w:t>
      </w:r>
      <w:r w:rsidR="0073766D" w:rsidRPr="008319BF">
        <w:rPr>
          <w:rFonts w:ascii="Times New Roman" w:eastAsia="Times New Roman" w:hAnsi="Times New Roman" w:cs="Times New Roman"/>
          <w:bCs/>
          <w:sz w:val="24"/>
          <w:szCs w:val="24"/>
        </w:rPr>
        <w:t>.</w:t>
      </w:r>
      <w:r w:rsidR="009044EF" w:rsidRPr="008319BF">
        <w:rPr>
          <w:rStyle w:val="EndnoteReference"/>
          <w:rFonts w:ascii="Times New Roman" w:eastAsia="Times New Roman" w:hAnsi="Times New Roman" w:cs="Times New Roman"/>
          <w:bCs/>
          <w:sz w:val="24"/>
          <w:szCs w:val="24"/>
        </w:rPr>
        <w:t xml:space="preserve"> </w:t>
      </w:r>
      <w:r w:rsidR="009044EF" w:rsidRPr="008319BF">
        <w:rPr>
          <w:rStyle w:val="EndnoteReference"/>
          <w:rFonts w:ascii="Times New Roman" w:eastAsia="Times New Roman" w:hAnsi="Times New Roman" w:cs="Times New Roman"/>
          <w:bCs/>
          <w:sz w:val="24"/>
          <w:szCs w:val="24"/>
        </w:rPr>
        <w:endnoteReference w:id="77"/>
      </w:r>
      <w:r w:rsidR="0073766D" w:rsidRPr="008319BF">
        <w:rPr>
          <w:rFonts w:ascii="Times New Roman" w:eastAsia="Times New Roman" w:hAnsi="Times New Roman" w:cs="Times New Roman"/>
          <w:bCs/>
          <w:sz w:val="24"/>
          <w:szCs w:val="24"/>
        </w:rPr>
        <w:t xml:space="preserve"> </w:t>
      </w:r>
      <w:r w:rsidR="009A3DA9" w:rsidRPr="008319BF">
        <w:rPr>
          <w:rFonts w:ascii="Times New Roman" w:eastAsia="Times New Roman" w:hAnsi="Times New Roman" w:cs="Times New Roman"/>
          <w:bCs/>
          <w:sz w:val="24"/>
          <w:szCs w:val="24"/>
        </w:rPr>
        <w:t xml:space="preserve"> </w:t>
      </w:r>
    </w:p>
    <w:p w:rsidR="009044EF" w:rsidRPr="008319BF" w:rsidRDefault="009044EF" w:rsidP="009044EF">
      <w:pPr>
        <w:spacing w:after="0" w:line="240" w:lineRule="auto"/>
        <w:rPr>
          <w:rFonts w:ascii="Times New Roman" w:eastAsia="Times New Roman" w:hAnsi="Times New Roman" w:cs="Times New Roman"/>
          <w:sz w:val="24"/>
          <w:szCs w:val="24"/>
        </w:rPr>
      </w:pPr>
    </w:p>
    <w:p w:rsidR="00DE58A5" w:rsidRDefault="001C1B28" w:rsidP="00F4203A">
      <w:pPr>
        <w:spacing w:after="0" w:line="240" w:lineRule="auto"/>
        <w:rPr>
          <w:rFonts w:ascii="Times New Roman" w:eastAsia="Times New Roman" w:hAnsi="Times New Roman" w:cs="Times New Roman"/>
          <w:bCs/>
          <w:sz w:val="24"/>
          <w:szCs w:val="24"/>
        </w:rPr>
      </w:pPr>
      <w:r w:rsidRPr="008319BF">
        <w:rPr>
          <w:rFonts w:ascii="Times New Roman" w:eastAsia="Times New Roman" w:hAnsi="Times New Roman" w:cs="Times New Roman"/>
          <w:bCs/>
          <w:sz w:val="24"/>
          <w:szCs w:val="24"/>
        </w:rPr>
        <w:t>Some p</w:t>
      </w:r>
      <w:r w:rsidR="00134E50" w:rsidRPr="008319BF">
        <w:rPr>
          <w:rFonts w:ascii="Times New Roman" w:eastAsia="Times New Roman" w:hAnsi="Times New Roman" w:cs="Times New Roman"/>
          <w:bCs/>
          <w:sz w:val="24"/>
          <w:szCs w:val="24"/>
        </w:rPr>
        <w:t xml:space="preserve">risoners </w:t>
      </w:r>
      <w:r w:rsidRPr="008319BF">
        <w:rPr>
          <w:rFonts w:ascii="Times New Roman" w:eastAsia="Times New Roman" w:hAnsi="Times New Roman" w:cs="Times New Roman"/>
          <w:bCs/>
          <w:sz w:val="24"/>
          <w:szCs w:val="24"/>
        </w:rPr>
        <w:t xml:space="preserve">do decide voluntarily to take </w:t>
      </w:r>
      <w:r w:rsidR="00934F1F" w:rsidRPr="008319BF">
        <w:rPr>
          <w:rFonts w:ascii="Times New Roman" w:eastAsia="Times New Roman" w:hAnsi="Times New Roman" w:cs="Times New Roman"/>
          <w:bCs/>
          <w:sz w:val="24"/>
          <w:szCs w:val="24"/>
        </w:rPr>
        <w:t xml:space="preserve">off-label </w:t>
      </w:r>
      <w:r w:rsidR="00134E50" w:rsidRPr="008319BF">
        <w:rPr>
          <w:rFonts w:ascii="Times New Roman" w:eastAsia="Times New Roman" w:hAnsi="Times New Roman" w:cs="Times New Roman"/>
          <w:bCs/>
          <w:sz w:val="24"/>
          <w:szCs w:val="24"/>
        </w:rPr>
        <w:t xml:space="preserve">psychiatric </w:t>
      </w:r>
      <w:r w:rsidRPr="008319BF">
        <w:rPr>
          <w:rFonts w:ascii="Times New Roman" w:eastAsia="Times New Roman" w:hAnsi="Times New Roman" w:cs="Times New Roman"/>
          <w:bCs/>
          <w:sz w:val="24"/>
          <w:szCs w:val="24"/>
        </w:rPr>
        <w:t>medication</w:t>
      </w:r>
      <w:r w:rsidR="00934F1F" w:rsidRPr="008319BF">
        <w:rPr>
          <w:rFonts w:ascii="Times New Roman" w:eastAsia="Times New Roman" w:hAnsi="Times New Roman" w:cs="Times New Roman"/>
          <w:bCs/>
          <w:sz w:val="24"/>
          <w:szCs w:val="24"/>
        </w:rPr>
        <w:t>s</w:t>
      </w:r>
      <w:r w:rsidR="003722FF" w:rsidRPr="008319BF">
        <w:rPr>
          <w:rFonts w:ascii="Times New Roman" w:eastAsia="Times New Roman" w:hAnsi="Times New Roman" w:cs="Times New Roman"/>
          <w:bCs/>
          <w:sz w:val="24"/>
          <w:szCs w:val="24"/>
        </w:rPr>
        <w:t>,</w:t>
      </w:r>
      <w:r w:rsidRPr="008319BF">
        <w:rPr>
          <w:rFonts w:ascii="Times New Roman" w:eastAsia="Times New Roman" w:hAnsi="Times New Roman" w:cs="Times New Roman"/>
          <w:bCs/>
          <w:sz w:val="24"/>
          <w:szCs w:val="24"/>
        </w:rPr>
        <w:t xml:space="preserve"> even knowing their lack of effectiveness and potential for harm.  However, it is questionable whether a court can legitimately find by clear and convincing evidence that forcing someone to take </w:t>
      </w:r>
      <w:r w:rsidR="00134E50" w:rsidRPr="008319BF">
        <w:rPr>
          <w:rFonts w:ascii="Times New Roman" w:eastAsia="Times New Roman" w:hAnsi="Times New Roman" w:cs="Times New Roman"/>
          <w:bCs/>
          <w:sz w:val="24"/>
          <w:szCs w:val="24"/>
        </w:rPr>
        <w:t xml:space="preserve">off-label psychiatric medications labeled with the FDA black box </w:t>
      </w:r>
      <w:r w:rsidR="003722FF" w:rsidRPr="008319BF">
        <w:rPr>
          <w:rFonts w:ascii="Times New Roman" w:eastAsia="Times New Roman" w:hAnsi="Times New Roman" w:cs="Times New Roman"/>
          <w:bCs/>
          <w:sz w:val="24"/>
          <w:szCs w:val="24"/>
        </w:rPr>
        <w:t>warning,</w:t>
      </w:r>
      <w:r w:rsidR="00134E50" w:rsidRPr="008319BF">
        <w:rPr>
          <w:rFonts w:ascii="Times New Roman" w:eastAsia="Times New Roman" w:hAnsi="Times New Roman" w:cs="Times New Roman"/>
          <w:bCs/>
          <w:sz w:val="24"/>
          <w:szCs w:val="24"/>
        </w:rPr>
        <w:t xml:space="preserve"> i</w:t>
      </w:r>
      <w:r w:rsidRPr="008319BF">
        <w:rPr>
          <w:rFonts w:ascii="Times New Roman" w:eastAsia="Times New Roman" w:hAnsi="Times New Roman" w:cs="Times New Roman"/>
          <w:bCs/>
          <w:sz w:val="24"/>
          <w:szCs w:val="24"/>
        </w:rPr>
        <w:t xml:space="preserve">s </w:t>
      </w:r>
      <w:r w:rsidR="00134E50" w:rsidRPr="008319BF">
        <w:rPr>
          <w:rFonts w:ascii="Times New Roman" w:eastAsia="Times New Roman" w:hAnsi="Times New Roman" w:cs="Times New Roman"/>
          <w:bCs/>
          <w:sz w:val="24"/>
          <w:szCs w:val="24"/>
        </w:rPr>
        <w:t xml:space="preserve">actually in the patients </w:t>
      </w:r>
      <w:r w:rsidRPr="008319BF">
        <w:rPr>
          <w:rFonts w:ascii="Times New Roman" w:eastAsia="Times New Roman" w:hAnsi="Times New Roman" w:cs="Times New Roman"/>
          <w:bCs/>
          <w:sz w:val="24"/>
          <w:szCs w:val="24"/>
        </w:rPr>
        <w:t>best interest, especially under the preponderance of evidence standard.</w:t>
      </w:r>
      <w:r w:rsidR="006E00D8" w:rsidRPr="008319BF">
        <w:rPr>
          <w:rFonts w:ascii="Times New Roman" w:eastAsia="Times New Roman" w:hAnsi="Times New Roman" w:cs="Times New Roman"/>
          <w:bCs/>
          <w:sz w:val="24"/>
          <w:szCs w:val="24"/>
        </w:rPr>
        <w:t xml:space="preserve">  Yet in spite of that legal reasoning, prisoners are routinely forced to take off-label psychiatric drugs without their informed consent.</w:t>
      </w:r>
    </w:p>
    <w:p w:rsidR="001A4FEE" w:rsidRDefault="001A4FEE" w:rsidP="00F4203A">
      <w:pPr>
        <w:spacing w:after="0" w:line="240" w:lineRule="auto"/>
        <w:rPr>
          <w:rFonts w:ascii="Times New Roman" w:eastAsia="Times New Roman" w:hAnsi="Times New Roman" w:cs="Times New Roman"/>
          <w:bCs/>
          <w:sz w:val="24"/>
          <w:szCs w:val="24"/>
        </w:rPr>
      </w:pPr>
    </w:p>
    <w:p w:rsidR="007910BB" w:rsidRDefault="007910BB" w:rsidP="007910BB">
      <w:pPr>
        <w:pStyle w:val="NormalWeb"/>
        <w:spacing w:before="0" w:beforeAutospacing="0" w:after="0" w:afterAutospacing="0" w:line="240" w:lineRule="auto"/>
        <w:rPr>
          <w:rFonts w:ascii="Times New Roman" w:hAnsi="Times New Roman"/>
          <w:bCs/>
          <w:sz w:val="24"/>
          <w:szCs w:val="24"/>
        </w:rPr>
      </w:pPr>
      <w:r>
        <w:rPr>
          <w:rFonts w:ascii="Times New Roman" w:hAnsi="Times New Roman"/>
          <w:bCs/>
          <w:sz w:val="24"/>
          <w:szCs w:val="24"/>
        </w:rPr>
        <w:t xml:space="preserve">Immigration and Customs Enforcement (ICE) officials </w:t>
      </w:r>
      <w:r>
        <w:rPr>
          <w:rFonts w:ascii="Times New Roman" w:hAnsi="Times New Roman"/>
          <w:bCs/>
          <w:sz w:val="24"/>
          <w:szCs w:val="24"/>
        </w:rPr>
        <w:t xml:space="preserve">claim </w:t>
      </w:r>
      <w:r>
        <w:rPr>
          <w:rFonts w:ascii="Times New Roman" w:hAnsi="Times New Roman"/>
          <w:bCs/>
          <w:sz w:val="24"/>
          <w:szCs w:val="24"/>
        </w:rPr>
        <w:t xml:space="preserve">that </w:t>
      </w:r>
      <w:r w:rsidRPr="00806FFA">
        <w:rPr>
          <w:rFonts w:ascii="Times New Roman" w:hAnsi="Times New Roman"/>
          <w:bCs/>
          <w:sz w:val="24"/>
          <w:szCs w:val="24"/>
        </w:rPr>
        <w:t>Department of Homeland Security law enforcement personnel may not and do not prescribe or administer medication to detainees</w:t>
      </w:r>
      <w:r>
        <w:rPr>
          <w:rFonts w:ascii="Times New Roman" w:hAnsi="Times New Roman"/>
          <w:bCs/>
          <w:sz w:val="24"/>
          <w:szCs w:val="24"/>
        </w:rPr>
        <w:t>.</w:t>
      </w:r>
      <w:r w:rsidRPr="00806FFA">
        <w:rPr>
          <w:rFonts w:ascii="Times New Roman" w:hAnsi="Times New Roman"/>
          <w:bCs/>
          <w:sz w:val="24"/>
          <w:szCs w:val="24"/>
        </w:rPr>
        <w:t xml:space="preserve"> ICE</w:t>
      </w:r>
      <w:r>
        <w:rPr>
          <w:rFonts w:ascii="Times New Roman" w:hAnsi="Times New Roman"/>
          <w:bCs/>
          <w:sz w:val="24"/>
          <w:szCs w:val="24"/>
        </w:rPr>
        <w:t xml:space="preserve"> states that </w:t>
      </w:r>
      <w:r w:rsidRPr="00806FFA">
        <w:rPr>
          <w:rFonts w:ascii="Times New Roman" w:hAnsi="Times New Roman"/>
          <w:bCs/>
          <w:sz w:val="24"/>
          <w:szCs w:val="24"/>
        </w:rPr>
        <w:t>"Only trained and qualified medical professionals, including officers of the U.S. Public Health Service, may prescribe or administer medication."</w:t>
      </w:r>
      <w:r>
        <w:rPr>
          <w:rFonts w:ascii="Times New Roman" w:hAnsi="Times New Roman"/>
          <w:bCs/>
          <w:sz w:val="24"/>
          <w:szCs w:val="24"/>
        </w:rPr>
        <w:t xml:space="preserve">  Officials say d</w:t>
      </w:r>
      <w:r w:rsidRPr="00806FFA">
        <w:rPr>
          <w:rFonts w:ascii="Times New Roman" w:hAnsi="Times New Roman"/>
          <w:bCs/>
          <w:sz w:val="24"/>
          <w:szCs w:val="24"/>
        </w:rPr>
        <w:t>octors say they are required to see patients in person before such drugs are administered.</w:t>
      </w:r>
      <w:r>
        <w:rPr>
          <w:rFonts w:ascii="Times New Roman" w:hAnsi="Times New Roman"/>
          <w:bCs/>
          <w:sz w:val="24"/>
          <w:szCs w:val="24"/>
        </w:rPr>
        <w:t xml:space="preserve"> </w:t>
      </w:r>
    </w:p>
    <w:p w:rsidR="001A4FEE" w:rsidRDefault="007910BB" w:rsidP="006B2EFA">
      <w:pPr>
        <w:pStyle w:val="NormalWeb"/>
        <w:spacing w:before="0" w:beforeAutospacing="0" w:after="0" w:afterAutospacing="0" w:line="240" w:lineRule="auto"/>
        <w:rPr>
          <w:rFonts w:ascii="Times New Roman" w:hAnsi="Times New Roman"/>
          <w:bCs/>
          <w:sz w:val="24"/>
          <w:szCs w:val="24"/>
        </w:rPr>
      </w:pPr>
      <w:r>
        <w:rPr>
          <w:rFonts w:ascii="Times New Roman" w:hAnsi="Times New Roman"/>
          <w:sz w:val="24"/>
          <w:szCs w:val="24"/>
        </w:rPr>
        <w:lastRenderedPageBreak/>
        <w:t>But t</w:t>
      </w:r>
      <w:r w:rsidR="00C411DA">
        <w:rPr>
          <w:rFonts w:ascii="Times New Roman" w:hAnsi="Times New Roman"/>
          <w:sz w:val="24"/>
          <w:szCs w:val="24"/>
        </w:rPr>
        <w:t>here is a pattern of the use of powerful mind altering drugs on person</w:t>
      </w:r>
      <w:r w:rsidR="00806FFA">
        <w:rPr>
          <w:rFonts w:ascii="Times New Roman" w:hAnsi="Times New Roman"/>
          <w:sz w:val="24"/>
          <w:szCs w:val="24"/>
        </w:rPr>
        <w:t>s</w:t>
      </w:r>
      <w:r w:rsidR="00C411DA">
        <w:rPr>
          <w:rFonts w:ascii="Times New Roman" w:hAnsi="Times New Roman"/>
          <w:sz w:val="24"/>
          <w:szCs w:val="24"/>
        </w:rPr>
        <w:t xml:space="preserve"> in immigration detention. </w:t>
      </w:r>
      <w:r w:rsidR="00BB394B">
        <w:rPr>
          <w:rFonts w:ascii="Times New Roman" w:hAnsi="Times New Roman"/>
          <w:bCs/>
          <w:sz w:val="24"/>
          <w:szCs w:val="24"/>
        </w:rPr>
        <w:t xml:space="preserve">There are no records </w:t>
      </w:r>
      <w:r>
        <w:rPr>
          <w:rFonts w:ascii="Times New Roman" w:hAnsi="Times New Roman"/>
          <w:bCs/>
          <w:sz w:val="24"/>
          <w:szCs w:val="24"/>
        </w:rPr>
        <w:t xml:space="preserve">maintained by ICE relating to </w:t>
      </w:r>
      <w:r w:rsidR="00BB394B">
        <w:rPr>
          <w:rFonts w:ascii="Times New Roman" w:hAnsi="Times New Roman"/>
          <w:bCs/>
          <w:sz w:val="24"/>
          <w:szCs w:val="24"/>
        </w:rPr>
        <w:t>whether the psychiatric drugs used are FDA approved for that use</w:t>
      </w:r>
      <w:r w:rsidR="00A11117">
        <w:rPr>
          <w:rFonts w:ascii="Times New Roman" w:hAnsi="Times New Roman"/>
          <w:bCs/>
          <w:sz w:val="24"/>
          <w:szCs w:val="24"/>
        </w:rPr>
        <w:t>.  M</w:t>
      </w:r>
      <w:r w:rsidR="00BB394B">
        <w:rPr>
          <w:rFonts w:ascii="Times New Roman" w:hAnsi="Times New Roman"/>
          <w:bCs/>
          <w:sz w:val="24"/>
          <w:szCs w:val="24"/>
        </w:rPr>
        <w:t>any of the newer patented injectable drugs are used off-label without FDA approval</w:t>
      </w:r>
      <w:r>
        <w:rPr>
          <w:rFonts w:ascii="Times New Roman" w:hAnsi="Times New Roman"/>
          <w:bCs/>
          <w:sz w:val="24"/>
          <w:szCs w:val="24"/>
        </w:rPr>
        <w:t xml:space="preserve"> in the U.S.A</w:t>
      </w:r>
      <w:r w:rsidR="00BB394B">
        <w:rPr>
          <w:rFonts w:ascii="Times New Roman" w:hAnsi="Times New Roman"/>
          <w:bCs/>
          <w:sz w:val="24"/>
          <w:szCs w:val="24"/>
        </w:rPr>
        <w:t xml:space="preserve">. </w:t>
      </w:r>
      <w:r>
        <w:rPr>
          <w:rFonts w:ascii="Times New Roman" w:hAnsi="Times New Roman"/>
          <w:bCs/>
          <w:sz w:val="24"/>
          <w:szCs w:val="24"/>
        </w:rPr>
        <w:t xml:space="preserve"> </w:t>
      </w:r>
      <w:r w:rsidR="006B2EFA" w:rsidRPr="00806FFA">
        <w:rPr>
          <w:rFonts w:ascii="Times New Roman" w:hAnsi="Times New Roman"/>
          <w:sz w:val="24"/>
          <w:szCs w:val="24"/>
        </w:rPr>
        <w:t>Federal officials have seldom acknowledged publicly that they sedate people for deportation</w:t>
      </w:r>
      <w:r w:rsidR="006B2EFA">
        <w:rPr>
          <w:rFonts w:ascii="Times New Roman" w:hAnsi="Times New Roman"/>
          <w:sz w:val="24"/>
          <w:szCs w:val="24"/>
        </w:rPr>
        <w:t>.  Official statements indicate that such drugging is rare and an act of last resort and used for sedation only if the person has</w:t>
      </w:r>
      <w:r w:rsidR="006B2EFA" w:rsidRPr="00806FFA">
        <w:rPr>
          <w:rFonts w:ascii="Times New Roman" w:hAnsi="Times New Roman"/>
          <w:sz w:val="24"/>
          <w:szCs w:val="24"/>
        </w:rPr>
        <w:t xml:space="preserve"> a mental illness requiring the drugs, or if </w:t>
      </w:r>
      <w:r w:rsidR="006B2EFA">
        <w:rPr>
          <w:rFonts w:ascii="Times New Roman" w:hAnsi="Times New Roman"/>
          <w:sz w:val="24"/>
          <w:szCs w:val="24"/>
        </w:rPr>
        <w:t xml:space="preserve">he/she is </w:t>
      </w:r>
      <w:r w:rsidR="006B2EFA" w:rsidRPr="00806FFA">
        <w:rPr>
          <w:rFonts w:ascii="Times New Roman" w:hAnsi="Times New Roman"/>
          <w:sz w:val="24"/>
          <w:szCs w:val="24"/>
        </w:rPr>
        <w:t>so aggressive that they imperil themselves or people around them.</w:t>
      </w:r>
      <w:r w:rsidR="006B2EFA">
        <w:rPr>
          <w:rFonts w:ascii="Times New Roman" w:hAnsi="Times New Roman"/>
          <w:sz w:val="24"/>
          <w:szCs w:val="24"/>
        </w:rPr>
        <w:t xml:space="preserve"> </w:t>
      </w:r>
      <w:r>
        <w:rPr>
          <w:rFonts w:ascii="Times New Roman" w:hAnsi="Times New Roman"/>
          <w:sz w:val="24"/>
          <w:szCs w:val="24"/>
        </w:rPr>
        <w:t>But first person reports and other documents show that t</w:t>
      </w:r>
      <w:r w:rsidR="00806FFA" w:rsidRPr="00806FFA">
        <w:rPr>
          <w:rFonts w:ascii="Times New Roman" w:hAnsi="Times New Roman"/>
          <w:sz w:val="24"/>
          <w:szCs w:val="24"/>
        </w:rPr>
        <w:t>he U.S. government</w:t>
      </w:r>
      <w:r w:rsidR="006B2EFA">
        <w:rPr>
          <w:rFonts w:ascii="Times New Roman" w:hAnsi="Times New Roman"/>
          <w:sz w:val="24"/>
          <w:szCs w:val="24"/>
        </w:rPr>
        <w:t xml:space="preserve"> during deportation</w:t>
      </w:r>
      <w:r w:rsidR="00806FFA" w:rsidRPr="00806FFA">
        <w:rPr>
          <w:rFonts w:ascii="Times New Roman" w:hAnsi="Times New Roman"/>
          <w:sz w:val="24"/>
          <w:szCs w:val="24"/>
        </w:rPr>
        <w:t xml:space="preserve"> has injected hundreds of foreigners with dangerous psychotropic drugs against their </w:t>
      </w:r>
      <w:r w:rsidR="00BB394B">
        <w:rPr>
          <w:rFonts w:ascii="Times New Roman" w:hAnsi="Times New Roman"/>
          <w:sz w:val="24"/>
          <w:szCs w:val="24"/>
        </w:rPr>
        <w:t>will</w:t>
      </w:r>
      <w:r>
        <w:rPr>
          <w:rFonts w:ascii="Times New Roman" w:hAnsi="Times New Roman"/>
          <w:sz w:val="24"/>
          <w:szCs w:val="24"/>
        </w:rPr>
        <w:t xml:space="preserve">.  Sometimes this force drugging </w:t>
      </w:r>
      <w:r>
        <w:rPr>
          <w:rFonts w:ascii="Times New Roman" w:hAnsi="Times New Roman"/>
          <w:sz w:val="24"/>
          <w:szCs w:val="24"/>
        </w:rPr>
        <w:t xml:space="preserve">with a </w:t>
      </w:r>
      <w:r>
        <w:rPr>
          <w:rFonts w:ascii="Times New Roman" w:hAnsi="Times New Roman"/>
          <w:sz w:val="24"/>
          <w:szCs w:val="24"/>
        </w:rPr>
        <w:t>"pre-flight cocktail</w:t>
      </w:r>
      <w:r w:rsidRPr="00806FFA">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was</w:t>
      </w:r>
      <w:r w:rsidR="00BB394B">
        <w:rPr>
          <w:rFonts w:ascii="Times New Roman" w:hAnsi="Times New Roman"/>
          <w:sz w:val="24"/>
          <w:szCs w:val="24"/>
        </w:rPr>
        <w:t xml:space="preserve"> to keep them sedated </w:t>
      </w:r>
      <w:r w:rsidR="00806FFA" w:rsidRPr="00806FFA">
        <w:rPr>
          <w:rFonts w:ascii="Times New Roman" w:hAnsi="Times New Roman"/>
          <w:sz w:val="24"/>
          <w:szCs w:val="24"/>
        </w:rPr>
        <w:t xml:space="preserve">during the trip back to their </w:t>
      </w:r>
      <w:r w:rsidR="00806FFA">
        <w:rPr>
          <w:rFonts w:ascii="Times New Roman" w:hAnsi="Times New Roman"/>
          <w:sz w:val="24"/>
          <w:szCs w:val="24"/>
        </w:rPr>
        <w:t>home country.</w:t>
      </w:r>
      <w:r w:rsidR="00806FFA" w:rsidRPr="00806FFA">
        <w:rPr>
          <w:rFonts w:ascii="Times New Roman" w:hAnsi="Times New Roman"/>
          <w:sz w:val="24"/>
          <w:szCs w:val="24"/>
        </w:rPr>
        <w:t xml:space="preserve"> </w:t>
      </w:r>
      <w:r w:rsidR="00A11117">
        <w:rPr>
          <w:rFonts w:ascii="Times New Roman" w:hAnsi="Times New Roman"/>
          <w:sz w:val="24"/>
          <w:szCs w:val="24"/>
        </w:rPr>
        <w:t xml:space="preserve">The use of forced </w:t>
      </w:r>
      <w:r w:rsidR="00A11117" w:rsidRPr="00806FFA">
        <w:rPr>
          <w:rFonts w:ascii="Times New Roman" w:hAnsi="Times New Roman"/>
          <w:sz w:val="24"/>
          <w:szCs w:val="24"/>
        </w:rPr>
        <w:t>antipsychotic drugs</w:t>
      </w:r>
      <w:r w:rsidR="00A11117">
        <w:rPr>
          <w:rFonts w:ascii="Times New Roman" w:hAnsi="Times New Roman"/>
          <w:sz w:val="24"/>
          <w:szCs w:val="24"/>
        </w:rPr>
        <w:t xml:space="preserve"> has been documented on </w:t>
      </w:r>
      <w:r w:rsidR="00A11117" w:rsidRPr="00806FFA">
        <w:rPr>
          <w:rFonts w:ascii="Times New Roman" w:hAnsi="Times New Roman"/>
          <w:sz w:val="24"/>
          <w:szCs w:val="24"/>
        </w:rPr>
        <w:t>people who have no history of m</w:t>
      </w:r>
      <w:r w:rsidR="00A11117">
        <w:rPr>
          <w:rFonts w:ascii="Times New Roman" w:hAnsi="Times New Roman"/>
          <w:sz w:val="24"/>
          <w:szCs w:val="24"/>
        </w:rPr>
        <w:t>ental illness.</w:t>
      </w:r>
      <w:r w:rsidR="00A11117">
        <w:rPr>
          <w:rStyle w:val="EndnoteReference"/>
          <w:rFonts w:ascii="Times New Roman" w:hAnsi="Times New Roman"/>
          <w:sz w:val="24"/>
          <w:szCs w:val="24"/>
        </w:rPr>
        <w:endnoteReference w:id="78"/>
      </w:r>
      <w:r w:rsidR="00A11117">
        <w:rPr>
          <w:rFonts w:ascii="Times New Roman" w:hAnsi="Times New Roman"/>
          <w:sz w:val="24"/>
          <w:szCs w:val="24"/>
        </w:rPr>
        <w:t xml:space="preserve"> </w:t>
      </w:r>
      <w:r w:rsidR="00806FFA">
        <w:rPr>
          <w:rFonts w:ascii="Times New Roman" w:hAnsi="Times New Roman"/>
          <w:sz w:val="24"/>
          <w:szCs w:val="24"/>
        </w:rPr>
        <w:t xml:space="preserve"> </w:t>
      </w:r>
      <w:r w:rsidR="00806FFA" w:rsidRPr="00806FFA">
        <w:rPr>
          <w:rFonts w:ascii="Times New Roman" w:hAnsi="Times New Roman"/>
          <w:sz w:val="24"/>
          <w:szCs w:val="24"/>
        </w:rPr>
        <w:t xml:space="preserve">Involuntary </w:t>
      </w:r>
      <w:r>
        <w:rPr>
          <w:rFonts w:ascii="Times New Roman" w:hAnsi="Times New Roman"/>
          <w:sz w:val="24"/>
          <w:szCs w:val="24"/>
        </w:rPr>
        <w:t>chemical restraint of detainees</w:t>
      </w:r>
      <w:r w:rsidR="00806FFA" w:rsidRPr="00806FFA">
        <w:rPr>
          <w:rFonts w:ascii="Times New Roman" w:hAnsi="Times New Roman"/>
          <w:sz w:val="24"/>
          <w:szCs w:val="24"/>
        </w:rPr>
        <w:t xml:space="preserve"> </w:t>
      </w:r>
      <w:r w:rsidR="00806FFA">
        <w:rPr>
          <w:rFonts w:ascii="Times New Roman" w:hAnsi="Times New Roman"/>
          <w:sz w:val="24"/>
          <w:szCs w:val="24"/>
        </w:rPr>
        <w:t xml:space="preserve">is </w:t>
      </w:r>
      <w:r>
        <w:rPr>
          <w:rFonts w:ascii="Times New Roman" w:hAnsi="Times New Roman"/>
          <w:sz w:val="24"/>
          <w:szCs w:val="24"/>
        </w:rPr>
        <w:t xml:space="preserve">only </w:t>
      </w:r>
      <w:r w:rsidR="00806FFA">
        <w:rPr>
          <w:rFonts w:ascii="Times New Roman" w:hAnsi="Times New Roman"/>
          <w:sz w:val="24"/>
          <w:szCs w:val="24"/>
        </w:rPr>
        <w:t xml:space="preserve">supposed to be used if there </w:t>
      </w:r>
      <w:r w:rsidR="00806FFA" w:rsidRPr="00806FFA">
        <w:rPr>
          <w:rFonts w:ascii="Times New Roman" w:hAnsi="Times New Roman"/>
          <w:sz w:val="24"/>
          <w:szCs w:val="24"/>
        </w:rPr>
        <w:t>is a medical justification</w:t>
      </w:r>
      <w:r w:rsidR="00806FFA">
        <w:rPr>
          <w:rFonts w:ascii="Times New Roman" w:hAnsi="Times New Roman"/>
          <w:sz w:val="24"/>
          <w:szCs w:val="24"/>
        </w:rPr>
        <w:t xml:space="preserve">. </w:t>
      </w:r>
      <w:r w:rsidR="006B2EFA">
        <w:rPr>
          <w:rFonts w:ascii="Times New Roman" w:hAnsi="Times New Roman"/>
          <w:sz w:val="24"/>
          <w:szCs w:val="24"/>
        </w:rPr>
        <w:t xml:space="preserve"> </w:t>
      </w:r>
      <w:r w:rsidR="00806FFA">
        <w:rPr>
          <w:rFonts w:ascii="Times New Roman" w:hAnsi="Times New Roman"/>
          <w:sz w:val="24"/>
          <w:szCs w:val="24"/>
        </w:rPr>
        <w:t xml:space="preserve">However, multiple cases have shown that this practice is continuing and is not rare. </w:t>
      </w:r>
      <w:r w:rsidR="00806FFA" w:rsidRPr="00806FFA">
        <w:rPr>
          <w:rFonts w:ascii="Times New Roman" w:hAnsi="Times New Roman"/>
          <w:bCs/>
          <w:sz w:val="24"/>
          <w:szCs w:val="24"/>
        </w:rPr>
        <w:t xml:space="preserve">In 2007 Sen. Joe Lieberman, </w:t>
      </w:r>
      <w:r w:rsidR="006B2EFA">
        <w:rPr>
          <w:rFonts w:ascii="Times New Roman" w:hAnsi="Times New Roman"/>
          <w:bCs/>
          <w:sz w:val="24"/>
          <w:szCs w:val="24"/>
        </w:rPr>
        <w:t xml:space="preserve">from </w:t>
      </w:r>
      <w:r w:rsidR="00806FFA" w:rsidRPr="00806FFA">
        <w:rPr>
          <w:rFonts w:ascii="Times New Roman" w:hAnsi="Times New Roman"/>
          <w:bCs/>
          <w:sz w:val="24"/>
          <w:szCs w:val="24"/>
        </w:rPr>
        <w:t>Connecticut brought up the concern of psychiatric drugs used on deportees in violation of Immigration and Customs Enforcement’s own rules.</w:t>
      </w:r>
      <w:r w:rsidR="006225F6">
        <w:rPr>
          <w:rStyle w:val="EndnoteReference"/>
          <w:rFonts w:ascii="Times New Roman" w:hAnsi="Times New Roman"/>
          <w:bCs/>
          <w:sz w:val="24"/>
          <w:szCs w:val="24"/>
        </w:rPr>
        <w:endnoteReference w:id="79"/>
      </w:r>
      <w:r w:rsidR="00806FFA" w:rsidRPr="00806FFA">
        <w:rPr>
          <w:rFonts w:ascii="Times New Roman" w:hAnsi="Times New Roman"/>
          <w:bCs/>
          <w:sz w:val="24"/>
          <w:szCs w:val="24"/>
        </w:rPr>
        <w:t xml:space="preserve">  </w:t>
      </w:r>
      <w:r>
        <w:rPr>
          <w:rFonts w:ascii="Times New Roman" w:hAnsi="Times New Roman"/>
          <w:bCs/>
          <w:sz w:val="24"/>
          <w:szCs w:val="24"/>
        </w:rPr>
        <w:t xml:space="preserve">He voiced his </w:t>
      </w:r>
      <w:r w:rsidR="00806FFA" w:rsidRPr="00806FFA">
        <w:rPr>
          <w:rFonts w:ascii="Times New Roman" w:hAnsi="Times New Roman"/>
          <w:bCs/>
          <w:sz w:val="24"/>
          <w:szCs w:val="24"/>
        </w:rPr>
        <w:t xml:space="preserve">concerns during the re-nomination hearing of </w:t>
      </w:r>
      <w:r>
        <w:rPr>
          <w:rFonts w:ascii="Times New Roman" w:hAnsi="Times New Roman"/>
          <w:bCs/>
          <w:sz w:val="24"/>
          <w:szCs w:val="24"/>
        </w:rPr>
        <w:t xml:space="preserve">Immigration and Customs Enforcement </w:t>
      </w:r>
      <w:r>
        <w:rPr>
          <w:rFonts w:ascii="Times New Roman" w:hAnsi="Times New Roman"/>
          <w:bCs/>
          <w:sz w:val="24"/>
          <w:szCs w:val="24"/>
        </w:rPr>
        <w:t>(</w:t>
      </w:r>
      <w:r w:rsidR="00806FFA" w:rsidRPr="00806FFA">
        <w:rPr>
          <w:rFonts w:ascii="Times New Roman" w:hAnsi="Times New Roman"/>
          <w:bCs/>
          <w:sz w:val="24"/>
          <w:szCs w:val="24"/>
        </w:rPr>
        <w:t>ICE</w:t>
      </w:r>
      <w:r>
        <w:rPr>
          <w:rFonts w:ascii="Times New Roman" w:hAnsi="Times New Roman"/>
          <w:bCs/>
          <w:sz w:val="24"/>
          <w:szCs w:val="24"/>
        </w:rPr>
        <w:t>)</w:t>
      </w:r>
      <w:r w:rsidR="00806FFA" w:rsidRPr="00806FFA">
        <w:rPr>
          <w:rFonts w:ascii="Times New Roman" w:hAnsi="Times New Roman"/>
          <w:bCs/>
          <w:sz w:val="24"/>
          <w:szCs w:val="24"/>
        </w:rPr>
        <w:t xml:space="preserve"> chief Julie Myers. </w:t>
      </w:r>
      <w:r w:rsidR="00BB394B">
        <w:rPr>
          <w:rFonts w:ascii="Times New Roman" w:hAnsi="Times New Roman"/>
          <w:bCs/>
          <w:sz w:val="24"/>
          <w:szCs w:val="24"/>
        </w:rPr>
        <w:t xml:space="preserve"> </w:t>
      </w:r>
      <w:r w:rsidR="00806FFA" w:rsidRPr="00806FFA">
        <w:rPr>
          <w:rFonts w:ascii="Times New Roman" w:hAnsi="Times New Roman"/>
          <w:bCs/>
          <w:sz w:val="24"/>
          <w:szCs w:val="24"/>
        </w:rPr>
        <w:t>Myers admitted</w:t>
      </w:r>
      <w:r w:rsidR="00BB394B">
        <w:rPr>
          <w:rFonts w:ascii="Times New Roman" w:hAnsi="Times New Roman"/>
          <w:bCs/>
          <w:sz w:val="24"/>
          <w:szCs w:val="24"/>
        </w:rPr>
        <w:t xml:space="preserve"> to the US Congress</w:t>
      </w:r>
      <w:r w:rsidR="00806FFA" w:rsidRPr="00806FFA">
        <w:rPr>
          <w:rFonts w:ascii="Times New Roman" w:hAnsi="Times New Roman"/>
          <w:bCs/>
          <w:sz w:val="24"/>
          <w:szCs w:val="24"/>
        </w:rPr>
        <w:t xml:space="preserve"> that 56 immigration detainees received psychotropic medications during the removal process. </w:t>
      </w:r>
      <w:r w:rsidR="00BB394B">
        <w:rPr>
          <w:rFonts w:ascii="Times New Roman" w:hAnsi="Times New Roman"/>
          <w:bCs/>
          <w:sz w:val="24"/>
          <w:szCs w:val="24"/>
        </w:rPr>
        <w:t xml:space="preserve"> </w:t>
      </w:r>
      <w:r w:rsidR="00806FFA" w:rsidRPr="00806FFA">
        <w:rPr>
          <w:rFonts w:ascii="Times New Roman" w:hAnsi="Times New Roman"/>
          <w:bCs/>
          <w:sz w:val="24"/>
          <w:szCs w:val="24"/>
        </w:rPr>
        <w:t xml:space="preserve">One of the drugs in question </w:t>
      </w:r>
      <w:r>
        <w:rPr>
          <w:rFonts w:ascii="Times New Roman" w:hAnsi="Times New Roman"/>
          <w:bCs/>
          <w:sz w:val="24"/>
          <w:szCs w:val="24"/>
        </w:rPr>
        <w:t xml:space="preserve">was </w:t>
      </w:r>
      <w:r w:rsidR="00806FFA" w:rsidRPr="00806FFA">
        <w:rPr>
          <w:rFonts w:ascii="Times New Roman" w:hAnsi="Times New Roman"/>
          <w:bCs/>
          <w:sz w:val="24"/>
          <w:szCs w:val="24"/>
        </w:rPr>
        <w:t xml:space="preserve">the potent anti-psychotic drug Haldol, which is often used to treat schizophrenia or other mental illnesses. </w:t>
      </w:r>
      <w:r>
        <w:rPr>
          <w:rFonts w:ascii="Times New Roman" w:hAnsi="Times New Roman"/>
          <w:bCs/>
          <w:sz w:val="24"/>
          <w:szCs w:val="24"/>
        </w:rPr>
        <w:t xml:space="preserve">It is an extremely potent and powerful chemical restraint </w:t>
      </w:r>
      <w:r w:rsidR="00A11117">
        <w:rPr>
          <w:rFonts w:ascii="Times New Roman" w:hAnsi="Times New Roman"/>
          <w:bCs/>
          <w:sz w:val="24"/>
          <w:szCs w:val="24"/>
        </w:rPr>
        <w:t xml:space="preserve">agent </w:t>
      </w:r>
      <w:r>
        <w:rPr>
          <w:rFonts w:ascii="Times New Roman" w:hAnsi="Times New Roman"/>
          <w:bCs/>
          <w:sz w:val="24"/>
          <w:szCs w:val="24"/>
        </w:rPr>
        <w:t>capable of totally incapacitating an adult person.</w:t>
      </w:r>
      <w:r w:rsidR="006B2EFA">
        <w:rPr>
          <w:rFonts w:ascii="Times New Roman" w:hAnsi="Times New Roman"/>
          <w:bCs/>
          <w:sz w:val="24"/>
          <w:szCs w:val="24"/>
        </w:rPr>
        <w:t xml:space="preserve"> </w:t>
      </w:r>
      <w:r>
        <w:rPr>
          <w:rFonts w:ascii="Times New Roman" w:hAnsi="Times New Roman"/>
          <w:bCs/>
          <w:sz w:val="24"/>
          <w:szCs w:val="24"/>
        </w:rPr>
        <w:t xml:space="preserve"> </w:t>
      </w:r>
    </w:p>
    <w:p w:rsidR="00DE58A5" w:rsidRPr="008319BF" w:rsidRDefault="00DE58A5" w:rsidP="00DE58A5">
      <w:pPr>
        <w:rPr>
          <w:rFonts w:ascii="Times New Roman" w:hAnsi="Times New Roman" w:cs="Times New Roman"/>
          <w:sz w:val="24"/>
          <w:szCs w:val="24"/>
        </w:rPr>
      </w:pPr>
    </w:p>
    <w:p w:rsidR="00F43BCB" w:rsidRPr="008319BF" w:rsidRDefault="00F43BCB" w:rsidP="0074449E">
      <w:pPr>
        <w:pStyle w:val="Heading2"/>
      </w:pPr>
      <w:bookmarkStart w:id="76" w:name="_Human_Rights_of_1"/>
      <w:bookmarkStart w:id="77" w:name="_Toc414015950"/>
      <w:bookmarkStart w:id="78" w:name="_Toc414292328"/>
      <w:bookmarkEnd w:id="76"/>
      <w:r w:rsidRPr="008319BF">
        <w:t>Children</w:t>
      </w:r>
      <w:bookmarkEnd w:id="77"/>
      <w:r w:rsidR="00DE26C2" w:rsidRPr="008319BF">
        <w:t xml:space="preserve"> and Youth</w:t>
      </w:r>
      <w:bookmarkEnd w:id="78"/>
    </w:p>
    <w:p w:rsidR="000336CD" w:rsidRDefault="000336CD"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Persons with mental health challenges still retain their human rights to informed choice in care, participation in family life and deserve respect for their human dignity. Children have fundamental human rights, even if they do have a mental disability.  Parents have a fundamental right to decide what medical treatment is appropriate for their own children. Coerced mental health screening programs have no place in a free society, neither does coerced medication. Under universal screening programs, many children receive stigmatizing diagnoses that handicap them for the rest of their lives. The Medication Algorithms proposed by the pharmaceutical industry have resulted in many thousands of children being medicated by expensive, ineffective, and often dangerous drugs. </w:t>
      </w:r>
      <w:r w:rsidRPr="008319BF">
        <w:rPr>
          <w:rFonts w:ascii="Times New Roman" w:eastAsia="Times New Roman" w:hAnsi="Times New Roman" w:cs="Times New Roman"/>
          <w:sz w:val="24"/>
          <w:szCs w:val="24"/>
          <w:vertAlign w:val="superscript"/>
        </w:rPr>
        <w:endnoteReference w:id="80"/>
      </w:r>
      <w:r w:rsidRPr="008319BF">
        <w:rPr>
          <w:rFonts w:ascii="Times New Roman" w:eastAsia="Times New Roman" w:hAnsi="Times New Roman" w:cs="Times New Roman"/>
          <w:sz w:val="24"/>
          <w:szCs w:val="24"/>
        </w:rPr>
        <w:t xml:space="preserve"> Children and young people have limited or no ability to make their own medical choices. </w:t>
      </w:r>
      <w:r w:rsidR="003145A8"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rPr>
        <w:t xml:space="preserve">Parents and guardians often are not given full information about treatment options.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In the foster care system parents lose custody of their children and the children are not permitted to refuse treatment or have any meaningful input into the treatment they receive. Thus in the U.S.A we have a system of institutionalized injustice to minors entrusted to the Foster Care system. Over 510,000 American children are in foster care,</w:t>
      </w:r>
      <w:r w:rsidRPr="008319BF">
        <w:rPr>
          <w:rFonts w:ascii="Times New Roman" w:eastAsia="Times New Roman" w:hAnsi="Times New Roman" w:cs="Times New Roman"/>
          <w:sz w:val="24"/>
          <w:szCs w:val="24"/>
          <w:vertAlign w:val="superscript"/>
        </w:rPr>
        <w:endnoteReference w:id="81"/>
      </w:r>
      <w:r w:rsidRPr="008319BF">
        <w:rPr>
          <w:rFonts w:ascii="Times New Roman" w:eastAsia="Times New Roman" w:hAnsi="Times New Roman" w:cs="Times New Roman"/>
          <w:sz w:val="24"/>
          <w:szCs w:val="24"/>
        </w:rPr>
        <w:t xml:space="preserve"> taken away when their families are in crisis and when families are unable to care for them.  Coming from backgrounds of abuse and trauma, these emotionally vulnerable young people are exposed to physical, emotional, psychological and sexual abuse often occurs in youth psychiatric facilities.  U.S. institutions are often overcrowded, poorly maintained. This is both unjust and discriminatory.  Often these </w:t>
      </w:r>
      <w:r w:rsidRPr="008319BF">
        <w:rPr>
          <w:rFonts w:ascii="Times New Roman" w:eastAsia="Times New Roman" w:hAnsi="Times New Roman" w:cs="Times New Roman"/>
          <w:sz w:val="24"/>
          <w:szCs w:val="24"/>
        </w:rPr>
        <w:lastRenderedPageBreak/>
        <w:t xml:space="preserve">young people have committed no crime, but are detained against their will, and decisions about their care is made based on the type of health insurance they have (public or private), rather than their health needs.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Food and Drug Administration (FDA) “approved” means that the FDA has reviewed limited data on safety and efficacy for a drug for one indication, usually in one population.  Most psychotropic medication classes lack scientific evidence of their efficacy or safety in children and youth.</w:t>
      </w:r>
      <w:r w:rsidRPr="008319BF">
        <w:rPr>
          <w:rFonts w:ascii="Times New Roman" w:eastAsia="Times New Roman" w:hAnsi="Times New Roman" w:cs="Times New Roman"/>
          <w:sz w:val="24"/>
          <w:szCs w:val="24"/>
          <w:vertAlign w:val="superscript"/>
        </w:rPr>
        <w:endnoteReference w:id="82"/>
      </w:r>
      <w:r w:rsidRPr="008319BF">
        <w:rPr>
          <w:rFonts w:ascii="Times New Roman" w:eastAsia="Times New Roman" w:hAnsi="Times New Roman" w:cs="Times New Roman"/>
          <w:sz w:val="24"/>
          <w:szCs w:val="24"/>
        </w:rPr>
        <w:t xml:space="preserve"> </w:t>
      </w:r>
      <w:r w:rsidR="006225F6">
        <w:rPr>
          <w:rStyle w:val="EndnoteReference"/>
          <w:rFonts w:ascii="Times New Roman" w:eastAsia="Times New Roman" w:hAnsi="Times New Roman" w:cs="Times New Roman"/>
          <w:sz w:val="24"/>
          <w:szCs w:val="24"/>
        </w:rPr>
        <w:endnoteReference w:id="83"/>
      </w:r>
      <w:r w:rsidRPr="008319BF">
        <w:rPr>
          <w:rFonts w:ascii="Times New Roman" w:eastAsia="Times New Roman" w:hAnsi="Times New Roman" w:cs="Times New Roman"/>
          <w:sz w:val="24"/>
          <w:szCs w:val="24"/>
        </w:rPr>
        <w:t xml:space="preserve"> </w:t>
      </w:r>
      <w:r w:rsidR="00BF0C51">
        <w:rPr>
          <w:rStyle w:val="EndnoteReference"/>
          <w:rFonts w:ascii="Times New Roman" w:eastAsia="Times New Roman" w:hAnsi="Times New Roman" w:cs="Times New Roman"/>
          <w:sz w:val="24"/>
          <w:szCs w:val="24"/>
        </w:rPr>
        <w:endnoteReference w:id="84"/>
      </w:r>
      <w:r w:rsidR="00BF0C51">
        <w:rPr>
          <w:rFonts w:ascii="Times New Roman" w:eastAsia="Times New Roman" w:hAnsi="Times New Roman" w:cs="Times New Roman"/>
          <w:sz w:val="24"/>
          <w:szCs w:val="24"/>
        </w:rPr>
        <w:t xml:space="preserve"> </w:t>
      </w:r>
      <w:r w:rsidR="00BF0C51">
        <w:rPr>
          <w:rStyle w:val="EndnoteReference"/>
          <w:rFonts w:ascii="Times New Roman" w:eastAsia="Times New Roman" w:hAnsi="Times New Roman" w:cs="Times New Roman"/>
          <w:sz w:val="24"/>
          <w:szCs w:val="24"/>
        </w:rPr>
        <w:endnoteReference w:id="85"/>
      </w:r>
      <w:r w:rsidR="00BF0C51">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86"/>
      </w:r>
      <w:r w:rsidRPr="008319BF">
        <w:rPr>
          <w:rFonts w:ascii="Times New Roman" w:eastAsia="Times New Roman" w:hAnsi="Times New Roman" w:cs="Times New Roman"/>
          <w:sz w:val="24"/>
          <w:szCs w:val="24"/>
        </w:rPr>
        <w:t xml:space="preserve">  Fewer than 10% of psychotropic drugs are FDA-approved for any psychiatric use in children.</w:t>
      </w:r>
      <w:r w:rsidRPr="008319BF">
        <w:rPr>
          <w:rFonts w:ascii="Times New Roman" w:eastAsia="Times New Roman" w:hAnsi="Times New Roman" w:cs="Times New Roman"/>
          <w:sz w:val="24"/>
          <w:szCs w:val="24"/>
          <w:vertAlign w:val="superscript"/>
        </w:rPr>
        <w:endnoteReference w:id="87"/>
      </w:r>
      <w:r w:rsidRPr="008319BF">
        <w:rPr>
          <w:rFonts w:ascii="Times New Roman" w:eastAsia="Times New Roman" w:hAnsi="Times New Roman" w:cs="Times New Roman"/>
          <w:sz w:val="24"/>
          <w:szCs w:val="24"/>
        </w:rPr>
        <w:t xml:space="preserv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Almost all psychiatric drugs have been shown to cause brain damage in the form of abnormal cell growth, cell death and other detrimental effects, which is especially harmful for growing and developing children and youth.</w:t>
      </w:r>
      <w:r w:rsidRPr="008319BF">
        <w:rPr>
          <w:rFonts w:ascii="Times New Roman" w:eastAsia="Times New Roman" w:hAnsi="Times New Roman" w:cs="Times New Roman"/>
          <w:sz w:val="24"/>
          <w:szCs w:val="24"/>
          <w:vertAlign w:val="superscript"/>
        </w:rPr>
        <w:endnoteReference w:id="88"/>
      </w:r>
      <w:r w:rsidRPr="008319BF">
        <w:rPr>
          <w:rFonts w:ascii="Times New Roman" w:eastAsia="Times New Roman" w:hAnsi="Times New Roman" w:cs="Times New Roman"/>
          <w:sz w:val="24"/>
          <w:szCs w:val="24"/>
        </w:rPr>
        <w:t xml:space="preserve">  Psychotropic drugs given to children and youth cause drug-induced adverse effects and behavioral changes, including apathy, agitation, aggression, mania, suicidal ideation and psychosis, known as "behavioral toxicity."</w:t>
      </w:r>
      <w:r w:rsidRPr="008319BF">
        <w:rPr>
          <w:rFonts w:ascii="Times New Roman" w:eastAsia="Times New Roman" w:hAnsi="Times New Roman" w:cs="Times New Roman"/>
          <w:sz w:val="24"/>
          <w:szCs w:val="24"/>
          <w:vertAlign w:val="superscript"/>
        </w:rPr>
        <w:endnoteReference w:id="89"/>
      </w:r>
      <w:r w:rsidRPr="008319BF">
        <w:rPr>
          <w:rFonts w:ascii="Times New Roman" w:eastAsia="Times New Roman" w:hAnsi="Times New Roman" w:cs="Times New Roman"/>
          <w:sz w:val="24"/>
          <w:szCs w:val="24"/>
        </w:rPr>
        <w:t xml:space="preserve">  Psychotropic drugs given to children and youth suppress learning and cognition and produce cognitive neurotoxicty, interfering with the basic mental development of the child, which adverse effects often do not go away after the drugs are withdrawn. </w:t>
      </w:r>
      <w:r w:rsidRPr="008319BF">
        <w:rPr>
          <w:rFonts w:ascii="Times New Roman" w:eastAsia="Times New Roman" w:hAnsi="Times New Roman" w:cs="Times New Roman"/>
          <w:sz w:val="24"/>
          <w:szCs w:val="24"/>
          <w:vertAlign w:val="superscript"/>
        </w:rPr>
        <w:endnoteReference w:id="90"/>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91"/>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There is a disproportionate representation of African-American children placed in Child Protective Services foster care.  It was found in one study that African-American children had 44% higher odds of foster care placement when compared with Caucasian children.</w:t>
      </w:r>
      <w:r w:rsidRPr="008319BF">
        <w:rPr>
          <w:rFonts w:ascii="Times New Roman" w:eastAsia="Times New Roman" w:hAnsi="Times New Roman" w:cs="Times New Roman"/>
          <w:sz w:val="24"/>
          <w:szCs w:val="24"/>
          <w:vertAlign w:val="superscript"/>
        </w:rPr>
        <w:endnoteReference w:id="92"/>
      </w:r>
      <w:r w:rsidRPr="008319BF">
        <w:rPr>
          <w:rFonts w:ascii="Times New Roman" w:eastAsia="Times New Roman" w:hAnsi="Times New Roman" w:cs="Times New Roman"/>
          <w:sz w:val="24"/>
          <w:szCs w:val="24"/>
        </w:rPr>
        <w:t xml:space="preserve">   Thus African-American children in foster care are routinely force drugged, often with multiple medications and in a manner detrimental to their health.</w:t>
      </w:r>
      <w:r w:rsidRPr="008319BF">
        <w:rPr>
          <w:rFonts w:ascii="Times New Roman" w:eastAsia="Times New Roman" w:hAnsi="Times New Roman" w:cs="Times New Roman"/>
          <w:sz w:val="24"/>
          <w:szCs w:val="24"/>
          <w:vertAlign w:val="superscript"/>
        </w:rPr>
        <w:endnoteReference w:id="93"/>
      </w:r>
      <w:r w:rsidR="006225F6">
        <w:rPr>
          <w:rFonts w:ascii="Times New Roman" w:eastAsia="Times New Roman" w:hAnsi="Times New Roman" w:cs="Times New Roman"/>
          <w:sz w:val="24"/>
          <w:szCs w:val="24"/>
        </w:rPr>
        <w:t xml:space="preserve"> </w:t>
      </w:r>
      <w:r w:rsidR="006225F6">
        <w:rPr>
          <w:rStyle w:val="EndnoteReference"/>
          <w:rFonts w:ascii="Times New Roman" w:eastAsia="Times New Roman" w:hAnsi="Times New Roman" w:cs="Times New Roman"/>
          <w:sz w:val="24"/>
          <w:szCs w:val="24"/>
        </w:rPr>
        <w:endnoteReference w:id="94"/>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More than 10.5 million children in the United States will spend some time in foster care.</w:t>
      </w:r>
      <w:r w:rsidRPr="008319BF">
        <w:rPr>
          <w:rFonts w:ascii="Times New Roman" w:eastAsia="Times New Roman" w:hAnsi="Times New Roman" w:cs="Times New Roman"/>
          <w:sz w:val="24"/>
          <w:szCs w:val="24"/>
          <w:vertAlign w:val="superscript"/>
        </w:rPr>
        <w:endnoteReference w:id="95"/>
      </w:r>
      <w:r w:rsidRPr="008319BF">
        <w:rPr>
          <w:rFonts w:ascii="Times New Roman" w:eastAsia="Times New Roman" w:hAnsi="Times New Roman" w:cs="Times New Roman"/>
          <w:sz w:val="24"/>
          <w:szCs w:val="24"/>
        </w:rPr>
        <w:t xml:space="preserve"> Every year, approximately 18,000 youth will emancipate or "age-out" of the foster care system when they reach age 18 or finish high school. Not surprisingly foster children exposed to such situations are unable to adjust to independent living when they reach adulthood and end up in large numbers in the U.S. prison system as adults. Unfortunately, while in foster care youth frequently do not receive adequate help for them to successfully complete high school, find employment, access health care, get continued educational opportunities, and obtain housing and transitional living arrangements. Studies of youth who have left foster care have shown they are more likely than those in the general population to not finish high school, be unemployed, and be dependent on public assistance.  Many end up homeless.  According to the US Department of Health and Human Services, 287,691 children exited foster care in 2006,</w:t>
      </w:r>
      <w:r w:rsidRPr="008319BF">
        <w:rPr>
          <w:rFonts w:ascii="Times New Roman" w:eastAsia="Times New Roman" w:hAnsi="Times New Roman" w:cs="Times New Roman"/>
          <w:sz w:val="24"/>
          <w:szCs w:val="24"/>
          <w:vertAlign w:val="superscript"/>
        </w:rPr>
        <w:endnoteReference w:id="96"/>
      </w:r>
      <w:r w:rsidRPr="008319BF">
        <w:rPr>
          <w:rFonts w:ascii="Times New Roman" w:eastAsia="Times New Roman" w:hAnsi="Times New Roman" w:cs="Times New Roman"/>
          <w:sz w:val="24"/>
          <w:szCs w:val="24"/>
        </w:rPr>
        <w:t xml:space="preserve">  (16%) left to live with relatives (some through guardianships).</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In addition, the pharmaceutical industry's successful marketing of drugs to this captive population of children has led to children as young as two years old given mood stabilizers and antipsychotics even before they are even able to speak.</w:t>
      </w:r>
      <w:r w:rsidRPr="008319BF">
        <w:rPr>
          <w:rFonts w:ascii="Times New Roman" w:eastAsia="Times New Roman" w:hAnsi="Times New Roman" w:cs="Times New Roman"/>
          <w:sz w:val="24"/>
          <w:szCs w:val="24"/>
          <w:vertAlign w:val="superscript"/>
        </w:rPr>
        <w:endnoteReference w:id="97"/>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98"/>
      </w:r>
      <w:r w:rsidRPr="008319BF">
        <w:rPr>
          <w:rFonts w:ascii="Times New Roman" w:eastAsia="Times New Roman" w:hAnsi="Times New Roman" w:cs="Times New Roman"/>
          <w:sz w:val="24"/>
          <w:szCs w:val="24"/>
        </w:rPr>
        <w:t xml:space="preserve"> It is estimated that over 8 million children are drugged in the U.S.A. with 1,300 deaths due to this practice. </w:t>
      </w:r>
      <w:r w:rsidRPr="008319BF">
        <w:rPr>
          <w:rFonts w:ascii="Times New Roman" w:eastAsia="Times New Roman" w:hAnsi="Times New Roman" w:cs="Times New Roman"/>
          <w:sz w:val="24"/>
          <w:szCs w:val="24"/>
          <w:vertAlign w:val="superscript"/>
        </w:rPr>
        <w:endnoteReference w:id="99"/>
      </w:r>
      <w:r w:rsidRPr="008319BF">
        <w:rPr>
          <w:rFonts w:ascii="Times New Roman" w:eastAsia="Times New Roman" w:hAnsi="Times New Roman" w:cs="Times New Roman"/>
          <w:sz w:val="24"/>
          <w:szCs w:val="24"/>
        </w:rPr>
        <w:t xml:space="preserve"> </w:t>
      </w:r>
    </w:p>
    <w:p w:rsidR="008A54C1" w:rsidRPr="008319BF" w:rsidRDefault="008A54C1"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74449E">
      <w:pPr>
        <w:pStyle w:val="Heading2"/>
      </w:pPr>
      <w:bookmarkStart w:id="79" w:name="_Human_Rights_of_3"/>
      <w:bookmarkStart w:id="80" w:name="_Toc414015951"/>
      <w:bookmarkStart w:id="81" w:name="_Toc414292329"/>
      <w:bookmarkEnd w:id="79"/>
      <w:r w:rsidRPr="008319BF">
        <w:lastRenderedPageBreak/>
        <w:t>Minorities</w:t>
      </w:r>
      <w:bookmarkEnd w:id="80"/>
      <w:bookmarkEnd w:id="81"/>
    </w:p>
    <w:p w:rsidR="00064D7D" w:rsidRDefault="00064D7D" w:rsidP="00F43BCB">
      <w:pPr>
        <w:spacing w:after="0" w:line="240" w:lineRule="auto"/>
        <w:rPr>
          <w:rFonts w:ascii="Times New Roman" w:eastAsia="Times New Roman" w:hAnsi="Times New Roman" w:cs="Times New Roman"/>
          <w:sz w:val="24"/>
          <w:szCs w:val="24"/>
        </w:rPr>
      </w:pPr>
    </w:p>
    <w:p w:rsidR="00552623" w:rsidRDefault="00F43BCB" w:rsidP="004A5005">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Experts admit that mental health diagnoses are inherently subjective. Even according to the 1999 "Mental Health: A Report of the Surgeon General," there are serious conflicts even in the medical literature about the definitions of mental health and mental illness. These very definitions are rooted in subjective value judgments that vary across cultures and are subject to bias and prejudice. Mental illness is based on behaviors observed by others and subjective reporting, while physical illness is able to be objectively measured by verifiable physical signs.  Because of inherent subjectivity and lack of objective verification, it’s all too easy for a psychiatrist to label disagreement with political and/or social beliefs to be a mental disorder.  Thus mental illness is commonly diagnosed in minority groups with greater frequency– possibly because of personal bias and cultural differences. But it is also evident that minorities have less access to, and availability of, mental health services. </w:t>
      </w:r>
      <w:r w:rsidR="00552623">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rPr>
        <w:t xml:space="preserve">There is an inequality in the U.S.A., racial and ethnic minorities collectively experience a greater disability burden from mental illness than do whites. Minorities receive less care and poorer quality of care.  </w:t>
      </w:r>
    </w:p>
    <w:p w:rsidR="00552623" w:rsidRDefault="00552623" w:rsidP="004A5005">
      <w:pPr>
        <w:spacing w:after="0" w:line="240" w:lineRule="auto"/>
        <w:rPr>
          <w:rFonts w:ascii="Times New Roman" w:eastAsia="Times New Roman" w:hAnsi="Times New Roman" w:cs="Times New Roman"/>
          <w:sz w:val="24"/>
          <w:szCs w:val="24"/>
        </w:rPr>
      </w:pPr>
    </w:p>
    <w:p w:rsidR="00AC68E6" w:rsidRDefault="00AC68E6" w:rsidP="00AC68E6">
      <w:pPr>
        <w:spacing w:after="0" w:line="240" w:lineRule="auto"/>
        <w:rPr>
          <w:rFonts w:ascii="Times New Roman" w:eastAsia="Times New Roman" w:hAnsi="Times New Roman" w:cs="Times New Roman"/>
          <w:sz w:val="24"/>
          <w:szCs w:val="24"/>
        </w:rPr>
      </w:pPr>
      <w:r w:rsidRPr="00AC68E6">
        <w:rPr>
          <w:rFonts w:ascii="Times New Roman" w:eastAsia="Times New Roman" w:hAnsi="Times New Roman" w:cs="Times New Roman"/>
          <w:sz w:val="24"/>
          <w:szCs w:val="24"/>
        </w:rPr>
        <w:t>The prevalence of mental disorders is estimated to</w:t>
      </w:r>
      <w:r>
        <w:rPr>
          <w:rFonts w:ascii="Times New Roman" w:eastAsia="Times New Roman" w:hAnsi="Times New Roman" w:cs="Times New Roman"/>
          <w:sz w:val="24"/>
          <w:szCs w:val="24"/>
        </w:rPr>
        <w:t xml:space="preserve"> </w:t>
      </w:r>
      <w:r w:rsidRPr="00AC68E6">
        <w:rPr>
          <w:rFonts w:ascii="Times New Roman" w:eastAsia="Times New Roman" w:hAnsi="Times New Roman" w:cs="Times New Roman"/>
          <w:sz w:val="24"/>
          <w:szCs w:val="24"/>
        </w:rPr>
        <w:t>be higher among African Americans than among</w:t>
      </w:r>
      <w:r>
        <w:rPr>
          <w:rFonts w:ascii="Times New Roman" w:eastAsia="Times New Roman" w:hAnsi="Times New Roman" w:cs="Times New Roman"/>
          <w:sz w:val="24"/>
          <w:szCs w:val="24"/>
        </w:rPr>
        <w:t xml:space="preserve"> </w:t>
      </w:r>
      <w:r w:rsidRPr="00AC68E6">
        <w:rPr>
          <w:rFonts w:ascii="Times New Roman" w:eastAsia="Times New Roman" w:hAnsi="Times New Roman" w:cs="Times New Roman"/>
          <w:sz w:val="24"/>
          <w:szCs w:val="24"/>
        </w:rPr>
        <w:t>whites</w:t>
      </w:r>
      <w:r>
        <w:rPr>
          <w:rFonts w:ascii="Times New Roman" w:eastAsia="Times New Roman" w:hAnsi="Times New Roman" w:cs="Times New Roman"/>
          <w:sz w:val="24"/>
          <w:szCs w:val="24"/>
        </w:rPr>
        <w:t>.</w:t>
      </w:r>
      <w:r w:rsidRPr="00AC68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However t</w:t>
      </w:r>
      <w:r w:rsidRPr="00AC68E6">
        <w:rPr>
          <w:rFonts w:ascii="Times New Roman" w:eastAsia="Times New Roman" w:hAnsi="Times New Roman" w:cs="Times New Roman"/>
          <w:sz w:val="24"/>
          <w:szCs w:val="24"/>
        </w:rPr>
        <w:t>his difference does</w:t>
      </w:r>
      <w:r>
        <w:rPr>
          <w:rFonts w:ascii="Times New Roman" w:eastAsia="Times New Roman" w:hAnsi="Times New Roman" w:cs="Times New Roman"/>
          <w:sz w:val="24"/>
          <w:szCs w:val="24"/>
        </w:rPr>
        <w:t xml:space="preserve"> </w:t>
      </w:r>
      <w:r w:rsidRPr="00AC68E6">
        <w:rPr>
          <w:rFonts w:ascii="Times New Roman" w:eastAsia="Times New Roman" w:hAnsi="Times New Roman" w:cs="Times New Roman"/>
          <w:sz w:val="24"/>
          <w:szCs w:val="24"/>
        </w:rPr>
        <w:t>not appear to be due to intrinsic differences</w:t>
      </w:r>
      <w:r>
        <w:rPr>
          <w:rFonts w:ascii="Times New Roman" w:eastAsia="Times New Roman" w:hAnsi="Times New Roman" w:cs="Times New Roman"/>
          <w:sz w:val="24"/>
          <w:szCs w:val="24"/>
        </w:rPr>
        <w:t xml:space="preserve"> </w:t>
      </w:r>
      <w:r w:rsidRPr="00AC68E6">
        <w:rPr>
          <w:rFonts w:ascii="Times New Roman" w:eastAsia="Times New Roman" w:hAnsi="Times New Roman" w:cs="Times New Roman"/>
          <w:sz w:val="24"/>
          <w:szCs w:val="24"/>
        </w:rPr>
        <w:t>between the races; rather, it appears to be due to</w:t>
      </w:r>
      <w:r>
        <w:rPr>
          <w:rFonts w:ascii="Times New Roman" w:eastAsia="Times New Roman" w:hAnsi="Times New Roman" w:cs="Times New Roman"/>
          <w:sz w:val="24"/>
          <w:szCs w:val="24"/>
        </w:rPr>
        <w:t xml:space="preserve"> </w:t>
      </w:r>
      <w:r w:rsidRPr="00AC68E6">
        <w:rPr>
          <w:rFonts w:ascii="Times New Roman" w:eastAsia="Times New Roman" w:hAnsi="Times New Roman" w:cs="Times New Roman"/>
          <w:sz w:val="24"/>
          <w:szCs w:val="24"/>
        </w:rPr>
        <w:t xml:space="preserve">socioeconomic differences. </w:t>
      </w:r>
      <w:r w:rsidR="00DE7994">
        <w:rPr>
          <w:rFonts w:ascii="Times New Roman" w:eastAsia="Times New Roman" w:hAnsi="Times New Roman" w:cs="Times New Roman"/>
          <w:sz w:val="24"/>
          <w:szCs w:val="24"/>
        </w:rPr>
        <w:t xml:space="preserve"> I</w:t>
      </w:r>
      <w:r w:rsidRPr="00AC68E6">
        <w:rPr>
          <w:rFonts w:ascii="Times New Roman" w:eastAsia="Times New Roman" w:hAnsi="Times New Roman" w:cs="Times New Roman"/>
          <w:sz w:val="24"/>
          <w:szCs w:val="24"/>
        </w:rPr>
        <w:t>t is the lower</w:t>
      </w:r>
      <w:r>
        <w:rPr>
          <w:rFonts w:ascii="Times New Roman" w:eastAsia="Times New Roman" w:hAnsi="Times New Roman" w:cs="Times New Roman"/>
          <w:sz w:val="24"/>
          <w:szCs w:val="24"/>
        </w:rPr>
        <w:t xml:space="preserve"> </w:t>
      </w:r>
      <w:r w:rsidRPr="00AC68E6">
        <w:rPr>
          <w:rFonts w:ascii="Times New Roman" w:eastAsia="Times New Roman" w:hAnsi="Times New Roman" w:cs="Times New Roman"/>
          <w:sz w:val="24"/>
          <w:szCs w:val="24"/>
        </w:rPr>
        <w:t>socioeconomic status of African Americans that</w:t>
      </w:r>
      <w:r>
        <w:rPr>
          <w:rFonts w:ascii="Times New Roman" w:eastAsia="Times New Roman" w:hAnsi="Times New Roman" w:cs="Times New Roman"/>
          <w:sz w:val="24"/>
          <w:szCs w:val="24"/>
        </w:rPr>
        <w:t xml:space="preserve"> </w:t>
      </w:r>
      <w:r w:rsidRPr="00AC68E6">
        <w:rPr>
          <w:rFonts w:ascii="Times New Roman" w:eastAsia="Times New Roman" w:hAnsi="Times New Roman" w:cs="Times New Roman"/>
          <w:sz w:val="24"/>
          <w:szCs w:val="24"/>
        </w:rPr>
        <w:t>places them at higher risk for mental disorders</w:t>
      </w:r>
      <w:r>
        <w:rPr>
          <w:rFonts w:ascii="Times New Roman" w:eastAsia="Times New Roman" w:hAnsi="Times New Roman" w:cs="Times New Roman"/>
          <w:sz w:val="24"/>
          <w:szCs w:val="24"/>
        </w:rPr>
        <w:t>.</w:t>
      </w:r>
      <w:r>
        <w:rPr>
          <w:rStyle w:val="EndnoteReference"/>
          <w:rFonts w:ascii="Times New Roman" w:eastAsia="Times New Roman" w:hAnsi="Times New Roman" w:cs="Times New Roman"/>
          <w:sz w:val="24"/>
          <w:szCs w:val="24"/>
        </w:rPr>
        <w:endnoteReference w:id="100"/>
      </w:r>
      <w:r>
        <w:rPr>
          <w:rFonts w:ascii="Times New Roman" w:eastAsia="Times New Roman" w:hAnsi="Times New Roman" w:cs="Times New Roman"/>
          <w:sz w:val="24"/>
          <w:szCs w:val="24"/>
        </w:rPr>
        <w:t xml:space="preserve"> </w:t>
      </w:r>
    </w:p>
    <w:p w:rsidR="00DE7994" w:rsidRDefault="00DE7994" w:rsidP="00AC68E6">
      <w:pPr>
        <w:spacing w:after="0" w:line="240" w:lineRule="auto"/>
        <w:rPr>
          <w:rFonts w:ascii="Times New Roman" w:eastAsia="Times New Roman" w:hAnsi="Times New Roman" w:cs="Times New Roman"/>
          <w:sz w:val="24"/>
          <w:szCs w:val="24"/>
        </w:rPr>
      </w:pPr>
    </w:p>
    <w:p w:rsidR="00DE7994" w:rsidRDefault="00552623" w:rsidP="00AC68E6">
      <w:pPr>
        <w:spacing w:after="0" w:line="240" w:lineRule="auto"/>
        <w:rPr>
          <w:rFonts w:ascii="Times New Roman" w:eastAsia="Times New Roman" w:hAnsi="Times New Roman" w:cs="Times New Roman"/>
          <w:sz w:val="24"/>
          <w:szCs w:val="24"/>
        </w:rPr>
      </w:pPr>
      <w:r w:rsidRPr="00552623">
        <w:rPr>
          <w:rFonts w:ascii="Times New Roman" w:eastAsia="Times New Roman" w:hAnsi="Times New Roman" w:cs="Times New Roman"/>
          <w:sz w:val="24"/>
          <w:szCs w:val="24"/>
        </w:rPr>
        <w:t>African Americans are more likely than whites to use the emergency room for mental health problems. Their overreliance on emergency care for mental health problems is an extension of their overreliance on emergency care for other health problems.</w:t>
      </w:r>
      <w:r w:rsidR="00F43C9A">
        <w:rPr>
          <w:rStyle w:val="EndnoteReference"/>
          <w:rFonts w:ascii="Times New Roman" w:eastAsia="Times New Roman" w:hAnsi="Times New Roman" w:cs="Times New Roman"/>
          <w:sz w:val="24"/>
          <w:szCs w:val="24"/>
        </w:rPr>
        <w:endnoteReference w:id="101"/>
      </w:r>
      <w:r w:rsidRPr="00552623">
        <w:rPr>
          <w:rFonts w:ascii="Times New Roman" w:eastAsia="Times New Roman" w:hAnsi="Times New Roman" w:cs="Times New Roman"/>
          <w:sz w:val="24"/>
          <w:szCs w:val="24"/>
        </w:rPr>
        <w:t xml:space="preserve"> </w:t>
      </w:r>
      <w:r w:rsidR="00DE7994">
        <w:rPr>
          <w:rFonts w:ascii="Times New Roman" w:eastAsia="Times New Roman" w:hAnsi="Times New Roman" w:cs="Times New Roman"/>
          <w:sz w:val="24"/>
          <w:szCs w:val="24"/>
        </w:rPr>
        <w:t xml:space="preserve"> </w:t>
      </w:r>
      <w:r w:rsidRPr="00552623">
        <w:rPr>
          <w:rFonts w:ascii="Times New Roman" w:eastAsia="Times New Roman" w:hAnsi="Times New Roman" w:cs="Times New Roman"/>
          <w:sz w:val="24"/>
          <w:szCs w:val="24"/>
        </w:rPr>
        <w:t xml:space="preserve">The practice of using the emergency room for routine care is generally attributed to a lack of health care providers in the community willing to offer routine treatment to people without insurance. 20% of African Americans are uninsured. </w:t>
      </w:r>
      <w:r w:rsidR="00DE7994">
        <w:rPr>
          <w:rFonts w:ascii="Times New Roman" w:eastAsia="Times New Roman" w:hAnsi="Times New Roman" w:cs="Times New Roman"/>
          <w:sz w:val="24"/>
          <w:szCs w:val="24"/>
        </w:rPr>
        <w:t xml:space="preserve"> Thus African Americans are least likely to have a long-term continuous doctor-patient relationship with a medical doctor they trust.</w:t>
      </w:r>
      <w:r w:rsidR="00DE7994" w:rsidRPr="00DE7994">
        <w:t xml:space="preserve"> </w:t>
      </w:r>
      <w:r w:rsidR="00DE7994">
        <w:t xml:space="preserve"> </w:t>
      </w:r>
      <w:r w:rsidR="00DE7994" w:rsidRPr="00DE7994">
        <w:rPr>
          <w:rFonts w:ascii="Times New Roman" w:eastAsia="Times New Roman" w:hAnsi="Times New Roman" w:cs="Times New Roman"/>
          <w:sz w:val="24"/>
          <w:szCs w:val="24"/>
        </w:rPr>
        <w:t>African Americans were less likely than others to have received treatment that conformed to recommended practices</w:t>
      </w:r>
      <w:r w:rsidR="00DE7994">
        <w:rPr>
          <w:rFonts w:ascii="Times New Roman" w:eastAsia="Times New Roman" w:hAnsi="Times New Roman" w:cs="Times New Roman"/>
          <w:sz w:val="24"/>
          <w:szCs w:val="24"/>
        </w:rPr>
        <w:t>.</w:t>
      </w:r>
    </w:p>
    <w:p w:rsidR="00DE7994" w:rsidRDefault="00DE7994" w:rsidP="00AC68E6">
      <w:pPr>
        <w:spacing w:after="0" w:line="240" w:lineRule="auto"/>
        <w:rPr>
          <w:rFonts w:ascii="Times New Roman" w:eastAsia="Times New Roman" w:hAnsi="Times New Roman" w:cs="Times New Roman"/>
          <w:sz w:val="24"/>
          <w:szCs w:val="24"/>
        </w:rPr>
      </w:pPr>
    </w:p>
    <w:p w:rsidR="00552623" w:rsidRPr="00DE7994" w:rsidRDefault="00552623" w:rsidP="00AC68E6">
      <w:pPr>
        <w:spacing w:after="0" w:line="240" w:lineRule="auto"/>
        <w:rPr>
          <w:rFonts w:ascii="Times New Roman" w:eastAsia="Times New Roman" w:hAnsi="Times New Roman" w:cs="Times New Roman"/>
          <w:sz w:val="24"/>
          <w:szCs w:val="24"/>
        </w:rPr>
      </w:pPr>
      <w:r w:rsidRPr="00DE7994">
        <w:rPr>
          <w:rFonts w:ascii="Times New Roman" w:eastAsia="Times New Roman" w:hAnsi="Times New Roman" w:cs="Times New Roman"/>
          <w:sz w:val="24"/>
          <w:szCs w:val="24"/>
        </w:rPr>
        <w:t xml:space="preserve">African Americans' poverty and deep-poverty rates are higher than those of Whites, and African Americans' poverty spells last longer. Furthermore, non-poor African Americans are especially likely to slip into poverty, and over the course of a lifetime, very many African Americans will experience poverty. </w:t>
      </w:r>
      <w:r w:rsidR="00DE7994" w:rsidRPr="00DE7994">
        <w:rPr>
          <w:rFonts w:ascii="Times New Roman" w:eastAsia="Times New Roman" w:hAnsi="Times New Roman" w:cs="Times New Roman"/>
          <w:sz w:val="24"/>
          <w:szCs w:val="24"/>
        </w:rPr>
        <w:t xml:space="preserve"> </w:t>
      </w:r>
      <w:r w:rsidRPr="00DE7994">
        <w:rPr>
          <w:rFonts w:ascii="Times New Roman" w:eastAsia="Times New Roman" w:hAnsi="Times New Roman" w:cs="Times New Roman"/>
          <w:sz w:val="24"/>
          <w:szCs w:val="24"/>
        </w:rPr>
        <w:t xml:space="preserve">Accordingly, African Americans are disproportionately likely to be assisted by safety net programs providing income support and health and social assistance. </w:t>
      </w:r>
      <w:r w:rsidR="00F43C9A" w:rsidRPr="00DE7994">
        <w:rPr>
          <w:rStyle w:val="EndnoteReference"/>
          <w:rFonts w:ascii="Times New Roman" w:eastAsia="Times New Roman" w:hAnsi="Times New Roman" w:cs="Times New Roman"/>
          <w:sz w:val="24"/>
          <w:szCs w:val="24"/>
        </w:rPr>
        <w:endnoteReference w:id="102"/>
      </w:r>
      <w:r w:rsidR="00A27AAE" w:rsidRPr="00DE7994">
        <w:rPr>
          <w:rFonts w:ascii="Times New Roman" w:eastAsia="Times New Roman" w:hAnsi="Times New Roman" w:cs="Times New Roman"/>
          <w:sz w:val="24"/>
          <w:szCs w:val="24"/>
        </w:rPr>
        <w:t>.</w:t>
      </w:r>
      <w:r w:rsidRPr="00DE7994">
        <w:rPr>
          <w:rFonts w:ascii="Times New Roman" w:eastAsia="Times New Roman" w:hAnsi="Times New Roman" w:cs="Times New Roman"/>
          <w:sz w:val="24"/>
          <w:szCs w:val="24"/>
        </w:rPr>
        <w:t xml:space="preserve"> </w:t>
      </w:r>
      <w:r w:rsidR="00DE7994" w:rsidRPr="00DE7994">
        <w:rPr>
          <w:rFonts w:ascii="Times New Roman" w:eastAsia="Times New Roman" w:hAnsi="Times New Roman" w:cs="Times New Roman"/>
          <w:sz w:val="24"/>
          <w:szCs w:val="24"/>
        </w:rPr>
        <w:t xml:space="preserve">Thus </w:t>
      </w:r>
      <w:r w:rsidR="00DE7994">
        <w:rPr>
          <w:rFonts w:ascii="Times New Roman" w:hAnsi="Times New Roman" w:cs="Times New Roman"/>
          <w:sz w:val="24"/>
          <w:szCs w:val="24"/>
        </w:rPr>
        <w:t>t</w:t>
      </w:r>
      <w:r w:rsidR="00DE7994" w:rsidRPr="00DE7994">
        <w:rPr>
          <w:rFonts w:ascii="Times New Roman" w:eastAsia="Times New Roman" w:hAnsi="Times New Roman" w:cs="Times New Roman"/>
          <w:sz w:val="24"/>
          <w:szCs w:val="24"/>
        </w:rPr>
        <w:t xml:space="preserve">hey are less likely to have free choice in their care and more likely to be coerced into programs that provide the greatest financial support to the health care providers. </w:t>
      </w:r>
      <w:r w:rsidRPr="00DE7994">
        <w:rPr>
          <w:rFonts w:ascii="Times New Roman" w:eastAsia="Times New Roman" w:hAnsi="Times New Roman" w:cs="Times New Roman"/>
          <w:sz w:val="24"/>
          <w:szCs w:val="24"/>
        </w:rPr>
        <w:t>African Americans are also overrepresented among persons undergoing involuntary civil commitment.</w:t>
      </w:r>
      <w:r w:rsidR="00F43C9A" w:rsidRPr="00DE7994">
        <w:rPr>
          <w:rStyle w:val="EndnoteReference"/>
          <w:rFonts w:ascii="Times New Roman" w:eastAsia="Times New Roman" w:hAnsi="Times New Roman" w:cs="Times New Roman"/>
          <w:sz w:val="24"/>
          <w:szCs w:val="24"/>
        </w:rPr>
        <w:endnoteReference w:id="103"/>
      </w:r>
      <w:r w:rsidR="00F43C9A" w:rsidRPr="00DE7994">
        <w:rPr>
          <w:rFonts w:ascii="Times New Roman" w:eastAsia="Times New Roman" w:hAnsi="Times New Roman" w:cs="Times New Roman"/>
          <w:sz w:val="24"/>
          <w:szCs w:val="24"/>
        </w:rPr>
        <w:t xml:space="preserve"> </w:t>
      </w:r>
      <w:r w:rsidR="00F43C9A" w:rsidRPr="00DE7994">
        <w:rPr>
          <w:rStyle w:val="EndnoteReference"/>
          <w:rFonts w:ascii="Times New Roman" w:eastAsia="Times New Roman" w:hAnsi="Times New Roman" w:cs="Times New Roman"/>
          <w:sz w:val="24"/>
          <w:szCs w:val="24"/>
        </w:rPr>
        <w:endnoteReference w:id="104"/>
      </w:r>
      <w:r w:rsidR="00EB7624">
        <w:rPr>
          <w:rFonts w:ascii="Times New Roman" w:eastAsia="Times New Roman" w:hAnsi="Times New Roman" w:cs="Times New Roman"/>
          <w:sz w:val="24"/>
          <w:szCs w:val="24"/>
        </w:rPr>
        <w:t xml:space="preserve">  African Americans are also overrepresented in the prison population.</w:t>
      </w:r>
    </w:p>
    <w:p w:rsidR="00552623" w:rsidRPr="00DE7994" w:rsidRDefault="00552623" w:rsidP="004A5005">
      <w:pPr>
        <w:spacing w:after="0" w:line="240" w:lineRule="auto"/>
        <w:rPr>
          <w:rFonts w:ascii="Times New Roman" w:eastAsia="Times New Roman" w:hAnsi="Times New Roman" w:cs="Times New Roman"/>
          <w:sz w:val="24"/>
          <w:szCs w:val="24"/>
        </w:rPr>
      </w:pPr>
    </w:p>
    <w:p w:rsidR="004A5005" w:rsidRDefault="00F43BCB" w:rsidP="004A5005">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Drug-metabolizing enzymes found primarily in the liver (CYP450) are a major determinant of therapeutic drug response. There are well - established differences between Caucasians, Black populations and Asians in regards to how they metabolize neuroleptic drugs. African Americans </w:t>
      </w:r>
      <w:r w:rsidRPr="008319BF">
        <w:rPr>
          <w:rFonts w:ascii="Times New Roman" w:eastAsia="Times New Roman" w:hAnsi="Times New Roman" w:cs="Times New Roman"/>
          <w:sz w:val="24"/>
          <w:szCs w:val="24"/>
        </w:rPr>
        <w:lastRenderedPageBreak/>
        <w:t xml:space="preserve">and Asians have slower metabolic rates compared with Caucasians.  </w:t>
      </w:r>
      <w:r w:rsidR="00552623">
        <w:rPr>
          <w:rFonts w:ascii="Times New Roman" w:eastAsia="Times New Roman" w:hAnsi="Times New Roman" w:cs="Times New Roman"/>
          <w:sz w:val="24"/>
          <w:szCs w:val="24"/>
        </w:rPr>
        <w:t>Many health care providers were not aware of this and thus commonly over dosed these populations. C</w:t>
      </w:r>
      <w:r w:rsidR="00552623" w:rsidRPr="008319BF">
        <w:rPr>
          <w:rFonts w:ascii="Times New Roman" w:eastAsia="Times New Roman" w:hAnsi="Times New Roman" w:cs="Times New Roman"/>
          <w:sz w:val="24"/>
          <w:szCs w:val="24"/>
        </w:rPr>
        <w:t>linical practice</w:t>
      </w:r>
      <w:r w:rsidR="00552623">
        <w:rPr>
          <w:rFonts w:ascii="Times New Roman" w:eastAsia="Times New Roman" w:hAnsi="Times New Roman" w:cs="Times New Roman"/>
          <w:sz w:val="24"/>
          <w:szCs w:val="24"/>
        </w:rPr>
        <w:t xml:space="preserve"> </w:t>
      </w:r>
      <w:r w:rsidR="00552623" w:rsidRPr="008319BF">
        <w:rPr>
          <w:rFonts w:ascii="Times New Roman" w:eastAsia="Times New Roman" w:hAnsi="Times New Roman" w:cs="Times New Roman"/>
          <w:sz w:val="24"/>
          <w:szCs w:val="24"/>
        </w:rPr>
        <w:t xml:space="preserve">supported by controlled clinical studies has led to a reduction in dosage recommendations for many antidepressants and neuroleptics for these ethnic groups. (Bradford &amp; Kirlin 1998) </w:t>
      </w:r>
      <w:r w:rsidR="00552623" w:rsidRPr="008319BF">
        <w:rPr>
          <w:rFonts w:ascii="Times New Roman" w:eastAsia="Times New Roman" w:hAnsi="Times New Roman" w:cs="Times New Roman"/>
          <w:sz w:val="24"/>
          <w:szCs w:val="24"/>
          <w:vertAlign w:val="superscript"/>
        </w:rPr>
        <w:endnoteReference w:id="105"/>
      </w:r>
      <w:r w:rsidR="00552623" w:rsidRPr="008319BF">
        <w:rPr>
          <w:rFonts w:ascii="Times New Roman" w:eastAsia="Times New Roman" w:hAnsi="Times New Roman" w:cs="Times New Roman"/>
          <w:sz w:val="24"/>
          <w:szCs w:val="24"/>
        </w:rPr>
        <w:t xml:space="preserve">  </w:t>
      </w:r>
      <w:r w:rsidR="00552623">
        <w:rPr>
          <w:rFonts w:ascii="Times New Roman" w:eastAsia="Times New Roman" w:hAnsi="Times New Roman" w:cs="Times New Roman"/>
          <w:sz w:val="24"/>
          <w:szCs w:val="24"/>
        </w:rPr>
        <w:t xml:space="preserve">But </w:t>
      </w:r>
      <w:r w:rsidR="0011686E">
        <w:rPr>
          <w:rFonts w:ascii="Times New Roman" w:eastAsia="Times New Roman" w:hAnsi="Times New Roman" w:cs="Times New Roman"/>
          <w:sz w:val="24"/>
          <w:szCs w:val="24"/>
        </w:rPr>
        <w:t xml:space="preserve">an </w:t>
      </w:r>
      <w:r w:rsidR="00552623">
        <w:rPr>
          <w:rFonts w:ascii="Times New Roman" w:eastAsia="Times New Roman" w:hAnsi="Times New Roman" w:cs="Times New Roman"/>
          <w:sz w:val="24"/>
          <w:szCs w:val="24"/>
        </w:rPr>
        <w:t xml:space="preserve">awareness of this problem </w:t>
      </w:r>
      <w:r w:rsidR="0011686E">
        <w:rPr>
          <w:rFonts w:ascii="Times New Roman" w:eastAsia="Times New Roman" w:hAnsi="Times New Roman" w:cs="Times New Roman"/>
          <w:sz w:val="24"/>
          <w:szCs w:val="24"/>
        </w:rPr>
        <w:t xml:space="preserve">is necessary </w:t>
      </w:r>
      <w:r w:rsidR="00552623">
        <w:rPr>
          <w:rFonts w:ascii="Times New Roman" w:eastAsia="Times New Roman" w:hAnsi="Times New Roman" w:cs="Times New Roman"/>
          <w:sz w:val="24"/>
          <w:szCs w:val="24"/>
        </w:rPr>
        <w:t>and need to be vigilant to make there are proper reductions in the medications</w:t>
      </w:r>
      <w:r w:rsidR="0011686E">
        <w:rPr>
          <w:rFonts w:ascii="Times New Roman" w:eastAsia="Times New Roman" w:hAnsi="Times New Roman" w:cs="Times New Roman"/>
          <w:sz w:val="24"/>
          <w:szCs w:val="24"/>
        </w:rPr>
        <w:t xml:space="preserve"> for these ethnic groups</w:t>
      </w:r>
      <w:r w:rsidR="00552623">
        <w:rPr>
          <w:rFonts w:ascii="Times New Roman" w:eastAsia="Times New Roman" w:hAnsi="Times New Roman" w:cs="Times New Roman"/>
          <w:sz w:val="24"/>
          <w:szCs w:val="24"/>
        </w:rPr>
        <w:t xml:space="preserve"> </w:t>
      </w:r>
      <w:r w:rsidR="00552623" w:rsidRPr="008319BF">
        <w:rPr>
          <w:rFonts w:ascii="Times New Roman" w:eastAsia="Times New Roman" w:hAnsi="Times New Roman" w:cs="Times New Roman"/>
          <w:sz w:val="24"/>
          <w:szCs w:val="24"/>
        </w:rPr>
        <w:t xml:space="preserve"> </w:t>
      </w:r>
    </w:p>
    <w:p w:rsidR="004A5005" w:rsidRDefault="004A5005" w:rsidP="004A5005">
      <w:pPr>
        <w:spacing w:after="0" w:line="240" w:lineRule="auto"/>
        <w:rPr>
          <w:rFonts w:ascii="Times New Roman" w:eastAsia="Times New Roman" w:hAnsi="Times New Roman" w:cs="Times New Roman"/>
          <w:sz w:val="24"/>
          <w:szCs w:val="24"/>
        </w:rPr>
      </w:pPr>
    </w:p>
    <w:p w:rsidR="00067604" w:rsidRDefault="00C93A72" w:rsidP="00067604">
      <w:pPr>
        <w:spacing w:after="0" w:line="240" w:lineRule="auto"/>
        <w:rPr>
          <w:rFonts w:ascii="Times New Roman" w:eastAsia="Times New Roman" w:hAnsi="Times New Roman" w:cs="Times New Roman"/>
          <w:sz w:val="24"/>
          <w:szCs w:val="24"/>
        </w:rPr>
      </w:pPr>
      <w:r w:rsidRPr="00C93A72">
        <w:rPr>
          <w:rFonts w:ascii="Times New Roman" w:eastAsia="Times New Roman" w:hAnsi="Times New Roman" w:cs="Times New Roman"/>
          <w:sz w:val="24"/>
          <w:szCs w:val="24"/>
        </w:rPr>
        <w:t>Latinos make up about 15% of the U.S. population and</w:t>
      </w:r>
      <w:r>
        <w:rPr>
          <w:rFonts w:ascii="Times New Roman" w:eastAsia="Times New Roman" w:hAnsi="Times New Roman" w:cs="Times New Roman"/>
          <w:sz w:val="24"/>
          <w:szCs w:val="24"/>
        </w:rPr>
        <w:t xml:space="preserve"> </w:t>
      </w:r>
      <w:r w:rsidRPr="00C93A72">
        <w:rPr>
          <w:rFonts w:ascii="Times New Roman" w:eastAsia="Times New Roman" w:hAnsi="Times New Roman" w:cs="Times New Roman"/>
          <w:sz w:val="24"/>
          <w:szCs w:val="24"/>
        </w:rPr>
        <w:t>are the fastest growing minority – expected to make up</w:t>
      </w:r>
      <w:r w:rsidR="00067604">
        <w:rPr>
          <w:rFonts w:ascii="Times New Roman" w:eastAsia="Times New Roman" w:hAnsi="Times New Roman" w:cs="Times New Roman"/>
          <w:sz w:val="24"/>
          <w:szCs w:val="24"/>
        </w:rPr>
        <w:t xml:space="preserve"> </w:t>
      </w:r>
      <w:r w:rsidRPr="00C93A72">
        <w:rPr>
          <w:rFonts w:ascii="Times New Roman" w:eastAsia="Times New Roman" w:hAnsi="Times New Roman" w:cs="Times New Roman"/>
          <w:sz w:val="24"/>
          <w:szCs w:val="24"/>
        </w:rPr>
        <w:t>nearly one-fourth of the population by 2050.</w:t>
      </w:r>
      <w:r w:rsidR="00F43C9A">
        <w:rPr>
          <w:rFonts w:ascii="Times New Roman" w:eastAsia="Times New Roman" w:hAnsi="Times New Roman" w:cs="Times New Roman"/>
          <w:sz w:val="24"/>
          <w:szCs w:val="24"/>
        </w:rPr>
        <w:t xml:space="preserve"> </w:t>
      </w:r>
      <w:r w:rsidR="00067604">
        <w:rPr>
          <w:rFonts w:ascii="Times New Roman" w:eastAsia="Times New Roman" w:hAnsi="Times New Roman" w:cs="Times New Roman"/>
          <w:sz w:val="24"/>
          <w:szCs w:val="24"/>
        </w:rPr>
        <w:t xml:space="preserve"> </w:t>
      </w:r>
      <w:r w:rsidR="00067604" w:rsidRPr="00067604">
        <w:rPr>
          <w:rFonts w:ascii="Times New Roman" w:eastAsia="Times New Roman" w:hAnsi="Times New Roman" w:cs="Times New Roman"/>
          <w:sz w:val="24"/>
          <w:szCs w:val="24"/>
        </w:rPr>
        <w:t>Nationally, 33% of Hispanics are uninsured, compared</w:t>
      </w:r>
      <w:r w:rsidR="00067604">
        <w:rPr>
          <w:rFonts w:ascii="Times New Roman" w:eastAsia="Times New Roman" w:hAnsi="Times New Roman" w:cs="Times New Roman"/>
          <w:sz w:val="24"/>
          <w:szCs w:val="24"/>
        </w:rPr>
        <w:t xml:space="preserve"> </w:t>
      </w:r>
      <w:r w:rsidR="00067604" w:rsidRPr="00067604">
        <w:rPr>
          <w:rFonts w:ascii="Times New Roman" w:eastAsia="Times New Roman" w:hAnsi="Times New Roman" w:cs="Times New Roman"/>
          <w:sz w:val="24"/>
          <w:szCs w:val="24"/>
        </w:rPr>
        <w:t>to 16% percent of all Americans</w:t>
      </w:r>
      <w:r w:rsidR="005857B2">
        <w:rPr>
          <w:rFonts w:ascii="Times New Roman" w:eastAsia="Times New Roman" w:hAnsi="Times New Roman" w:cs="Times New Roman"/>
          <w:sz w:val="24"/>
          <w:szCs w:val="24"/>
        </w:rPr>
        <w:t xml:space="preserve"> and </w:t>
      </w:r>
      <w:r w:rsidR="00F43C9A" w:rsidRPr="00F43C9A">
        <w:rPr>
          <w:rFonts w:ascii="Times New Roman" w:eastAsia="Times New Roman" w:hAnsi="Times New Roman" w:cs="Times New Roman"/>
          <w:sz w:val="24"/>
          <w:szCs w:val="24"/>
        </w:rPr>
        <w:t>11%</w:t>
      </w:r>
      <w:r w:rsidR="00F43C9A">
        <w:rPr>
          <w:rFonts w:ascii="Times New Roman" w:eastAsia="Times New Roman" w:hAnsi="Times New Roman" w:cs="Times New Roman"/>
          <w:sz w:val="24"/>
          <w:szCs w:val="24"/>
        </w:rPr>
        <w:t xml:space="preserve"> </w:t>
      </w:r>
      <w:r w:rsidR="005857B2">
        <w:rPr>
          <w:rFonts w:ascii="Times New Roman" w:eastAsia="Times New Roman" w:hAnsi="Times New Roman" w:cs="Times New Roman"/>
          <w:sz w:val="24"/>
          <w:szCs w:val="24"/>
        </w:rPr>
        <w:t>White/Non-Hispanic are uninsured</w:t>
      </w:r>
      <w:r w:rsidR="00067604" w:rsidRPr="00067604">
        <w:rPr>
          <w:rFonts w:ascii="Times New Roman" w:eastAsia="Times New Roman" w:hAnsi="Times New Roman" w:cs="Times New Roman"/>
          <w:sz w:val="24"/>
          <w:szCs w:val="24"/>
        </w:rPr>
        <w:t>.</w:t>
      </w:r>
      <w:r w:rsidR="005857B2">
        <w:rPr>
          <w:rFonts w:ascii="Times New Roman" w:eastAsia="Times New Roman" w:hAnsi="Times New Roman" w:cs="Times New Roman"/>
          <w:sz w:val="24"/>
          <w:szCs w:val="24"/>
        </w:rPr>
        <w:t>(U.S. Census 2008)</w:t>
      </w:r>
      <w:r w:rsidR="00067604">
        <w:rPr>
          <w:rFonts w:ascii="Times New Roman" w:eastAsia="Times New Roman" w:hAnsi="Times New Roman" w:cs="Times New Roman"/>
          <w:sz w:val="24"/>
          <w:szCs w:val="24"/>
        </w:rPr>
        <w:t xml:space="preserve">  This is the main reason that this group is not using expensive off-label psychiatric drugs.  </w:t>
      </w:r>
      <w:r w:rsidR="00F43C9A">
        <w:rPr>
          <w:rFonts w:ascii="Times New Roman" w:eastAsia="Times New Roman" w:hAnsi="Times New Roman" w:cs="Times New Roman"/>
          <w:sz w:val="24"/>
          <w:szCs w:val="24"/>
        </w:rPr>
        <w:t xml:space="preserve">The pharmaceutical industry </w:t>
      </w:r>
      <w:r w:rsidR="00067604">
        <w:rPr>
          <w:rFonts w:ascii="Times New Roman" w:eastAsia="Times New Roman" w:hAnsi="Times New Roman" w:cs="Times New Roman"/>
          <w:sz w:val="24"/>
          <w:szCs w:val="24"/>
        </w:rPr>
        <w:t xml:space="preserve">is targeting this group as a new customer base for off-label psychiatric products. </w:t>
      </w:r>
      <w:r w:rsidR="00067604" w:rsidRPr="00067604">
        <w:rPr>
          <w:rFonts w:ascii="Times New Roman" w:eastAsia="Times New Roman" w:hAnsi="Times New Roman" w:cs="Times New Roman"/>
          <w:sz w:val="24"/>
          <w:szCs w:val="24"/>
        </w:rPr>
        <w:t>Estimates of the use of alternative and complementary therapies by Hispanic Americans have ranged from 7 to 44%.</w:t>
      </w:r>
      <w:r w:rsidR="00067604">
        <w:rPr>
          <w:rFonts w:ascii="Times New Roman" w:eastAsia="Times New Roman" w:hAnsi="Times New Roman" w:cs="Times New Roman"/>
          <w:sz w:val="24"/>
          <w:szCs w:val="24"/>
        </w:rPr>
        <w:t xml:space="preserve"> </w:t>
      </w:r>
      <w:r w:rsidR="00067604">
        <w:rPr>
          <w:rStyle w:val="EndnoteReference"/>
          <w:rFonts w:ascii="Times New Roman" w:eastAsia="Times New Roman" w:hAnsi="Times New Roman" w:cs="Times New Roman"/>
          <w:sz w:val="24"/>
          <w:szCs w:val="24"/>
        </w:rPr>
        <w:endnoteReference w:id="106"/>
      </w:r>
      <w:r w:rsidR="00067604">
        <w:rPr>
          <w:rFonts w:ascii="Times New Roman" w:eastAsia="Times New Roman" w:hAnsi="Times New Roman" w:cs="Times New Roman"/>
          <w:sz w:val="24"/>
          <w:szCs w:val="24"/>
        </w:rPr>
        <w:t xml:space="preserve"> </w:t>
      </w:r>
      <w:r w:rsidR="0011686E">
        <w:rPr>
          <w:rFonts w:ascii="Times New Roman" w:eastAsia="Times New Roman" w:hAnsi="Times New Roman" w:cs="Times New Roman"/>
          <w:sz w:val="24"/>
          <w:szCs w:val="24"/>
        </w:rPr>
        <w:t xml:space="preserve"> </w:t>
      </w:r>
      <w:r w:rsidR="00A27AAE">
        <w:rPr>
          <w:rFonts w:ascii="Times New Roman" w:eastAsia="Times New Roman" w:hAnsi="Times New Roman" w:cs="Times New Roman"/>
          <w:sz w:val="24"/>
          <w:szCs w:val="24"/>
        </w:rPr>
        <w:t xml:space="preserve">Many ethnic and racial minority groups </w:t>
      </w:r>
    </w:p>
    <w:p w:rsidR="00067604" w:rsidRDefault="00067604" w:rsidP="00067604">
      <w:pPr>
        <w:spacing w:after="0" w:line="240" w:lineRule="auto"/>
        <w:rPr>
          <w:rFonts w:ascii="Times New Roman" w:eastAsia="Times New Roman" w:hAnsi="Times New Roman" w:cs="Times New Roman"/>
          <w:sz w:val="24"/>
          <w:szCs w:val="24"/>
        </w:rPr>
      </w:pPr>
    </w:p>
    <w:p w:rsidR="00F43BCB" w:rsidRPr="008319BF" w:rsidRDefault="00F43BCB" w:rsidP="0074449E">
      <w:pPr>
        <w:pStyle w:val="Heading2"/>
      </w:pPr>
      <w:bookmarkStart w:id="82" w:name="_Human_Rights_of_2"/>
      <w:bookmarkStart w:id="83" w:name="_Toc414015952"/>
      <w:bookmarkStart w:id="84" w:name="_Toc414292330"/>
      <w:bookmarkEnd w:id="82"/>
      <w:r w:rsidRPr="008319BF">
        <w:t>Veterans</w:t>
      </w:r>
      <w:bookmarkEnd w:id="83"/>
      <w:bookmarkEnd w:id="84"/>
    </w:p>
    <w:p w:rsidR="000336CD" w:rsidRDefault="000336CD" w:rsidP="00357EA4">
      <w:pPr>
        <w:autoSpaceDE w:val="0"/>
        <w:autoSpaceDN w:val="0"/>
        <w:adjustRightInd w:val="0"/>
        <w:spacing w:after="0" w:line="240" w:lineRule="auto"/>
        <w:rPr>
          <w:rFonts w:ascii="Times New Roman" w:eastAsia="Times New Roman" w:hAnsi="Times New Roman" w:cs="Times New Roman"/>
          <w:sz w:val="24"/>
          <w:szCs w:val="24"/>
        </w:rPr>
      </w:pPr>
    </w:p>
    <w:p w:rsidR="005857B2" w:rsidRDefault="00F43BCB" w:rsidP="00357EA4">
      <w:pPr>
        <w:autoSpaceDE w:val="0"/>
        <w:autoSpaceDN w:val="0"/>
        <w:adjustRightInd w:val="0"/>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Veterans Administration was paying for medication “off-label” that was not effective or safe. Although Risperdal® (risperidone), which is a second generation anti-psychotic drug, is approved to treat severe mental conditions such as schizophrenia and bipolar disorder, the US Veterans Administration doctors were prescribing the drug “off-label” to treat Post Traumatic Stress Disorder or PTSD.  But a study by Veterans Administration researchers published in the Journal of the American Medical Association concluded, "Treatment with risperidone compared with placebo did not reduce PTSD symptoms." </w:t>
      </w:r>
      <w:r w:rsidRPr="008319BF">
        <w:rPr>
          <w:rFonts w:ascii="Times New Roman" w:eastAsia="Times New Roman" w:hAnsi="Times New Roman" w:cs="Times New Roman"/>
          <w:sz w:val="24"/>
          <w:szCs w:val="24"/>
          <w:vertAlign w:val="superscript"/>
        </w:rPr>
        <w:endnoteReference w:id="107"/>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08"/>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09"/>
      </w:r>
      <w:r w:rsidRPr="008319BF">
        <w:rPr>
          <w:rFonts w:ascii="Times New Roman" w:eastAsia="Times New Roman" w:hAnsi="Times New Roman" w:cs="Times New Roman"/>
          <w:sz w:val="24"/>
          <w:szCs w:val="24"/>
        </w:rPr>
        <w:t xml:space="preserve">  </w:t>
      </w:r>
    </w:p>
    <w:p w:rsidR="00552623" w:rsidRDefault="00552623" w:rsidP="00357EA4">
      <w:pPr>
        <w:autoSpaceDE w:val="0"/>
        <w:autoSpaceDN w:val="0"/>
        <w:adjustRightInd w:val="0"/>
        <w:spacing w:after="0" w:line="240" w:lineRule="auto"/>
        <w:rPr>
          <w:rFonts w:ascii="Times New Roman" w:eastAsia="Times New Roman" w:hAnsi="Times New Roman" w:cs="Times New Roman"/>
          <w:sz w:val="24"/>
          <w:szCs w:val="24"/>
        </w:rPr>
      </w:pPr>
    </w:p>
    <w:p w:rsidR="00B84207" w:rsidRDefault="00B84207" w:rsidP="00B84207">
      <w:pPr>
        <w:autoSpaceDE w:val="0"/>
        <w:autoSpaceDN w:val="0"/>
        <w:adjustRightInd w:val="0"/>
        <w:spacing w:after="0" w:line="240" w:lineRule="auto"/>
        <w:rPr>
          <w:rFonts w:ascii="Times New Roman" w:hAnsi="Times New Roman" w:cs="Times New Roman"/>
          <w:sz w:val="24"/>
          <w:szCs w:val="24"/>
        </w:rPr>
      </w:pPr>
      <w:r w:rsidRPr="00B84207">
        <w:rPr>
          <w:rFonts w:ascii="Times New Roman" w:hAnsi="Times New Roman" w:cs="Times New Roman"/>
          <w:sz w:val="24"/>
          <w:szCs w:val="24"/>
        </w:rPr>
        <w:t>In the US, a veteran dies by suicide every 80 minutes, 18 a day, or 6,500 suicides a year.</w:t>
      </w:r>
      <w:r>
        <w:rPr>
          <w:rStyle w:val="EndnoteReference"/>
          <w:rFonts w:ascii="Times New Roman" w:hAnsi="Times New Roman" w:cs="Times New Roman"/>
          <w:sz w:val="24"/>
          <w:szCs w:val="24"/>
        </w:rPr>
        <w:endnoteReference w:id="110"/>
      </w:r>
      <w:r>
        <w:rPr>
          <w:rFonts w:ascii="Times New Roman" w:hAnsi="Times New Roman" w:cs="Times New Roman"/>
          <w:sz w:val="24"/>
          <w:szCs w:val="24"/>
        </w:rPr>
        <w:t xml:space="preserve">  </w:t>
      </w:r>
      <w:r w:rsidR="00552623">
        <w:rPr>
          <w:rFonts w:ascii="Times New Roman" w:hAnsi="Times New Roman" w:cs="Times New Roman"/>
          <w:sz w:val="24"/>
          <w:szCs w:val="24"/>
        </w:rPr>
        <w:t xml:space="preserve">Many of these veterans are taking off-label psychiatric drugs which carry a FDA black box warning that the drug increases the risk of suicide.  </w:t>
      </w:r>
      <w:r w:rsidRPr="00B84207">
        <w:rPr>
          <w:rFonts w:ascii="Times New Roman" w:hAnsi="Times New Roman" w:cs="Times New Roman"/>
          <w:sz w:val="24"/>
          <w:szCs w:val="24"/>
        </w:rPr>
        <w:t>Suicide occurs at alarmingly high levels among N</w:t>
      </w:r>
      <w:r w:rsidR="0011686E">
        <w:rPr>
          <w:rFonts w:ascii="Times New Roman" w:hAnsi="Times New Roman" w:cs="Times New Roman"/>
          <w:sz w:val="24"/>
          <w:szCs w:val="24"/>
        </w:rPr>
        <w:t xml:space="preserve">ative American veterans and </w:t>
      </w:r>
      <w:r w:rsidRPr="00B84207">
        <w:rPr>
          <w:rFonts w:ascii="Times New Roman" w:hAnsi="Times New Roman" w:cs="Times New Roman"/>
          <w:sz w:val="24"/>
          <w:szCs w:val="24"/>
        </w:rPr>
        <w:t>post-traumatic stress disorder has been identified as especially prevale</w:t>
      </w:r>
      <w:r w:rsidR="0011686E">
        <w:rPr>
          <w:rFonts w:ascii="Times New Roman" w:hAnsi="Times New Roman" w:cs="Times New Roman"/>
          <w:sz w:val="24"/>
          <w:szCs w:val="24"/>
        </w:rPr>
        <w:t>nt in Native American veterans as compared to whites</w:t>
      </w:r>
      <w:r>
        <w:rPr>
          <w:rFonts w:ascii="Times New Roman" w:hAnsi="Times New Roman" w:cs="Times New Roman"/>
          <w:sz w:val="24"/>
          <w:szCs w:val="24"/>
        </w:rPr>
        <w:t>.</w:t>
      </w:r>
    </w:p>
    <w:p w:rsidR="00A27AAE" w:rsidRDefault="00A27AAE" w:rsidP="00B84207">
      <w:pPr>
        <w:autoSpaceDE w:val="0"/>
        <w:autoSpaceDN w:val="0"/>
        <w:adjustRightInd w:val="0"/>
        <w:spacing w:after="0" w:line="240" w:lineRule="auto"/>
        <w:rPr>
          <w:rFonts w:ascii="Times New Roman" w:hAnsi="Times New Roman" w:cs="Times New Roman"/>
          <w:sz w:val="24"/>
          <w:szCs w:val="24"/>
        </w:rPr>
      </w:pPr>
    </w:p>
    <w:p w:rsidR="00A27AAE" w:rsidRDefault="00A27AAE" w:rsidP="00B84207">
      <w:pPr>
        <w:autoSpaceDE w:val="0"/>
        <w:autoSpaceDN w:val="0"/>
        <w:adjustRightInd w:val="0"/>
        <w:spacing w:after="0" w:line="240" w:lineRule="auto"/>
        <w:rPr>
          <w:rFonts w:ascii="Times New Roman" w:hAnsi="Times New Roman" w:cs="Times New Roman"/>
          <w:sz w:val="24"/>
          <w:szCs w:val="24"/>
        </w:rPr>
      </w:pPr>
      <w:r w:rsidRPr="008319BF">
        <w:rPr>
          <w:rFonts w:ascii="Times New Roman" w:eastAsia="Times New Roman" w:hAnsi="Times New Roman" w:cs="Times New Roman"/>
          <w:sz w:val="24"/>
          <w:szCs w:val="24"/>
        </w:rPr>
        <w:t xml:space="preserve">Dr. Peter Breggin MD warns that </w:t>
      </w:r>
      <w:r w:rsidRPr="008319BF">
        <w:rPr>
          <w:rFonts w:ascii="Times New Roman" w:hAnsi="Times New Roman" w:cs="Times New Roman"/>
          <w:sz w:val="24"/>
          <w:szCs w:val="24"/>
        </w:rPr>
        <w:t>the newer antidepressants frequently cause suicide, violence, and manic-like symptoms of activation or overstimulation, presenting serious hazards to active-duty soldiers who carry weapons under stressful conditions.  Dr. Breggin recommends that antidepressants should not be prescribed to soldiers during or after deployment. The symptoms induced by antidepressants can mimic posttraumatic stress disorder and are likely to worsen this common disorder in soldiers, increasing the hazard when they are prescribed to military personnel.</w:t>
      </w:r>
      <w:r w:rsidRPr="008319BF">
        <w:rPr>
          <w:rStyle w:val="EndnoteReference"/>
          <w:rFonts w:ascii="Times New Roman" w:hAnsi="Times New Roman" w:cs="Times New Roman"/>
          <w:sz w:val="24"/>
          <w:szCs w:val="24"/>
        </w:rPr>
        <w:endnoteReference w:id="111"/>
      </w:r>
      <w:r>
        <w:rPr>
          <w:rFonts w:ascii="Times New Roman" w:hAnsi="Times New Roman" w:cs="Times New Roman"/>
          <w:sz w:val="24"/>
          <w:szCs w:val="24"/>
        </w:rPr>
        <w:t xml:space="preserve">  </w:t>
      </w:r>
    </w:p>
    <w:p w:rsidR="006B2EFA" w:rsidRDefault="006B2EFA" w:rsidP="00B84207">
      <w:pPr>
        <w:autoSpaceDE w:val="0"/>
        <w:autoSpaceDN w:val="0"/>
        <w:adjustRightInd w:val="0"/>
        <w:spacing w:after="0" w:line="240" w:lineRule="auto"/>
        <w:rPr>
          <w:rFonts w:ascii="Times New Roman" w:hAnsi="Times New Roman" w:cs="Times New Roman"/>
          <w:sz w:val="24"/>
          <w:szCs w:val="24"/>
        </w:rPr>
      </w:pPr>
    </w:p>
    <w:p w:rsidR="008A54C1" w:rsidRDefault="008A54C1" w:rsidP="00B84207">
      <w:pPr>
        <w:autoSpaceDE w:val="0"/>
        <w:autoSpaceDN w:val="0"/>
        <w:adjustRightInd w:val="0"/>
        <w:spacing w:after="0" w:line="240" w:lineRule="auto"/>
        <w:rPr>
          <w:rFonts w:ascii="Times New Roman" w:hAnsi="Times New Roman" w:cs="Times New Roman"/>
          <w:sz w:val="24"/>
          <w:szCs w:val="24"/>
        </w:rPr>
      </w:pPr>
    </w:p>
    <w:p w:rsidR="008A54C1" w:rsidRDefault="008A54C1" w:rsidP="00B84207">
      <w:pPr>
        <w:autoSpaceDE w:val="0"/>
        <w:autoSpaceDN w:val="0"/>
        <w:adjustRightInd w:val="0"/>
        <w:spacing w:after="0" w:line="240" w:lineRule="auto"/>
        <w:rPr>
          <w:rFonts w:ascii="Times New Roman" w:hAnsi="Times New Roman" w:cs="Times New Roman"/>
          <w:sz w:val="24"/>
          <w:szCs w:val="24"/>
        </w:rPr>
      </w:pPr>
    </w:p>
    <w:p w:rsidR="008A54C1" w:rsidRPr="00B84207" w:rsidRDefault="008A54C1" w:rsidP="00B84207">
      <w:pPr>
        <w:autoSpaceDE w:val="0"/>
        <w:autoSpaceDN w:val="0"/>
        <w:adjustRightInd w:val="0"/>
        <w:spacing w:after="0" w:line="240" w:lineRule="auto"/>
        <w:rPr>
          <w:rFonts w:ascii="Times New Roman" w:hAnsi="Times New Roman" w:cs="Times New Roman"/>
          <w:sz w:val="24"/>
          <w:szCs w:val="24"/>
        </w:rPr>
      </w:pPr>
    </w:p>
    <w:p w:rsidR="00F43BCB" w:rsidRPr="008319BF" w:rsidRDefault="0080612C" w:rsidP="00F43BCB">
      <w:pPr>
        <w:pBdr>
          <w:top w:val="single" w:sz="24" w:space="0" w:color="5B9BD5"/>
          <w:left w:val="single" w:sz="24" w:space="0" w:color="5B9BD5"/>
          <w:bottom w:val="single" w:sz="24" w:space="0" w:color="5B9BD5"/>
          <w:right w:val="single" w:sz="24" w:space="0" w:color="5B9BD5"/>
        </w:pBdr>
        <w:shd w:val="clear" w:color="auto" w:fill="5B9BD5"/>
        <w:spacing w:before="100" w:after="0" w:line="240" w:lineRule="auto"/>
        <w:outlineLvl w:val="0"/>
        <w:rPr>
          <w:rFonts w:ascii="Times New Roman" w:eastAsia="Times New Roman" w:hAnsi="Times New Roman" w:cs="Times New Roman"/>
          <w:caps/>
          <w:color w:val="FFFFFF"/>
          <w:spacing w:val="15"/>
          <w:sz w:val="24"/>
          <w:szCs w:val="24"/>
        </w:rPr>
      </w:pPr>
      <w:bookmarkStart w:id="85" w:name="_Review_of_Psychiatric"/>
      <w:bookmarkStart w:id="86" w:name="_Toc414015953"/>
      <w:bookmarkStart w:id="87" w:name="_Toc414292331"/>
      <w:bookmarkEnd w:id="85"/>
      <w:r w:rsidRPr="008319BF">
        <w:rPr>
          <w:rFonts w:ascii="Times New Roman" w:eastAsia="Times New Roman" w:hAnsi="Times New Roman" w:cs="Times New Roman"/>
          <w:caps/>
          <w:color w:val="FFFFFF"/>
          <w:spacing w:val="15"/>
          <w:sz w:val="24"/>
          <w:szCs w:val="24"/>
        </w:rPr>
        <w:lastRenderedPageBreak/>
        <w:t>VII</w:t>
      </w:r>
      <w:r w:rsidR="003145A8" w:rsidRPr="008319BF">
        <w:rPr>
          <w:rFonts w:ascii="Times New Roman" w:eastAsia="Times New Roman" w:hAnsi="Times New Roman" w:cs="Times New Roman"/>
          <w:caps/>
          <w:color w:val="FFFFFF"/>
          <w:spacing w:val="15"/>
          <w:sz w:val="24"/>
          <w:szCs w:val="24"/>
        </w:rPr>
        <w:t>I</w:t>
      </w:r>
      <w:r w:rsidRPr="008319BF">
        <w:rPr>
          <w:rFonts w:ascii="Times New Roman" w:eastAsia="Times New Roman" w:hAnsi="Times New Roman" w:cs="Times New Roman"/>
          <w:caps/>
          <w:color w:val="FFFFFF"/>
          <w:spacing w:val="15"/>
          <w:sz w:val="24"/>
          <w:szCs w:val="24"/>
        </w:rPr>
        <w:t xml:space="preserve">.  </w:t>
      </w:r>
      <w:r w:rsidR="00F43BCB" w:rsidRPr="008319BF">
        <w:rPr>
          <w:rFonts w:ascii="Times New Roman" w:eastAsia="Times New Roman" w:hAnsi="Times New Roman" w:cs="Times New Roman"/>
          <w:caps/>
          <w:color w:val="FFFFFF"/>
          <w:spacing w:val="15"/>
          <w:sz w:val="24"/>
          <w:szCs w:val="24"/>
        </w:rPr>
        <w:t>Review of Psychiatric Drugging</w:t>
      </w:r>
      <w:bookmarkEnd w:id="86"/>
      <w:bookmarkEnd w:id="87"/>
    </w:p>
    <w:p w:rsidR="00F43BCB" w:rsidRPr="008319BF" w:rsidRDefault="00F43BCB" w:rsidP="00F43BCB">
      <w:pPr>
        <w:spacing w:before="100" w:after="200" w:line="276" w:lineRule="auto"/>
        <w:rPr>
          <w:rFonts w:ascii="Times New Roman" w:eastAsia="Times New Roman" w:hAnsi="Times New Roman" w:cs="Times New Roman"/>
          <w:sz w:val="24"/>
          <w:szCs w:val="24"/>
        </w:rPr>
      </w:pPr>
      <w:bookmarkStart w:id="88" w:name="_Effects_of_Psychiatric"/>
      <w:bookmarkEnd w:id="88"/>
    </w:p>
    <w:p w:rsidR="00F43BCB" w:rsidRPr="008319BF" w:rsidRDefault="00F43BCB" w:rsidP="0074449E">
      <w:pPr>
        <w:pStyle w:val="Heading2"/>
      </w:pPr>
      <w:bookmarkStart w:id="89" w:name="_Toc414015954"/>
      <w:bookmarkStart w:id="90" w:name="_Toc414292332"/>
      <w:r w:rsidRPr="008319BF">
        <w:t>Effects of Psychiatric Medications</w:t>
      </w:r>
      <w:bookmarkEnd w:id="89"/>
      <w:bookmarkEnd w:id="90"/>
    </w:p>
    <w:p w:rsidR="000336CD" w:rsidRDefault="000336CD"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All psychotropic medications have the potential to induce serious adverse effects and these psychiatric drugs are not of small risk because they cause massive changes in the way the brain functions. Long term studies have indicated that there are severe debilitating and sometimes fatal effects of these drugs. Possible negative effects are minimized or not even discussed at all. There are risks of long term psychological harm, physical harm, social harm and economic harm. Many of these drugs cause symptoms that can themselves be construed as mental illness. The probability of developing Parkinson’s like symptoms is also great.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However in the U.S.A., doctors routinely prescribe medications based on little evidence of their benefit. This is because there are high profit incentives to prescribe newly patented medications and many inducements offered by the pharmaceutical companies for doctor to prescribe their products. In an examination of off-label prescribing of 160 common drugs, off-label use was also found to account for 21% of all prescriptions, and most off-label drug uses (73%) were shown to have little or no scientific support.  The highest rates of off-label use were for anticonvulsants (74%), antipsychotics (60%), and antibiotics (41%).  Atypical antipsychotics and antidepressants were particularly likely to be used off-label without strong evidence. </w:t>
      </w:r>
      <w:r w:rsidRPr="008319BF">
        <w:rPr>
          <w:rFonts w:ascii="Times New Roman" w:eastAsia="Arial Unicode MS" w:hAnsi="Times New Roman" w:cs="Times New Roman"/>
          <w:sz w:val="24"/>
          <w:szCs w:val="24"/>
          <w:vertAlign w:val="superscript"/>
        </w:rPr>
        <w:endnoteReference w:id="112"/>
      </w:r>
      <w:r w:rsidRPr="008319BF">
        <w:rPr>
          <w:rFonts w:ascii="Times New Roman" w:eastAsia="Arial Unicode MS" w:hAnsi="Times New Roman" w:cs="Times New Roman"/>
          <w:sz w:val="24"/>
          <w:szCs w:val="24"/>
        </w:rPr>
        <w:t xml:space="preserve">  The very drugs which are most often prescribed off-label with little or no scientific support to indicate that the medication is truly beneficial to the patient, actually are the same drugs which commonly cause serious debilitating medical conditions and even death.  </w:t>
      </w:r>
    </w:p>
    <w:p w:rsidR="00FC119A" w:rsidRPr="008319BF" w:rsidRDefault="00FC119A" w:rsidP="00F43BCB">
      <w:pPr>
        <w:spacing w:after="0" w:line="240" w:lineRule="auto"/>
        <w:rPr>
          <w:rFonts w:ascii="Times New Roman" w:eastAsia="Arial Unicode MS" w:hAnsi="Times New Roman" w:cs="Times New Roman"/>
          <w:sz w:val="24"/>
          <w:szCs w:val="24"/>
        </w:rPr>
      </w:pPr>
    </w:p>
    <w:p w:rsidR="00F43BCB" w:rsidRPr="008319BF" w:rsidRDefault="00F43BCB" w:rsidP="0074449E">
      <w:pPr>
        <w:pStyle w:val="Heading2"/>
        <w:rPr>
          <w:rFonts w:eastAsia="Arial Unicode MS"/>
        </w:rPr>
      </w:pPr>
      <w:bookmarkStart w:id="91" w:name="_Toc414292333"/>
      <w:r w:rsidRPr="008319BF">
        <w:rPr>
          <w:rFonts w:eastAsia="Arial Unicode MS"/>
        </w:rPr>
        <w:t>ADVERSE EFFECTS OF NEUROLEPTIC/ANTI-PSYCHOTIC MEDICATIONS</w:t>
      </w:r>
      <w:bookmarkEnd w:id="91"/>
      <w:r w:rsidRPr="008319BF">
        <w:rPr>
          <w:rFonts w:eastAsia="Arial Unicode MS"/>
        </w:rPr>
        <w:t xml:space="preserve"> </w:t>
      </w:r>
    </w:p>
    <w:p w:rsidR="000336CD" w:rsidRDefault="000336CD" w:rsidP="00F43BCB">
      <w:pPr>
        <w:spacing w:after="0" w:line="240" w:lineRule="auto"/>
        <w:rPr>
          <w:rFonts w:ascii="Times New Roman" w:eastAsia="Arial Unicode MS" w:hAnsi="Times New Roman" w:cs="Times New Roman"/>
          <w:sz w:val="24"/>
          <w:szCs w:val="24"/>
        </w:rPr>
      </w:pPr>
    </w:p>
    <w:p w:rsidR="00F43BCB"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Psychiatric medications have unpleasant and sometime irreversible side effects that make them extremely undesirable to patients.  These side effects include: vomiting, erectile dysfunction, difficulty concentrating, anxiety, dry mouth or excessive salivation, depression, feeling tired all the time, sleep disturbances or nerve damage.   Patients can have coherent and valid reasons for refusing medication. </w:t>
      </w:r>
      <w:r w:rsidR="000D5B78">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rPr>
        <w:t xml:space="preserve">Many patients have rational reasons for rejecting treatment and concerns about the severe and potentially life-threatening side effects of psychotropic medications.  Serious side effects include tardive dyskinesia, neurololeptic malignant syndrome, and akathisia.  In addition chronic use of these medications can lead to Parkinson’s disease symptoms, chronic psychosis, as well as early death.  Many patients wish to discontinue their medication and need competent medical help to do so.  </w:t>
      </w:r>
    </w:p>
    <w:p w:rsidR="007910BB" w:rsidRDefault="007910B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These drugs, over time, produce these results:</w:t>
      </w:r>
    </w:p>
    <w:p w:rsidR="00F43BCB" w:rsidRPr="008319BF" w:rsidRDefault="00F43BCB" w:rsidP="00577114">
      <w:pPr>
        <w:rPr>
          <w:rFonts w:ascii="Times New Roman" w:hAnsi="Times New Roman" w:cs="Times New Roman"/>
          <w:sz w:val="24"/>
          <w:szCs w:val="24"/>
        </w:rPr>
      </w:pPr>
    </w:p>
    <w:p w:rsidR="00F43BCB" w:rsidRPr="008319BF" w:rsidRDefault="00F43BCB" w:rsidP="00577114">
      <w:pPr>
        <w:pStyle w:val="ListParagraph"/>
        <w:numPr>
          <w:ilvl w:val="0"/>
          <w:numId w:val="29"/>
        </w:numPr>
        <w:rPr>
          <w:rFonts w:ascii="Times New Roman" w:eastAsia="Arial Unicode MS" w:hAnsi="Times New Roman"/>
          <w:sz w:val="24"/>
          <w:szCs w:val="24"/>
        </w:rPr>
      </w:pPr>
      <w:r w:rsidRPr="008319BF">
        <w:rPr>
          <w:rFonts w:ascii="Times New Roman" w:eastAsia="Arial Unicode MS" w:hAnsi="Times New Roman"/>
          <w:sz w:val="24"/>
          <w:szCs w:val="24"/>
        </w:rPr>
        <w:t>They increase the likelihood that a person will become chronically ill.</w:t>
      </w:r>
    </w:p>
    <w:p w:rsidR="00F43BCB" w:rsidRPr="008319BF" w:rsidRDefault="00F43BCB" w:rsidP="00577114">
      <w:pPr>
        <w:pStyle w:val="ListParagraph"/>
        <w:numPr>
          <w:ilvl w:val="0"/>
          <w:numId w:val="29"/>
        </w:numPr>
        <w:rPr>
          <w:rFonts w:ascii="Times New Roman" w:eastAsia="Arial Unicode MS" w:hAnsi="Times New Roman"/>
          <w:sz w:val="24"/>
          <w:szCs w:val="24"/>
        </w:rPr>
      </w:pPr>
      <w:r w:rsidRPr="008319BF">
        <w:rPr>
          <w:rFonts w:ascii="Times New Roman" w:eastAsia="Arial Unicode MS" w:hAnsi="Times New Roman"/>
          <w:sz w:val="24"/>
          <w:szCs w:val="24"/>
        </w:rPr>
        <w:t>They cause a host of debilitating side effects</w:t>
      </w:r>
      <w:r w:rsidR="00577114" w:rsidRPr="008319BF">
        <w:rPr>
          <w:rFonts w:ascii="Times New Roman" w:eastAsia="Arial Unicode MS" w:hAnsi="Times New Roman"/>
          <w:sz w:val="24"/>
          <w:szCs w:val="24"/>
        </w:rPr>
        <w:t xml:space="preserve"> and dramatically decrease recovery</w:t>
      </w:r>
      <w:r w:rsidRPr="008319BF">
        <w:rPr>
          <w:rFonts w:ascii="Times New Roman" w:eastAsia="Arial Unicode MS" w:hAnsi="Times New Roman"/>
          <w:sz w:val="24"/>
          <w:szCs w:val="24"/>
        </w:rPr>
        <w:t>.</w:t>
      </w:r>
    </w:p>
    <w:p w:rsidR="00577114" w:rsidRPr="008319BF" w:rsidRDefault="00F43BCB" w:rsidP="00577114">
      <w:pPr>
        <w:pStyle w:val="ListParagraph"/>
        <w:numPr>
          <w:ilvl w:val="0"/>
          <w:numId w:val="29"/>
        </w:numPr>
        <w:rPr>
          <w:rFonts w:ascii="Times New Roman" w:hAnsi="Times New Roman"/>
          <w:sz w:val="24"/>
          <w:szCs w:val="24"/>
        </w:rPr>
      </w:pPr>
      <w:r w:rsidRPr="008319BF">
        <w:rPr>
          <w:rFonts w:ascii="Times New Roman" w:eastAsia="Arial Unicode MS" w:hAnsi="Times New Roman"/>
          <w:sz w:val="24"/>
          <w:szCs w:val="24"/>
        </w:rPr>
        <w:lastRenderedPageBreak/>
        <w:t>They lead to early death.</w:t>
      </w:r>
    </w:p>
    <w:p w:rsidR="00577114" w:rsidRPr="008319BF" w:rsidRDefault="00577114" w:rsidP="00577114">
      <w:pPr>
        <w:pStyle w:val="ListParagraph"/>
        <w:numPr>
          <w:ilvl w:val="0"/>
          <w:numId w:val="29"/>
        </w:numPr>
        <w:rPr>
          <w:rFonts w:ascii="Times New Roman" w:eastAsia="Arial Unicode MS" w:hAnsi="Times New Roman"/>
          <w:sz w:val="24"/>
          <w:szCs w:val="24"/>
        </w:rPr>
      </w:pPr>
      <w:r w:rsidRPr="008319BF">
        <w:rPr>
          <w:rFonts w:ascii="Times New Roman" w:eastAsia="Arial Unicode MS" w:hAnsi="Times New Roman"/>
          <w:sz w:val="24"/>
          <w:szCs w:val="24"/>
        </w:rPr>
        <w:t>They increase rather than decrease violence</w:t>
      </w: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Some of the serious, debilitating and sometimes fatal side effects of psychiatric medications include: </w:t>
      </w:r>
    </w:p>
    <w:p w:rsidR="00F43BCB" w:rsidRPr="008319BF" w:rsidRDefault="00F43BCB" w:rsidP="00F43BCB">
      <w:pPr>
        <w:spacing w:after="0" w:line="240" w:lineRule="auto"/>
        <w:ind w:left="709"/>
        <w:rPr>
          <w:rFonts w:ascii="Times New Roman" w:eastAsia="Arial Unicode MS" w:hAnsi="Times New Roman" w:cs="Times New Roman"/>
          <w:sz w:val="24"/>
          <w:szCs w:val="24"/>
        </w:rPr>
      </w:pP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 xml:space="preserve">Parkinson’s disease </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 xml:space="preserve">Serotonin Syndrome </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Neruoleptic Malignant Syndrome</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Neuroleptic Induced Deficit Syndrome:</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 xml:space="preserve">Tardive Dyskinesia    </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SSRI Discontinuation Syndrome</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 xml:space="preserve">Serotonin Syndrome </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Tardive Dysmentia and Tardive Psychosis</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Neuroleptic Induced Deficit Syndrome</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White blood cell abnormalities</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 xml:space="preserve">Acute Closed Angle Glaucoma </w:t>
      </w:r>
    </w:p>
    <w:p w:rsidR="00F43BCB"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Hyperglycemia and Diabetes Mellitus</w:t>
      </w:r>
    </w:p>
    <w:p w:rsidR="006E00D8" w:rsidRPr="008319BF" w:rsidRDefault="00F43BCB"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 xml:space="preserve">Seizures </w:t>
      </w:r>
    </w:p>
    <w:p w:rsidR="006E00D8" w:rsidRPr="008319BF" w:rsidRDefault="006E00D8" w:rsidP="006E00D8">
      <w:pPr>
        <w:pStyle w:val="ListParagraph"/>
        <w:numPr>
          <w:ilvl w:val="0"/>
          <w:numId w:val="34"/>
        </w:numPr>
        <w:spacing w:after="0" w:line="240" w:lineRule="auto"/>
        <w:rPr>
          <w:rFonts w:ascii="Times New Roman" w:eastAsia="Arial Unicode MS" w:hAnsi="Times New Roman"/>
          <w:sz w:val="24"/>
          <w:szCs w:val="24"/>
        </w:rPr>
      </w:pPr>
      <w:r w:rsidRPr="008319BF">
        <w:rPr>
          <w:rFonts w:ascii="Times New Roman" w:eastAsia="Arial Unicode MS" w:hAnsi="Times New Roman"/>
          <w:sz w:val="24"/>
          <w:szCs w:val="24"/>
        </w:rPr>
        <w:t xml:space="preserve">Cognitive Dysfunction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According to the National Institute of Neurological Disorders and Strokes of the National Institutes of Health, antipsychotic drugs can cause neuroleptic malignant syndrome, a life-threatening neurological disorder.  Additionally, the National Institutes for Mental Health (NIMH) has found that long-term use of antipsychotic medications can cause tardive dyskinesia, a potentially incurable and disfiguring condition that causes muscle movements a person cannot control.  For long-term psychiatric patients the chance of contracting tardive dyskinesia from psychotropic drugs is approximately one in four. The published rate for tardive dyskinesia among people who stay on the older drugs is approximately 3-5% per year - if you stay on these medications, for ten years, the risk of developing TD is 50%. (Dr. Grace E. Jackson MD ‘What Doctors May Not Tell You About Psychiatric Drugs’ Public Lecture, UCE Birmingham June 2004)    </w:t>
      </w:r>
    </w:p>
    <w:p w:rsidR="002C7F1D" w:rsidRPr="008319BF" w:rsidRDefault="002C7F1D"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One of the most common side effects of antipsychotic drugs is a condition known as </w:t>
      </w:r>
      <w:r w:rsidRPr="008319BF">
        <w:rPr>
          <w:rFonts w:ascii="Times New Roman" w:eastAsia="Arial Unicode MS" w:hAnsi="Times New Roman" w:cs="Times New Roman"/>
          <w:b/>
          <w:bCs/>
          <w:i/>
          <w:iCs/>
          <w:sz w:val="24"/>
          <w:szCs w:val="24"/>
        </w:rPr>
        <w:t>akathisia</w:t>
      </w:r>
      <w:r w:rsidRPr="008319BF">
        <w:rPr>
          <w:rFonts w:ascii="Times New Roman" w:eastAsia="Arial Unicode MS" w:hAnsi="Times New Roman" w:cs="Times New Roman"/>
          <w:sz w:val="24"/>
          <w:szCs w:val="24"/>
        </w:rPr>
        <w:t xml:space="preserve">, which is marked by uncontrollable physical restlessness and agitation and by interminable pacing, shaking of arms and legs, foot bouncing, and anxiety or panic. </w:t>
      </w:r>
      <w:r w:rsidRPr="008319BF">
        <w:rPr>
          <w:rFonts w:ascii="Times New Roman" w:eastAsia="Arial Unicode MS" w:hAnsi="Times New Roman" w:cs="Times New Roman"/>
          <w:sz w:val="24"/>
          <w:szCs w:val="24"/>
          <w:vertAlign w:val="superscript"/>
        </w:rPr>
        <w:endnoteReference w:id="113"/>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114"/>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115"/>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116"/>
      </w:r>
      <w:r w:rsidRPr="008319BF">
        <w:rPr>
          <w:rFonts w:ascii="Times New Roman" w:eastAsia="Arial Unicode MS" w:hAnsi="Times New Roman" w:cs="Times New Roman"/>
          <w:sz w:val="24"/>
          <w:szCs w:val="24"/>
        </w:rPr>
        <w:t xml:space="preserve"> </w:t>
      </w:r>
      <w:r w:rsidRPr="008319BF">
        <w:rPr>
          <w:rFonts w:ascii="Times New Roman" w:eastAsia="Arial Unicode MS" w:hAnsi="Times New Roman" w:cs="Times New Roman"/>
          <w:sz w:val="24"/>
          <w:szCs w:val="24"/>
          <w:vertAlign w:val="superscript"/>
        </w:rPr>
        <w:endnoteReference w:id="117"/>
      </w:r>
      <w:r w:rsidRPr="008319BF">
        <w:rPr>
          <w:rFonts w:ascii="Times New Roman" w:eastAsia="Arial Unicode MS" w:hAnsi="Times New Roman" w:cs="Times New Roman"/>
          <w:sz w:val="24"/>
          <w:szCs w:val="24"/>
          <w:vertAlign w:val="superscript"/>
        </w:rPr>
        <w:t xml:space="preserve"> </w:t>
      </w:r>
      <w:r w:rsidRPr="008319BF">
        <w:rPr>
          <w:rFonts w:ascii="Times New Roman" w:eastAsia="Arial Unicode MS" w:hAnsi="Times New Roman" w:cs="Times New Roman"/>
          <w:sz w:val="24"/>
          <w:szCs w:val="24"/>
        </w:rPr>
        <w:t xml:space="preserve">When this side effect occurs it is often mistaken for symptoms of mental illness itself. Then even more antipsychotic medication is administered due to a psychiatrist’s erroneous perception that the signs of akathisia are actually symptoms of disease, with increased medication the patient’s agitation and panic therefore increase. </w:t>
      </w:r>
      <w:r w:rsidRPr="008319BF">
        <w:rPr>
          <w:rFonts w:ascii="Times New Roman" w:eastAsia="Arial Unicode MS" w:hAnsi="Times New Roman" w:cs="Times New Roman"/>
          <w:sz w:val="24"/>
          <w:szCs w:val="24"/>
          <w:vertAlign w:val="superscript"/>
        </w:rPr>
        <w:endnoteReference w:id="118"/>
      </w:r>
      <w:r w:rsidRPr="008319BF">
        <w:rPr>
          <w:rFonts w:ascii="Times New Roman" w:eastAsia="Arial Unicode MS" w:hAnsi="Times New Roman" w:cs="Times New Roman"/>
          <w:sz w:val="24"/>
          <w:szCs w:val="24"/>
        </w:rPr>
        <w:t xml:space="preserve"> With the subsequent increased dosage, the patient’s agitation and panic therefore increase, leading to a terrible feeling of inescapable physical and mental turmoil, this sometimes leads to acts of violence.</w:t>
      </w:r>
      <w:r w:rsidRPr="008319BF">
        <w:rPr>
          <w:rFonts w:ascii="Times New Roman" w:eastAsia="Times New Roman" w:hAnsi="Times New Roman" w:cs="Times New Roman"/>
          <w:sz w:val="24"/>
          <w:szCs w:val="24"/>
        </w:rPr>
        <w:t xml:space="preserve"> </w:t>
      </w:r>
    </w:p>
    <w:p w:rsidR="00BF0808" w:rsidRPr="008319BF" w:rsidRDefault="00F43BCB" w:rsidP="00BF0808">
      <w:pPr>
        <w:spacing w:before="100" w:after="20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lastRenderedPageBreak/>
        <w:t xml:space="preserve">In the late 1970's, akathisia was formally recognized and known to be a predisposing factor to violence. (Keckich 1978)  When patients are confronted with such feelings of restlessness, agitation, and incoherent thoughts caused by the psychiatric medications they often have racing thoughts of violence even suicide.  Neuroleptic Induced Akathisia (NIA) can lead to violence, including mass murder, as was seen in the Columbine Shooting, when Eric Harris while on Luvox murdered his classmates.  This is why these medications carry a Food and Drug Administration black box warning label stating that they can cause violent thoughts, actions and </w:t>
      </w: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The opposite type of side effect is </w:t>
      </w:r>
      <w:r w:rsidRPr="008319BF">
        <w:rPr>
          <w:rFonts w:ascii="Times New Roman" w:eastAsia="Arial Unicode MS" w:hAnsi="Times New Roman" w:cs="Times New Roman"/>
          <w:b/>
          <w:bCs/>
          <w:i/>
          <w:iCs/>
          <w:sz w:val="24"/>
          <w:szCs w:val="24"/>
        </w:rPr>
        <w:t>akinesia</w:t>
      </w:r>
      <w:r w:rsidRPr="008319BF">
        <w:rPr>
          <w:rFonts w:ascii="Times New Roman" w:eastAsia="Arial Unicode MS" w:hAnsi="Times New Roman" w:cs="Times New Roman"/>
          <w:sz w:val="24"/>
          <w:szCs w:val="24"/>
        </w:rPr>
        <w:t xml:space="preserve">, which is typified by drowsiness and the need to sleep a great deal.  This effect is appreciated by those wishing to chemically restrain patients and prevent their moving around or demanding care in the middle of the night.  This also allows caretakers to ignore patient’s various medical problems and use ever increasing amounts of drugs to achieve the desired ends.  This is not treatment of the underlying disease but instead forced drugging for the convenience of the caretakers.  </w:t>
      </w:r>
    </w:p>
    <w:p w:rsidR="00BF0808" w:rsidRPr="008319BF" w:rsidRDefault="00BF0808"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Arial Unicode MS" w:hAnsi="Times New Roman" w:cs="Times New Roman"/>
          <w:sz w:val="24"/>
          <w:szCs w:val="24"/>
        </w:rPr>
      </w:pPr>
      <w:r w:rsidRPr="008319BF">
        <w:rPr>
          <w:rFonts w:ascii="Times New Roman" w:eastAsia="Arial Unicode MS" w:hAnsi="Times New Roman" w:cs="Times New Roman"/>
          <w:sz w:val="24"/>
          <w:szCs w:val="24"/>
        </w:rPr>
        <w:t xml:space="preserve">These neuroleptic medications are highly addictive and the brain becomes dependent on them for normal functioning and thus withdrawal can have serious symptoms including irritability and agitation. Thus suddenly going off these medications can make patients extremely emotional, agitated, less inhibited, suicidal and even violent.  During a patient's withdrawal period, any perceived untoward disrespectful attitudes or verbal communications can trigger violence.     </w:t>
      </w:r>
    </w:p>
    <w:p w:rsidR="00F43BCB" w:rsidRPr="008319BF" w:rsidRDefault="00F43BCB" w:rsidP="00F43BCB">
      <w:pPr>
        <w:spacing w:after="0" w:line="240" w:lineRule="auto"/>
        <w:rPr>
          <w:rFonts w:ascii="Times New Roman" w:eastAsia="Arial Unicode MS"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Arial Unicode MS" w:hAnsi="Times New Roman" w:cs="Times New Roman"/>
          <w:sz w:val="24"/>
          <w:szCs w:val="24"/>
        </w:rPr>
        <w:t xml:space="preserve">In addition, polypharmacy, which is the prescribing for a single person of more than one drug of the same chemical class (such as anti-psychotics), is widely practiced despite little empirical support, and can result in serious adverse reactions and intensified side effects and can lead to early death.   </w:t>
      </w:r>
      <w:r w:rsidRPr="008319BF">
        <w:rPr>
          <w:rFonts w:ascii="Times New Roman" w:eastAsia="Times New Roman" w:hAnsi="Times New Roman" w:cs="Times New Roman"/>
          <w:sz w:val="24"/>
          <w:szCs w:val="24"/>
        </w:rPr>
        <w:t>Persons, who are lacking capacity, are often institutionalized and over-medicated. This not only adversely affects the individual's quality of life and but can even shorten the person's life expectancy.</w:t>
      </w:r>
      <w:r w:rsidRPr="008319BF">
        <w:rPr>
          <w:rFonts w:ascii="Times New Roman" w:eastAsia="Times New Roman" w:hAnsi="Times New Roman" w:cs="Times New Roman"/>
          <w:sz w:val="24"/>
          <w:szCs w:val="24"/>
          <w:vertAlign w:val="superscript"/>
        </w:rPr>
        <w:endnoteReference w:id="119"/>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20"/>
      </w:r>
      <w:r w:rsidRPr="008319BF">
        <w:rPr>
          <w:rFonts w:ascii="Times New Roman" w:eastAsia="Times New Roman" w:hAnsi="Times New Roman" w:cs="Times New Roman"/>
          <w:sz w:val="24"/>
          <w:szCs w:val="24"/>
          <w:vertAlign w:val="superscript"/>
        </w:rPr>
        <w:t xml:space="preserv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There is a lot of research that indicates that there is decreased life expectancy for persons taking neuroleptic medication. </w:t>
      </w:r>
      <w:r w:rsidRPr="008319BF">
        <w:rPr>
          <w:rFonts w:ascii="Times New Roman" w:eastAsia="Times New Roman" w:hAnsi="Times New Roman" w:cs="Times New Roman"/>
          <w:sz w:val="24"/>
          <w:szCs w:val="24"/>
          <w:vertAlign w:val="superscript"/>
        </w:rPr>
        <w:endnoteReference w:id="121"/>
      </w:r>
      <w:r w:rsidRPr="008319BF">
        <w:rPr>
          <w:rFonts w:ascii="Times New Roman" w:eastAsia="Times New Roman" w:hAnsi="Times New Roman" w:cs="Times New Roman"/>
          <w:sz w:val="24"/>
          <w:szCs w:val="24"/>
        </w:rPr>
        <w:t xml:space="preserve"> One study by Joukamaa published in the British Journal of Psychiatry in 2006 followed 99 people diagnosed schizophrenic for 17 years. The study found that if the person received even one neuroleptic drug there was an increased risk of dying by 3 fold (35% died). If given 3 neuroleptic drugs that increased the risk of dying in 17 years by 7 fold (57% died).</w:t>
      </w:r>
      <w:r w:rsidRPr="008319BF">
        <w:rPr>
          <w:rFonts w:ascii="Times New Roman" w:eastAsia="Times New Roman" w:hAnsi="Times New Roman" w:cs="Times New Roman"/>
          <w:sz w:val="24"/>
          <w:szCs w:val="24"/>
          <w:vertAlign w:val="superscript"/>
        </w:rPr>
        <w:endnoteReference w:id="122"/>
      </w:r>
      <w:r w:rsidRPr="008319BF">
        <w:rPr>
          <w:rFonts w:ascii="Times New Roman" w:eastAsia="Times New Roman" w:hAnsi="Times New Roman" w:cs="Times New Roman"/>
          <w:sz w:val="24"/>
          <w:szCs w:val="24"/>
        </w:rPr>
        <w:t xml:space="preserve">  Thus it is important that over-medication minimized for all mental health patients.</w:t>
      </w:r>
    </w:p>
    <w:p w:rsidR="00887AAA" w:rsidRPr="008319BF" w:rsidRDefault="00887AAA" w:rsidP="00F43BCB">
      <w:pPr>
        <w:spacing w:after="0" w:line="240" w:lineRule="auto"/>
        <w:rPr>
          <w:rFonts w:ascii="Times New Roman" w:eastAsia="Times New Roman" w:hAnsi="Times New Roman" w:cs="Times New Roman"/>
          <w:sz w:val="24"/>
          <w:szCs w:val="24"/>
        </w:rPr>
      </w:pPr>
    </w:p>
    <w:p w:rsidR="00F43BCB" w:rsidRPr="008319BF" w:rsidRDefault="00F43BCB" w:rsidP="0074449E">
      <w:pPr>
        <w:pStyle w:val="Heading2"/>
      </w:pPr>
      <w:bookmarkStart w:id="92" w:name="_Off-Label_Use_of"/>
      <w:bookmarkStart w:id="93" w:name="_Toc414015956"/>
      <w:bookmarkStart w:id="94" w:name="_Toc414292334"/>
      <w:bookmarkEnd w:id="92"/>
      <w:r w:rsidRPr="008319BF">
        <w:t>Off-Label Use of Psychiatric Drugs</w:t>
      </w:r>
      <w:bookmarkEnd w:id="93"/>
      <w:bookmarkEnd w:id="94"/>
      <w:r w:rsidRPr="008319BF">
        <w:t xml:space="preserve"> </w:t>
      </w:r>
    </w:p>
    <w:p w:rsidR="000D5B78" w:rsidRDefault="000D5B78"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Once a drug has been approved by the Food and Drug Administration (FDA), clinicians are free to prescribe it as they see fit.</w:t>
      </w:r>
      <w:r w:rsidRPr="008319BF">
        <w:rPr>
          <w:rFonts w:ascii="Times New Roman" w:eastAsia="Times New Roman" w:hAnsi="Times New Roman" w:cs="Times New Roman"/>
          <w:sz w:val="24"/>
          <w:szCs w:val="24"/>
          <w:vertAlign w:val="superscript"/>
        </w:rPr>
        <w:endnoteReference w:id="123"/>
      </w:r>
      <w:r w:rsidRPr="008319BF">
        <w:rPr>
          <w:rFonts w:ascii="Times New Roman" w:eastAsia="Times New Roman" w:hAnsi="Times New Roman" w:cs="Times New Roman"/>
          <w:sz w:val="24"/>
          <w:szCs w:val="24"/>
        </w:rPr>
        <w:t xml:space="preserve"> Because there often is not the same level of high -quality clinical research demonstrating the safety and efficacy of these drugs for non–FDA-approved indications, the benefits of such off-label use are usually unclear. </w:t>
      </w:r>
      <w:r w:rsidRPr="008319BF">
        <w:rPr>
          <w:rFonts w:ascii="Times New Roman" w:eastAsia="Times New Roman" w:hAnsi="Times New Roman" w:cs="Times New Roman"/>
          <w:sz w:val="24"/>
          <w:szCs w:val="24"/>
          <w:vertAlign w:val="superscript"/>
        </w:rPr>
        <w:endnoteReference w:id="124"/>
      </w:r>
      <w:r w:rsidRPr="008319BF">
        <w:rPr>
          <w:rFonts w:ascii="Times New Roman" w:eastAsia="Times New Roman" w:hAnsi="Times New Roman" w:cs="Times New Roman"/>
          <w:sz w:val="24"/>
          <w:szCs w:val="24"/>
        </w:rPr>
        <w:t xml:space="preserve"> “Off-label” use of anti-psychotic medications is common, particularly among the elderly and children/adolescents. In the United States, the medical community is focused on profits and market forces have resulted in psychiatric medications prescribed for patients who are dependent in some way to the social </w:t>
      </w:r>
      <w:r w:rsidRPr="008319BF">
        <w:rPr>
          <w:rFonts w:ascii="Times New Roman" w:eastAsia="Times New Roman" w:hAnsi="Times New Roman" w:cs="Times New Roman"/>
          <w:sz w:val="24"/>
          <w:szCs w:val="24"/>
        </w:rPr>
        <w:lastRenderedPageBreak/>
        <w:t xml:space="preserve">welfare system. </w:t>
      </w:r>
      <w:r w:rsidRPr="008319BF">
        <w:rPr>
          <w:rFonts w:ascii="Times New Roman" w:eastAsia="Times New Roman" w:hAnsi="Times New Roman" w:cs="Times New Roman"/>
          <w:sz w:val="24"/>
          <w:szCs w:val="24"/>
          <w:vertAlign w:val="superscript"/>
        </w:rPr>
        <w:endnoteReference w:id="125"/>
      </w:r>
      <w:r w:rsidRPr="008319BF">
        <w:rPr>
          <w:rFonts w:ascii="Times New Roman" w:eastAsia="Times New Roman" w:hAnsi="Times New Roman" w:cs="Times New Roman"/>
          <w:sz w:val="24"/>
          <w:szCs w:val="24"/>
        </w:rPr>
        <w:t xml:space="preserve">  Psychiatric medications for schizophrenia alone cost the US taxpayer 3.5 million dollars a day.  Pharmaceutical companies have spent huge amounts of money to lobby the US Congress for legislation that will minimize their legal risk and maximize their profits.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medical professionals, doctors, nurses, hospital social workers, pharmacists, and therapists are all financially dependent on the profit making aspect of medicine for their economic livelihood. This has resulted in a high rate of prescription of psychiatric medications for "off-label" use in the absence of good evidence of effectiveness.  Once a drug has been approved by the FDA, clinicians are free to prescribe it as they see fit.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Because there often is not the same level of high-quality clinical research demonstrating the safety and efficacy of these drugs for non–FDA-approved indications, the benefits of such off-label use are usually unclear. </w:t>
      </w:r>
      <w:r w:rsidRPr="008319BF">
        <w:rPr>
          <w:rFonts w:ascii="Times New Roman" w:eastAsia="Times New Roman" w:hAnsi="Times New Roman" w:cs="Times New Roman"/>
          <w:sz w:val="24"/>
          <w:szCs w:val="24"/>
          <w:vertAlign w:val="superscript"/>
        </w:rPr>
        <w:endnoteReference w:id="126"/>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27"/>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28"/>
      </w:r>
      <w:r w:rsidRPr="008319BF">
        <w:rPr>
          <w:rFonts w:ascii="Times New Roman" w:eastAsia="Times New Roman" w:hAnsi="Times New Roman" w:cs="Times New Roman"/>
          <w:sz w:val="24"/>
          <w:szCs w:val="24"/>
        </w:rPr>
        <w:t xml:space="preserve"> Given that these drugs are expensive and have serious side effects (Including: weight gain, diabetes mellitus, tardive dyskinesia, and extrapyramidal symptoms), their off-label use may represent significant risk and cost with undemonstrated clinical benefit.</w:t>
      </w:r>
      <w:r w:rsidRPr="008319BF">
        <w:rPr>
          <w:rFonts w:ascii="Times New Roman" w:eastAsia="Times New Roman" w:hAnsi="Times New Roman" w:cs="Times New Roman"/>
          <w:sz w:val="24"/>
          <w:szCs w:val="24"/>
          <w:vertAlign w:val="superscript"/>
        </w:rPr>
        <w:endnoteReference w:id="129"/>
      </w:r>
      <w:r w:rsidRPr="008319BF">
        <w:rPr>
          <w:rFonts w:ascii="Times New Roman" w:eastAsia="Times New Roman" w:hAnsi="Times New Roman" w:cs="Times New Roman"/>
          <w:sz w:val="24"/>
          <w:szCs w:val="24"/>
        </w:rPr>
        <w:t xml:space="preserve"> “Off-label” use of anti-psychotic medications is common, particularly among the elderly and children/adolescents. </w:t>
      </w:r>
      <w:r w:rsidRPr="008319BF">
        <w:rPr>
          <w:rFonts w:ascii="Times New Roman" w:eastAsia="Times New Roman" w:hAnsi="Times New Roman" w:cs="Times New Roman"/>
          <w:sz w:val="24"/>
          <w:szCs w:val="24"/>
          <w:vertAlign w:val="superscript"/>
        </w:rPr>
        <w:endnoteReference w:id="130"/>
      </w:r>
      <w:r w:rsidRPr="008319BF">
        <w:rPr>
          <w:rFonts w:ascii="Times New Roman" w:eastAsia="Times New Roman" w:hAnsi="Times New Roman" w:cs="Times New Roman"/>
          <w:sz w:val="24"/>
          <w:szCs w:val="24"/>
        </w:rPr>
        <w:t xml:space="preserve">  Because funding for FDA regulatory operations is tied to user fees paid by the pharmaceutical industry, profits in that industry are directly related to the FDA budget.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Medicaid is the primary payer for patients with schizophrenia in the United States, with over a third of individuals with schizophrenia receiving their care through state Medicaid programs.  The cost of anti-psychotic medications has been rapidly escalating and now makes up a considerable share of Medicaid prescription drug programs. The public financing for anti-psychotic medications has been roughly equally divided between Medicaid and Medicare.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It is estimated that Medicaid currently pays for more than 70% of all the antipsychotic prescriptions in the United States.   In 2008, Medicaid spent $3.6 billion on antipsychotic medications, up from $1.65 billion in 1999, according to Mathematica Policy Research, which analyzes Medicaid data for HHS.  Medicaid spends more on antipsychotics than on any other class of drugs. </w:t>
      </w:r>
      <w:r w:rsidRPr="008319BF">
        <w:rPr>
          <w:rFonts w:ascii="Times New Roman" w:eastAsia="Times New Roman" w:hAnsi="Times New Roman" w:cs="Times New Roman"/>
          <w:sz w:val="24"/>
          <w:szCs w:val="24"/>
          <w:vertAlign w:val="superscript"/>
        </w:rPr>
        <w:endnoteReference w:id="131"/>
      </w:r>
      <w:r w:rsidRPr="008319BF">
        <w:rPr>
          <w:rFonts w:ascii="Times New Roman" w:eastAsia="Times New Roman" w:hAnsi="Times New Roman" w:cs="Times New Roman"/>
          <w:sz w:val="24"/>
          <w:szCs w:val="24"/>
        </w:rPr>
        <w:t xml:space="preserv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In one study of data from the Medicaid programs of 42 states from 2003 they found a considerable degree of off-label use of these drugs, with 57.6% of patients who were given anti-psychotic medications having no visit with a diagnosis of either schizophrenia or bipolar disorder during the year. (Leslie 2012) </w:t>
      </w:r>
      <w:r w:rsidRPr="008319BF">
        <w:rPr>
          <w:rFonts w:ascii="Times New Roman" w:eastAsia="Times New Roman" w:hAnsi="Times New Roman" w:cs="Times New Roman"/>
          <w:sz w:val="24"/>
          <w:szCs w:val="24"/>
          <w:vertAlign w:val="superscript"/>
        </w:rPr>
        <w:endnoteReference w:id="132"/>
      </w:r>
      <w:r w:rsidRPr="008319BF">
        <w:rPr>
          <w:rFonts w:ascii="Times New Roman" w:eastAsia="Times New Roman" w:hAnsi="Times New Roman" w:cs="Times New Roman"/>
          <w:sz w:val="24"/>
          <w:szCs w:val="24"/>
        </w:rPr>
        <w:t xml:space="preserv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The Food and Drug Administration (FDA) initiated regulatory actions to address reports of increased suicide rates on these psychiatric medications. One of these actions was to require a black box warning label for the new anti-depressants that warned of increased risk for violent tendencies, including suicide, caused by these medications.</w:t>
      </w:r>
      <w:r w:rsidRPr="008319BF">
        <w:rPr>
          <w:rFonts w:ascii="Times New Roman" w:eastAsia="Times New Roman" w:hAnsi="Times New Roman" w:cs="Times New Roman"/>
          <w:sz w:val="24"/>
          <w:szCs w:val="24"/>
          <w:vertAlign w:val="superscript"/>
        </w:rPr>
        <w:endnoteReference w:id="133"/>
      </w:r>
      <w:r w:rsidRPr="008319BF">
        <w:rPr>
          <w:rFonts w:ascii="Times New Roman" w:eastAsia="Times New Roman" w:hAnsi="Times New Roman" w:cs="Times New Roman"/>
          <w:sz w:val="24"/>
          <w:szCs w:val="24"/>
        </w:rPr>
        <w:t xml:space="preserve">  </w:t>
      </w:r>
    </w:p>
    <w:p w:rsidR="00F43BCB" w:rsidRDefault="00F43BCB" w:rsidP="00F43BCB">
      <w:pPr>
        <w:spacing w:after="0" w:line="240" w:lineRule="auto"/>
        <w:ind w:firstLine="283"/>
        <w:rPr>
          <w:rFonts w:ascii="Times New Roman" w:eastAsia="Times New Roman" w:hAnsi="Times New Roman" w:cs="Times New Roman"/>
          <w:b/>
          <w:bCs/>
          <w:sz w:val="24"/>
          <w:szCs w:val="24"/>
        </w:rPr>
      </w:pPr>
    </w:p>
    <w:p w:rsidR="008A54C1" w:rsidRDefault="008A54C1" w:rsidP="00F43BCB">
      <w:pPr>
        <w:spacing w:after="0" w:line="240" w:lineRule="auto"/>
        <w:ind w:firstLine="283"/>
        <w:rPr>
          <w:rFonts w:ascii="Times New Roman" w:eastAsia="Times New Roman" w:hAnsi="Times New Roman" w:cs="Times New Roman"/>
          <w:b/>
          <w:bCs/>
          <w:sz w:val="24"/>
          <w:szCs w:val="24"/>
        </w:rPr>
      </w:pPr>
    </w:p>
    <w:p w:rsidR="008A54C1" w:rsidRDefault="008A54C1" w:rsidP="00F43BCB">
      <w:pPr>
        <w:spacing w:after="0" w:line="240" w:lineRule="auto"/>
        <w:ind w:firstLine="283"/>
        <w:rPr>
          <w:rFonts w:ascii="Times New Roman" w:eastAsia="Times New Roman" w:hAnsi="Times New Roman" w:cs="Times New Roman"/>
          <w:b/>
          <w:bCs/>
          <w:sz w:val="24"/>
          <w:szCs w:val="24"/>
        </w:rPr>
      </w:pPr>
    </w:p>
    <w:p w:rsidR="008A54C1" w:rsidRPr="008319BF" w:rsidRDefault="008A54C1" w:rsidP="00F43BCB">
      <w:pPr>
        <w:spacing w:after="0" w:line="240" w:lineRule="auto"/>
        <w:ind w:firstLine="283"/>
        <w:rPr>
          <w:rFonts w:ascii="Times New Roman" w:eastAsia="Times New Roman" w:hAnsi="Times New Roman" w:cs="Times New Roman"/>
          <w:b/>
          <w:bCs/>
          <w:sz w:val="24"/>
          <w:szCs w:val="24"/>
        </w:rPr>
      </w:pPr>
    </w:p>
    <w:p w:rsidR="00F43BCB" w:rsidRPr="008319BF" w:rsidRDefault="00F43BCB" w:rsidP="0074449E">
      <w:pPr>
        <w:pStyle w:val="Heading2"/>
      </w:pPr>
      <w:bookmarkStart w:id="95" w:name="_Off-Label_Promotion/Deceptive_Marke"/>
      <w:bookmarkStart w:id="96" w:name="_Toc414015957"/>
      <w:bookmarkStart w:id="97" w:name="_Toc414292335"/>
      <w:bookmarkEnd w:id="95"/>
      <w:r w:rsidRPr="008319BF">
        <w:lastRenderedPageBreak/>
        <w:t>Off-Label Promotion/Deceptive Marketing of Psychiatric Drugs</w:t>
      </w:r>
      <w:bookmarkEnd w:id="96"/>
      <w:bookmarkEnd w:id="97"/>
      <w:r w:rsidRPr="008319BF">
        <w:t xml:space="preserve"> </w:t>
      </w:r>
    </w:p>
    <w:p w:rsidR="000D5B78" w:rsidRDefault="000D5B78"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practice of marketing drugs for purposes not backed by science is called “off-label promotion.” </w:t>
      </w:r>
      <w:r w:rsidRPr="008319BF">
        <w:rPr>
          <w:rFonts w:ascii="Times New Roman" w:eastAsia="Times New Roman" w:hAnsi="Times New Roman" w:cs="Times New Roman"/>
          <w:sz w:val="24"/>
          <w:szCs w:val="24"/>
          <w:vertAlign w:val="superscript"/>
        </w:rPr>
        <w:endnoteReference w:id="134"/>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35"/>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36"/>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37"/>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38"/>
      </w:r>
      <w:r w:rsidRPr="008319BF">
        <w:rPr>
          <w:rFonts w:ascii="Times New Roman" w:eastAsia="Times New Roman" w:hAnsi="Times New Roman" w:cs="Times New Roman"/>
          <w:sz w:val="24"/>
          <w:szCs w:val="24"/>
          <w:vertAlign w:val="superscript"/>
        </w:rPr>
        <w:t xml:space="preserve">  </w:t>
      </w:r>
      <w:r w:rsidRPr="008319BF">
        <w:rPr>
          <w:rFonts w:ascii="Times New Roman" w:eastAsia="Times New Roman" w:hAnsi="Times New Roman" w:cs="Times New Roman"/>
          <w:sz w:val="24"/>
          <w:szCs w:val="24"/>
        </w:rPr>
        <w:t xml:space="preserve">The Food and Drug Administration which regulates prescription drugs and has not adequately regulated the “off-label” promotion of Risperdal by Johnson &amp; Johnson Pharmaceutical Co. and its Janssen subsidiary. The FDA was aware of grave concerns regarding its safety and clear indication that it is not effective for the conditions it is prescribed for. Johnson &amp; Johnson-Janssen's “off-label” promotion of Risperdal through Teen Screen was targeted to young adolescent boys.  Johnson &amp; Johnson's subsidiary-Janssen strategically marketed Risperdal-a drug designated for narrow use in the treatment of schizophrenia, into a $34 billion dollar profit making drug, with a 97% profit rate. (Applbaum 2012) </w:t>
      </w:r>
      <w:r w:rsidRPr="008319BF">
        <w:rPr>
          <w:rFonts w:ascii="Times New Roman" w:eastAsia="Times New Roman" w:hAnsi="Times New Roman" w:cs="Times New Roman"/>
          <w:sz w:val="24"/>
          <w:szCs w:val="24"/>
          <w:vertAlign w:val="superscript"/>
        </w:rPr>
        <w:endnoteReference w:id="139"/>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40"/>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41"/>
      </w:r>
      <w:r w:rsidRPr="008319BF">
        <w:rPr>
          <w:rFonts w:ascii="Times New Roman" w:eastAsia="Times New Roman" w:hAnsi="Times New Roman" w:cs="Times New Roman"/>
          <w:sz w:val="24"/>
          <w:szCs w:val="24"/>
        </w:rPr>
        <w:t xml:space="preserv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This antipsychotic drug, Risperdal cost 40-50 times as much as the first generation antipsychotics.  Risperdal is a second generation antipsychotic (SGA).  Their marketing strategy caused the drug to be used preferentially to older generic versions of antipsychotic medications (FGA-first generation antipsychotics).</w:t>
      </w:r>
      <w:r w:rsidRPr="008319BF">
        <w:rPr>
          <w:rFonts w:ascii="Times New Roman" w:eastAsia="Times New Roman" w:hAnsi="Times New Roman" w:cs="Times New Roman"/>
          <w:sz w:val="24"/>
          <w:szCs w:val="24"/>
          <w:vertAlign w:val="superscript"/>
        </w:rPr>
        <w:endnoteReference w:id="142"/>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43"/>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44"/>
      </w:r>
      <w:r w:rsidRPr="008319BF">
        <w:rPr>
          <w:rFonts w:ascii="Times New Roman" w:eastAsia="Times New Roman" w:hAnsi="Times New Roman" w:cs="Times New Roman"/>
          <w:sz w:val="24"/>
          <w:szCs w:val="24"/>
          <w:vertAlign w:val="superscript"/>
        </w:rPr>
        <w:t xml:space="preserve">   </w:t>
      </w:r>
      <w:r w:rsidRPr="008319BF">
        <w:rPr>
          <w:rFonts w:ascii="Times New Roman" w:eastAsia="Times New Roman" w:hAnsi="Times New Roman" w:cs="Times New Roman"/>
          <w:sz w:val="24"/>
          <w:szCs w:val="24"/>
        </w:rPr>
        <w:t xml:space="preserve">Doctors are encouraged or pressured to treat their patients with the newest, most expensive drugs and they are discouraged from using the cheaper generic medications.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The newer drugs often did not have extensive clinical trials before their “off-label” use, therefore the full dangers of the medication and possible adverse side effects were often unknown or not reported.</w:t>
      </w:r>
      <w:r w:rsidRPr="008319BF">
        <w:rPr>
          <w:rFonts w:ascii="Times New Roman" w:eastAsia="Times New Roman" w:hAnsi="Times New Roman" w:cs="Times New Roman"/>
          <w:sz w:val="24"/>
          <w:szCs w:val="24"/>
          <w:vertAlign w:val="superscript"/>
        </w:rPr>
        <w:endnoteReference w:id="145"/>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46"/>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47"/>
      </w:r>
      <w:r w:rsidRPr="008319BF">
        <w:rPr>
          <w:rFonts w:ascii="Times New Roman" w:eastAsia="Times New Roman" w:hAnsi="Times New Roman" w:cs="Times New Roman"/>
          <w:sz w:val="24"/>
          <w:szCs w:val="24"/>
          <w:vertAlign w:val="superscript"/>
        </w:rPr>
        <w:t xml:space="preserve">  </w:t>
      </w:r>
      <w:r w:rsidRPr="008319BF">
        <w:rPr>
          <w:rFonts w:ascii="Times New Roman" w:eastAsia="Times New Roman" w:hAnsi="Times New Roman" w:cs="Times New Roman"/>
          <w:sz w:val="24"/>
          <w:szCs w:val="24"/>
        </w:rPr>
        <w:t xml:space="preserve">Research studies delineating concerns for the newer drugs’ safety and efficacy were suppressed. </w:t>
      </w:r>
      <w:r w:rsidRPr="008319BF">
        <w:rPr>
          <w:rFonts w:ascii="Times New Roman" w:eastAsia="Times New Roman" w:hAnsi="Times New Roman" w:cs="Times New Roman"/>
          <w:sz w:val="24"/>
          <w:szCs w:val="24"/>
          <w:vertAlign w:val="superscript"/>
        </w:rPr>
        <w:endnoteReference w:id="148"/>
      </w:r>
      <w:r w:rsidRPr="008319BF">
        <w:rPr>
          <w:rFonts w:ascii="Times New Roman" w:eastAsia="Times New Roman" w:hAnsi="Times New Roman" w:cs="Times New Roman"/>
          <w:sz w:val="24"/>
          <w:szCs w:val="24"/>
          <w:vertAlign w:val="superscript"/>
        </w:rPr>
        <w:t xml:space="preserve">  </w:t>
      </w:r>
      <w:r w:rsidRPr="008319BF">
        <w:rPr>
          <w:rFonts w:ascii="Times New Roman" w:eastAsia="Times New Roman" w:hAnsi="Times New Roman" w:cs="Times New Roman"/>
          <w:sz w:val="24"/>
          <w:szCs w:val="24"/>
        </w:rPr>
        <w:t xml:space="preserve">The Food and Drug Administration sent warning letters sent to Janssen which questioned the company’s marketing claims that its drug was superior to first generation antipsychotics or safer.  So the pharmaceutical industry bypassed governmental safeguards and medical review by using political pressure on select governmental officials.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When oral Risperdal was headed to be off patent and generic forms of it would have become available. Jansen promoted its long-acting version of Risperdal–Consta injectable to be recommended in the Texas Medical Algorithm Project (TMAP). (Rosenheck et al 2011) </w:t>
      </w:r>
      <w:r w:rsidRPr="008319BF">
        <w:rPr>
          <w:rFonts w:ascii="Times New Roman" w:eastAsia="Times New Roman" w:hAnsi="Times New Roman" w:cs="Times New Roman"/>
          <w:sz w:val="24"/>
          <w:szCs w:val="24"/>
          <w:vertAlign w:val="superscript"/>
        </w:rPr>
        <w:endnoteReference w:id="149"/>
      </w:r>
      <w:r w:rsidRPr="008319BF">
        <w:rPr>
          <w:rFonts w:ascii="Times New Roman" w:eastAsia="Times New Roman" w:hAnsi="Times New Roman" w:cs="Times New Roman"/>
          <w:sz w:val="24"/>
          <w:szCs w:val="24"/>
        </w:rPr>
        <w:t xml:space="preserve"> Marketing of Consta was focused on hospital inpatients because it is rare for stable patients to be switched to a different drug once they are discharged from the hospital.  Patients were switched while still in the hospital to the still patented injectable Risperdal while still in the hospital before discharge.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pharmaceutical industry spent and continues to spend millions on lobbying Congress to effect changes in legislation favorable to the pharmaceutical industry’s bottom line including changes in the Medicaid Act 2003. These changes allowed the federal government to pay through Medicaid for psychiatric drugs used for “off-label” (extra -label) uses.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What may appear as a consensus of medical approval is a carefully planned marketing effort to influence medical decisions on mental health care.</w:t>
      </w:r>
      <w:r w:rsidRPr="008319BF">
        <w:rPr>
          <w:rFonts w:ascii="Times New Roman" w:eastAsia="Times New Roman" w:hAnsi="Times New Roman" w:cs="Times New Roman"/>
          <w:sz w:val="24"/>
          <w:szCs w:val="24"/>
          <w:vertAlign w:val="superscript"/>
        </w:rPr>
        <w:endnoteReference w:id="150"/>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51"/>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52"/>
      </w:r>
      <w:r w:rsidRPr="008319BF">
        <w:rPr>
          <w:rFonts w:ascii="Times New Roman" w:eastAsia="Times New Roman" w:hAnsi="Times New Roman" w:cs="Times New Roman"/>
          <w:sz w:val="24"/>
          <w:szCs w:val="24"/>
        </w:rPr>
        <w:t xml:space="preserve">  Among the many marketing strategies used by the pharmaceutical industry are: 1) One-to-one detail marketing to doctors and professionals 2) Continuing education seminars and sponsorship 3) Pharmacy specific advocacy </w:t>
      </w:r>
      <w:r w:rsidRPr="008319BF">
        <w:rPr>
          <w:rFonts w:ascii="Times New Roman" w:eastAsia="Times New Roman" w:hAnsi="Times New Roman" w:cs="Times New Roman"/>
          <w:sz w:val="24"/>
          <w:szCs w:val="24"/>
        </w:rPr>
        <w:lastRenderedPageBreak/>
        <w:t>groups 4) Ghost-writing of “scientific” articles and dissemination of unsupported “medication algorithms” 5) Direct-to-consumer advertising 6) Intense legislative lobbying 7) Suppression of research findings through control of research findings and research grantees 8) Illegal marketing of psychotropic drugs for off-label purposes 9) Bribing state officials with cash payments to add atypical antipsychotics on Medicaid formularies.</w:t>
      </w:r>
      <w:r w:rsidRPr="008319BF">
        <w:rPr>
          <w:rFonts w:ascii="Times New Roman" w:eastAsia="Times New Roman" w:hAnsi="Times New Roman" w:cs="Times New Roman"/>
          <w:sz w:val="24"/>
          <w:szCs w:val="24"/>
          <w:vertAlign w:val="superscript"/>
        </w:rPr>
        <w:endnoteReference w:id="153"/>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54"/>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55"/>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The National Alliance on Mental Illness (NAMI) provides pharmaceutical grassroots political support and distributes pharmaceutical educational materials used to support and expand off-label use of patented psychiatric drugs.</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26055F">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In addition, pharmaceutical companies are now offering free or low cost advanced digital record computer software to prospective researchers and clinicians who agree to share with them personal confidential medical information of patients.  When the patient enters the medical office they are given a survey on a computer input device</w:t>
      </w:r>
      <w:r w:rsidR="00FC119A">
        <w:rPr>
          <w:rFonts w:ascii="Times New Roman" w:eastAsia="Times New Roman" w:hAnsi="Times New Roman" w:cs="Times New Roman"/>
          <w:sz w:val="24"/>
          <w:szCs w:val="24"/>
        </w:rPr>
        <w:t>.</w:t>
      </w:r>
      <w:r w:rsidRPr="008319BF">
        <w:rPr>
          <w:rFonts w:ascii="Times New Roman" w:eastAsia="Times New Roman" w:hAnsi="Times New Roman" w:cs="Times New Roman"/>
          <w:sz w:val="24"/>
          <w:szCs w:val="24"/>
        </w:rPr>
        <w:t xml:space="preserve">  These computer surveys are designed to make the patient provide the doctor the legal right to share their digital medical information with corporate partners.  By not allowing patients to write their own statement on the form, opt out of questions, or refuse to answer inappropriate questioning – the computer input device gets around HIPPA protections and helps force patient compliance with pharmaceutical marketing objectives and providing data desired.  The pharmaceutical industry maintains a large database of private confidential patient medical information gathered from its corporate partners - cooperating researchers, doctors, nurses, and pharmacists. Social workers are also financially rewarded for providing confidential information about their clients to pharmaceutical industry representatives. </w:t>
      </w:r>
    </w:p>
    <w:p w:rsidR="0026055F" w:rsidRPr="008319BF" w:rsidRDefault="0026055F" w:rsidP="0026055F">
      <w:pPr>
        <w:spacing w:after="0" w:line="240" w:lineRule="auto"/>
        <w:rPr>
          <w:rFonts w:ascii="Times New Roman" w:eastAsia="Times New Roman" w:hAnsi="Times New Roman" w:cs="Times New Roman"/>
          <w:b/>
          <w:bCs/>
          <w:sz w:val="24"/>
          <w:szCs w:val="24"/>
        </w:rPr>
      </w:pPr>
    </w:p>
    <w:p w:rsidR="00F43BCB" w:rsidRPr="008319BF" w:rsidRDefault="00F43BCB" w:rsidP="0074449E">
      <w:pPr>
        <w:pStyle w:val="Heading2"/>
      </w:pPr>
      <w:bookmarkStart w:id="98" w:name="_The_New_Freedom"/>
      <w:bookmarkStart w:id="99" w:name="_Toc414015958"/>
      <w:bookmarkStart w:id="100" w:name="_Toc414292336"/>
      <w:bookmarkEnd w:id="98"/>
      <w:r w:rsidRPr="008319BF">
        <w:t>The New Freedom Commission on Mental Health</w:t>
      </w:r>
      <w:bookmarkEnd w:id="99"/>
      <w:bookmarkEnd w:id="100"/>
      <w:r w:rsidRPr="008319BF">
        <w:t xml:space="preserve"> </w:t>
      </w:r>
    </w:p>
    <w:p w:rsidR="000D5B78" w:rsidRDefault="000D5B78"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controversial New Freedom Commission on Mental Health was established by the 43rd U.S.A. President, George W. Bush, with Executive Order 13263 of April 29, 2002.  The Commission was established to conduct a comprehensive study of the U.S.  A. mental health service delivery system and make recommendations based on its findings.  The Commission issued its report on July 22, 2003. President Bush has instructed 25 federal agencies to develop a plan to implement the Commission’s recommendations. In 2004, Congress appropriated $20 million to finance the recommendations of this New Freedom Commission on Mental Health.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Congress also passed the Garrett Lee Smith Memorial Act that included $7 million for suicide screening and tens of millions more for Substance Abuse and Mental Health Services Administration and its Center for Mental Health Services. The No Child Left Behind Act already included $5 million for Mental Health Integration. This was a part of a federal plan to subject all children to mental health screening in school and during routine physical exams. This was an effort to force millions of kids to undergo psychiatric screening whether their parents’ consent or not.  The New Freedom Commission on Mental Health recommended increased use of pharmaceutical interventions despite the Food and Drug Administration (FDA) objections. </w:t>
      </w:r>
    </w:p>
    <w:p w:rsidR="00F43BCB" w:rsidRDefault="00F43BCB" w:rsidP="00F43BCB">
      <w:pPr>
        <w:spacing w:after="0" w:line="240" w:lineRule="auto"/>
        <w:rPr>
          <w:rFonts w:ascii="Times New Roman" w:eastAsia="Times New Roman" w:hAnsi="Times New Roman" w:cs="Times New Roman"/>
          <w:sz w:val="24"/>
          <w:szCs w:val="24"/>
        </w:rPr>
      </w:pPr>
    </w:p>
    <w:p w:rsidR="00BA4583" w:rsidRPr="008319BF" w:rsidRDefault="00BA4583" w:rsidP="00F43BCB">
      <w:pPr>
        <w:spacing w:after="0" w:line="240" w:lineRule="auto"/>
        <w:rPr>
          <w:rFonts w:ascii="Times New Roman" w:eastAsia="Times New Roman" w:hAnsi="Times New Roman" w:cs="Times New Roman"/>
          <w:sz w:val="24"/>
          <w:szCs w:val="24"/>
        </w:rPr>
      </w:pPr>
    </w:p>
    <w:p w:rsidR="00F43BCB" w:rsidRPr="008319BF" w:rsidRDefault="00F43BCB" w:rsidP="0074449E">
      <w:pPr>
        <w:pStyle w:val="Heading2"/>
      </w:pPr>
      <w:bookmarkStart w:id="101" w:name="_Texas_Medication_Algorithm"/>
      <w:bookmarkStart w:id="102" w:name="_Toc414015959"/>
      <w:bookmarkStart w:id="103" w:name="_Toc414292337"/>
      <w:bookmarkEnd w:id="101"/>
      <w:r w:rsidRPr="008319BF">
        <w:lastRenderedPageBreak/>
        <w:t>Texas Medication Algorithm Project (TMAP)</w:t>
      </w:r>
      <w:bookmarkEnd w:id="102"/>
      <w:bookmarkEnd w:id="103"/>
      <w:r w:rsidRPr="008319BF">
        <w:t xml:space="preserve"> </w:t>
      </w:r>
    </w:p>
    <w:p w:rsidR="000D5B78" w:rsidRDefault="000D5B78"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Texas Medication Algorithm Project or TMAP was described as a thinly veiled proxy for the pharmaceutical industry, which pursued profits by recommending more psychotropic medication interventions. TMAP had been created in 1995 while President Bush was governor of Texas.  It formed as an alliance of individuals from the University of Texas, the pharmaceutical industry, and the mental health and corrections systems of Texas. The New Freedom Commission on Mental Health used TMAP as a blueprint and began to recommend screening of American adults for untreated mental illnesses and children for emotional disturbances. The commission, using the Texas Medication Algorithm Project (TMAP) as a blueprint, subsequently recommended screening of American adults for possible mental illnesses, and children for emotional disturbances.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primary purpose was to recommend implementation of TMAP based algorithms on a nationwide basis. The strategy behind the commission was developed by the pharmaceutical industry, and the goal was to identify all those with suspected disabilities who could then be provided the newer psychoactive drugs. The pharmaceutical industry’s marketing concept behind Texas Medication Algorithm Project (TMAP) was to standardize treatment through the imposition of a strict algorithm.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Mental health care has evolved into a revolving door between state mental hospitals and prisons, where patients flow through these facilities and leave with prescriptions for the medications they were treated with while institutionalized.  Most of these patients will rely on Medicaid or Medicare to pay for the drugs. Forcing prisons and state mental hospitals and other community mental health centers to prescribe medications based on a pharmaceutical industry marketing model permits “patient recruitment and retention” in pharmaceutical industry terms. This has been translated to clinical marketing terms emphasizing client compliance to the treatment regime and adherence to a particular drug.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Financially responsible governmental policy regulators and governmental agencies attempted to put in place cost containment measures which were meant to limit the escalating seemingly unlimited cost of psychiatric medications now borne by the US taxpayer. </w:t>
      </w:r>
      <w:r w:rsidRPr="008319BF">
        <w:rPr>
          <w:rFonts w:ascii="Times New Roman" w:eastAsia="Times New Roman" w:hAnsi="Times New Roman" w:cs="Times New Roman"/>
          <w:sz w:val="24"/>
          <w:szCs w:val="24"/>
          <w:vertAlign w:val="superscript"/>
        </w:rPr>
        <w:endnoteReference w:id="156"/>
      </w:r>
      <w:r w:rsidRPr="008319BF">
        <w:rPr>
          <w:rFonts w:ascii="Times New Roman" w:eastAsia="Times New Roman" w:hAnsi="Times New Roman" w:cs="Times New Roman"/>
          <w:sz w:val="24"/>
          <w:szCs w:val="24"/>
        </w:rPr>
        <w:t xml:space="preserve"> State legislatures started drafting measures that would permit them to regulate prescription drug prices for state employees, Medicaid recipients, and the uninsured. Like managed care plans, they were creating formularies of preferred drugs. </w:t>
      </w:r>
      <w:r w:rsidRPr="008319BF">
        <w:rPr>
          <w:rFonts w:ascii="Times New Roman" w:eastAsia="Times New Roman" w:hAnsi="Times New Roman" w:cs="Times New Roman"/>
          <w:sz w:val="24"/>
          <w:szCs w:val="24"/>
          <w:vertAlign w:val="superscript"/>
        </w:rPr>
        <w:endnoteReference w:id="157"/>
      </w:r>
      <w:r w:rsidRPr="008319BF">
        <w:rPr>
          <w:rFonts w:ascii="Times New Roman" w:eastAsia="Times New Roman" w:hAnsi="Times New Roman" w:cs="Times New Roman"/>
          <w:sz w:val="24"/>
          <w:szCs w:val="24"/>
        </w:rPr>
        <w:t xml:space="preserve">  One such cost containment measure was the requirement that a "consumer" can only receive a specific service or treatment if the service/medication is first screened and approved by the paying insurance company.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Medication Algorithm Project (MAP) was instituted, so that "prior authorization" requirements by Medicaid would not prevent customers from buying expensive newer psychiatric medications that had just been patented.  In 1995, as part of a marketing strategy, the pharmaceutical industry started to push for Medication Algorithm Project guidelines that would dictate what medications would be prescribed. The Texas Medication Algorithm Project (TMAP) is a decision-tree medical algorithm that gives guidelines for what medications to prescribe. </w:t>
      </w:r>
      <w:r w:rsidRPr="008319BF">
        <w:rPr>
          <w:rFonts w:ascii="Times New Roman" w:eastAsia="Times New Roman" w:hAnsi="Times New Roman" w:cs="Times New Roman"/>
          <w:sz w:val="24"/>
          <w:szCs w:val="24"/>
        </w:rPr>
        <w:lastRenderedPageBreak/>
        <w:t xml:space="preserve">Political pressure was applied on state decision makers to have these guidelines implemented within state of Texas Mental Health and Mental Retardation guidelines which would thus make it difficult for state Medicaid auditors to make decisions outside these guidelines. With state issued guidelines, doctors didn't need to worry about choosing which medication is most effective, but instead just go by the MAP chart.  Pharmaceutical industry representatives suggested which drugs should be the first, second, third, choice.  All the doctor needs to do is prescribe the drugs in that order, if the first doesn’t work, the doctor prescribes the second on the list.  Doctor's don't need to research the newer drugs and determine what is best for a particular patient - they just prescribe according to the list recommended by the state agency MAP chart.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legal malpractice risk of making a wrong choice is then transferred to the state agency which has legal immunity and thus the choices are already made by pharmaceutical industry representatives.  If an adverse event happens (i.e. suicide or murder) the doctor can legally fall back on the fact that the state agency recommended his prescription choice. This has also opened the door to prescription authority extended to physician assistants and nurse practitioners, who do not have the same extensive medical training that is required for an M.D.  The use of a Medication Algorithm meant that the legal risk of a malpractice claim was lowered to almost nil, shifting legal responsibility to the state which has legal immunity. This meant decreased malpractice insurance costs for these less qualified health care providers.  The drug companies involved in financing and/or directly creating and marketing TMAP include: Janssen Pharmaceutica, Johnson &amp; Johnson, Eli Lilly, and Austrazeneca, Pfizer, Novartis, Janssen-Ortho-McNeil, GlaxoSmithKline, Abbott, Bristol Myers Squibb, Wyeth-Ayerst Forrest Laboratories and U.S. Pharmacopeia.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pharmaceutical industry repressed clinical research information about adverse events, while paying university professors and other respected medical professionals to ghost write articles favorable to their products. Doctors can be unduly swayed by pharmaceutical company promotional messages which are spread through supposedly neutral continuing educational events and written material. The Texas Medication Algorithm Project (TMAP) was supported by state governmental authorities and has been imported to other states such as Pennsylvania and TMAP currently impacts mental health care in at least 17 states. (Healy 2006, 2008) </w:t>
      </w:r>
      <w:r w:rsidRPr="008319BF">
        <w:rPr>
          <w:rFonts w:ascii="Times New Roman" w:eastAsia="Times New Roman" w:hAnsi="Times New Roman" w:cs="Times New Roman"/>
          <w:sz w:val="24"/>
          <w:szCs w:val="24"/>
          <w:vertAlign w:val="superscript"/>
        </w:rPr>
        <w:endnoteReference w:id="158"/>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59"/>
      </w:r>
      <w:r w:rsidRPr="008319BF">
        <w:rPr>
          <w:rFonts w:ascii="Times New Roman" w:eastAsia="Times New Roman" w:hAnsi="Times New Roman" w:cs="Times New Roman"/>
          <w:sz w:val="24"/>
          <w:szCs w:val="24"/>
        </w:rPr>
        <w:t xml:space="preserve"> Doctors stopped using their discretionary options and instead started to prescribe according to the MAP chart because of legal ramifications of not practicing the "standard of care."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The Medication Algorithm Project (MAP) was created by the pharmaceutical industry leaders as a marketing tool with little valid scientific research to back MAP recommendations. In reality, the FDA was pressured to overlook clear dangers of medications in the MAP model and to continue to allow drugs to be sold to vulnerable patients with serious and even fatal adverse effects. Research into the dangers of the increased use of psychiatric medications recommended by the MAP has been suppressed.</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Allan Jones was the former investigator in the Commonwealth of Pennsylvania Office of Inspector General (OIG), Bureau of Special Investigations.  As a human rights defender and medical whistleblower, Alan Jones, investigated for the Office of Inspector General of FDA. He delivered a scathing report on the fraudulent behavior of the pharmaceutical industry and its </w:t>
      </w:r>
      <w:r w:rsidRPr="008319BF">
        <w:rPr>
          <w:rFonts w:ascii="Times New Roman" w:eastAsia="Times New Roman" w:hAnsi="Times New Roman" w:cs="Times New Roman"/>
          <w:sz w:val="24"/>
          <w:szCs w:val="24"/>
        </w:rPr>
        <w:lastRenderedPageBreak/>
        <w:t>political control over both legislation and regulatory functions.  OIG Investigator Allen Jones’ report indicated that key administrative governmental regulatory employees in Pennsylvania were closely aligned to drug manufacturers. These officials working in cooperation with pharmaceutical industry insiders manipulated the regulatory agencies to turn a blind eye to the excessive profits of the pharmaceutical companies and to permit wholesale marketing at taxpayers’ expense of psychotropic drugs.</w:t>
      </w:r>
      <w:r w:rsidRPr="008319BF">
        <w:rPr>
          <w:rFonts w:ascii="Times New Roman" w:eastAsia="Times New Roman" w:hAnsi="Times New Roman" w:cs="Times New Roman"/>
          <w:sz w:val="24"/>
          <w:szCs w:val="24"/>
          <w:vertAlign w:val="superscript"/>
        </w:rPr>
        <w:endnoteReference w:id="160"/>
      </w:r>
      <w:r w:rsidRPr="008319BF">
        <w:rPr>
          <w:rFonts w:ascii="Times New Roman" w:eastAsia="Times New Roman" w:hAnsi="Times New Roman" w:cs="Times New Roman"/>
          <w:sz w:val="24"/>
          <w:szCs w:val="24"/>
        </w:rPr>
        <w:t xml:space="preserve">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In addition to pressuring medical professionals to prescribe these medications, the pharmaceutical industry has put a great pressure and influence on the American Psychiatric Association Task Force which writes the Diagnostic and Statistical Manual of Mental Disorders (DSM), the manual of mental health diagnoses. These changes in the DSM will increase the number of persons diagnosed with mental illness. (Carey J 2011)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The new manual the DSM V that is just now coming out has been written with the strategic marketing pharmaceutical industry objectives in mind. Therapists and clinicians use the DSM IV to do their billing codes, and thus their ability to get paid is based on how they comply with the diagnostic guidelines in the DSM IV.  Allen Frances, MD, who chaired the DSM–IV Task Force, voiced considerable concern for the implications of the new edition.</w:t>
      </w:r>
      <w:r w:rsidRPr="008319BF">
        <w:rPr>
          <w:rFonts w:ascii="Times New Roman" w:eastAsia="Times New Roman" w:hAnsi="Times New Roman" w:cs="Times New Roman"/>
          <w:sz w:val="24"/>
          <w:szCs w:val="24"/>
          <w:vertAlign w:val="superscript"/>
        </w:rPr>
        <w:endnoteReference w:id="161"/>
      </w:r>
      <w:r w:rsidRPr="008319BF">
        <w:rPr>
          <w:rFonts w:ascii="Times New Roman" w:eastAsia="Times New Roman" w:hAnsi="Times New Roman" w:cs="Times New Roman"/>
          <w:sz w:val="24"/>
          <w:szCs w:val="24"/>
        </w:rPr>
        <w:t xml:space="preserve">  The newer version of the diagnostic manual, the DSM V is now being boycotted in protest by many mental health stakeholders, psychiatrists, clinical psychologists, therapists and psychiatric social workers. (Carney J 2011)  </w:t>
      </w:r>
      <w:r w:rsidRPr="008319BF">
        <w:rPr>
          <w:rFonts w:ascii="Times New Roman" w:eastAsia="Times New Roman" w:hAnsi="Times New Roman" w:cs="Times New Roman"/>
          <w:sz w:val="24"/>
          <w:szCs w:val="24"/>
          <w:vertAlign w:val="superscript"/>
        </w:rPr>
        <w:endnoteReference w:id="162"/>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63"/>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64"/>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74449E">
      <w:pPr>
        <w:pStyle w:val="Heading2"/>
      </w:pPr>
      <w:bookmarkStart w:id="105" w:name="_Political_Pressure_to"/>
      <w:bookmarkStart w:id="106" w:name="_Toc414015960"/>
      <w:bookmarkStart w:id="107" w:name="_Toc414292338"/>
      <w:bookmarkEnd w:id="105"/>
      <w:r w:rsidRPr="008319BF">
        <w:t>Political Pressure to Influence Legislation</w:t>
      </w:r>
      <w:bookmarkEnd w:id="106"/>
      <w:bookmarkEnd w:id="107"/>
      <w:r w:rsidRPr="008319BF">
        <w:t xml:space="preserve"> </w:t>
      </w:r>
    </w:p>
    <w:p w:rsidR="000D5B78" w:rsidRDefault="000D5B78"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No mental health profession and no professional activity is safe from the $200 billion pharmaceutical industry financial and political influence.  The largest growing portion of that market is now psychiatric medications which are highly profitable products but of dubious benefit. Pharmaceutical companies spend a majority of their funds in marketing rather than research and development. Financial and political power allows the pharmaceutical industry to push their legislative agenda through Congress, influence regulatory actions of the FDA, and to control research at academic medical centers. Public research institutions funded by tax dollars are doing the basic research for the drugs, but the actual clinical trials are funded privately by the drug companies.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Off-label drug use clinical data is used to expand FDA approval to additional diagnoses. In order to make patented drugs look better than they really are clinical research trials are rigged.  Government granted exclusive marketing rights are extended for years by protective and aggressive industry lawyers.  They also flood the market with copycat drugs of the same general class of drugs that cost a lot more than the drugs they mimic, but really are no more effective (me too drugs).  </w:t>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pharmaceutical industry has found that clinical safety trials are costly to perform. Instead they have sifted their emphasis to political pressure on targeted government officials to sway public policy decision making and thus be able to use federal tax dollars to pay for “off-label” </w:t>
      </w:r>
      <w:r w:rsidRPr="008319BF">
        <w:rPr>
          <w:rFonts w:ascii="Times New Roman" w:eastAsia="Times New Roman" w:hAnsi="Times New Roman" w:cs="Times New Roman"/>
          <w:sz w:val="24"/>
          <w:szCs w:val="24"/>
        </w:rPr>
        <w:lastRenderedPageBreak/>
        <w:t xml:space="preserve">use of welfare recipients as their human subjects. Controlling the decisions of the medical proxy decision makers is therefore their focus rather than making sure that medications are approved by the FDA as safe and effective. </w:t>
      </w:r>
      <w:r w:rsidRPr="008319BF">
        <w:rPr>
          <w:rFonts w:ascii="Times New Roman" w:eastAsia="Times New Roman" w:hAnsi="Times New Roman" w:cs="Times New Roman"/>
          <w:sz w:val="24"/>
          <w:szCs w:val="24"/>
          <w:vertAlign w:val="superscript"/>
        </w:rPr>
        <w:endnoteReference w:id="165"/>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66"/>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67"/>
      </w:r>
      <w:r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vertAlign w:val="superscript"/>
        </w:rPr>
        <w:endnoteReference w:id="168"/>
      </w:r>
    </w:p>
    <w:p w:rsidR="00F43BCB" w:rsidRPr="008319BF" w:rsidRDefault="00F43BCB" w:rsidP="00F43BCB">
      <w:pPr>
        <w:spacing w:after="0" w:line="240" w:lineRule="auto"/>
        <w:rPr>
          <w:rFonts w:ascii="Times New Roman" w:eastAsia="Times New Roman" w:hAnsi="Times New Roman" w:cs="Times New Roman"/>
          <w:sz w:val="24"/>
          <w:szCs w:val="24"/>
        </w:rPr>
      </w:pPr>
    </w:p>
    <w:p w:rsidR="00F43BCB"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pursuit of the almighty dollar often overshadows corporate responsibility to the public.  Annually, the pharmaceuticals industry spends nearly twice as much on marketing as it spends on research and development.  According to the Center for Public Integrity the pharmaceutical and health products industry has spent more than $800 million in federal lobbying and campaign donations at both federal and state levels in the past seven years. (PublicIntegrity.org)  </w:t>
      </w:r>
    </w:p>
    <w:p w:rsidR="00F43BCB" w:rsidRPr="008319BF" w:rsidRDefault="00F43BCB" w:rsidP="00F43BCB">
      <w:pPr>
        <w:spacing w:after="0" w:line="240" w:lineRule="auto"/>
        <w:rPr>
          <w:rFonts w:ascii="Times New Roman" w:eastAsia="Times New Roman" w:hAnsi="Times New Roman" w:cs="Times New Roman"/>
          <w:sz w:val="24"/>
          <w:szCs w:val="24"/>
        </w:rPr>
      </w:pPr>
    </w:p>
    <w:p w:rsid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The Supreme Court Decision, Citizens United v. Federal Election Commission </w:t>
      </w:r>
      <w:r w:rsidRPr="008319BF">
        <w:rPr>
          <w:rFonts w:ascii="Times New Roman" w:eastAsia="Times New Roman" w:hAnsi="Times New Roman" w:cs="Times New Roman"/>
          <w:sz w:val="24"/>
          <w:szCs w:val="24"/>
          <w:vertAlign w:val="superscript"/>
        </w:rPr>
        <w:endnoteReference w:id="169"/>
      </w:r>
      <w:r w:rsidRPr="008319BF">
        <w:rPr>
          <w:rFonts w:ascii="Times New Roman" w:eastAsia="Times New Roman" w:hAnsi="Times New Roman" w:cs="Times New Roman"/>
          <w:sz w:val="24"/>
          <w:szCs w:val="24"/>
        </w:rPr>
        <w:t xml:space="preserve"> has now even further extended the pharmaceutical companies influence over policy makers through unbridled secret contributions to 501 c 4 organizations which then can lobby legislators on behalf of the pharmaceutical industry. Individual citizens of the U.S.A., especially persons with mental disabilities, cannot compete with equal lobbying actions to the pharmaceutical industry.  Indeed, many with mental health diagnosis are actually stripped of their right to vote and even their right to petition their elected representatives for issues crucial to their human rights. Surrogate decision makers often controlled by the medical proxies make voting decisions for the wards and thus vote pro-pharmaceutical interventions. The human rights of wards are lost in this political exercise of power.  Today the pharmaceutical industry has unprecedented ability to spread money to influence thinking, mental health practice, and policy making.  We need to impose reasonable restrictions on those who can exercise such immense financial and political power.</w:t>
      </w:r>
    </w:p>
    <w:p w:rsidR="00FD6847" w:rsidRPr="008319BF" w:rsidRDefault="00F43BCB" w:rsidP="00F43BCB">
      <w:pPr>
        <w:spacing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 xml:space="preserve"> </w:t>
      </w:r>
    </w:p>
    <w:p w:rsidR="00F43BCB" w:rsidRPr="008319BF" w:rsidRDefault="003145A8" w:rsidP="008319BF">
      <w:pPr>
        <w:pStyle w:val="Heading1"/>
      </w:pPr>
      <w:bookmarkStart w:id="108" w:name="_Lack_of_appropriate"/>
      <w:bookmarkStart w:id="109" w:name="_Toc414015961"/>
      <w:bookmarkStart w:id="110" w:name="_Toc414292339"/>
      <w:bookmarkEnd w:id="108"/>
      <w:r w:rsidRPr="008319BF">
        <w:t>IX</w:t>
      </w:r>
      <w:r w:rsidR="0080612C" w:rsidRPr="008319BF">
        <w:t xml:space="preserve">. </w:t>
      </w:r>
      <w:r w:rsidR="00F43BCB" w:rsidRPr="008319BF">
        <w:t>Lack of appropriate rehabilitation programs for victims of torture and ill-treatment</w:t>
      </w:r>
      <w:bookmarkEnd w:id="109"/>
      <w:bookmarkEnd w:id="110"/>
      <w:r w:rsidR="00F43BCB" w:rsidRPr="008319BF">
        <w:t xml:space="preserve"> </w:t>
      </w:r>
    </w:p>
    <w:p w:rsidR="00F43BCB" w:rsidRPr="008319BF" w:rsidRDefault="00F43BCB" w:rsidP="00F43BCB">
      <w:pPr>
        <w:spacing w:before="100" w:after="0" w:line="240" w:lineRule="auto"/>
        <w:rPr>
          <w:rFonts w:ascii="Times New Roman" w:eastAsia="Times New Roman" w:hAnsi="Times New Roman" w:cs="Times New Roman"/>
          <w:sz w:val="24"/>
          <w:szCs w:val="24"/>
        </w:rPr>
      </w:pP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The CAT Committee in 2012 stated that “</w:t>
      </w:r>
      <w:r w:rsidRPr="008319BF">
        <w:rPr>
          <w:rFonts w:ascii="Times New Roman" w:eastAsia="Times New Roman" w:hAnsi="Times New Roman" w:cs="Times New Roman"/>
          <w:i/>
          <w:sz w:val="24"/>
          <w:szCs w:val="24"/>
        </w:rPr>
        <w:t>The USA should ensure that appropriate rehabilitation programmes are provided to all victims of torture and ill-treatment, including medical and psychological assistance.</w:t>
      </w:r>
      <w:r w:rsidRPr="008319BF">
        <w:rPr>
          <w:rFonts w:ascii="Times New Roman" w:eastAsia="Times New Roman" w:hAnsi="Times New Roman" w:cs="Times New Roman"/>
          <w:sz w:val="24"/>
          <w:szCs w:val="24"/>
        </w:rPr>
        <w:t>”</w:t>
      </w:r>
      <w:r w:rsidRPr="008319BF">
        <w:rPr>
          <w:rFonts w:ascii="Times New Roman" w:eastAsia="Times New Roman" w:hAnsi="Times New Roman" w:cs="Times New Roman"/>
          <w:sz w:val="24"/>
          <w:szCs w:val="24"/>
          <w:vertAlign w:val="superscript"/>
        </w:rPr>
        <w:endnoteReference w:id="170"/>
      </w:r>
      <w:r w:rsidRPr="008319BF">
        <w:rPr>
          <w:rFonts w:ascii="Times New Roman" w:eastAsia="Times New Roman" w:hAnsi="Times New Roman" w:cs="Times New Roman"/>
          <w:sz w:val="24"/>
          <w:szCs w:val="24"/>
        </w:rPr>
        <w:t xml:space="preserve">  Medical Whistleblower Advocacy Network recently attended the National Consortium of Torture Treatment Programs (NCTTP) in Washington DC March 4, 2015. The NCTTP estimates that there are between 600,000 to 1,200,000 torture survivors who were tortured by foreign governments and who now live in the U.S.A.  The NCTTP has currently established 24 torture rehabilitation programs in 17 states that serve persons tortured by foreign governments – these programs serve refugees, asylum seekers and those who were granted asylum in the U.S.A.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Current torture survivor programs run primarily with pro-bono legal and medical services and do not provide services to U.S. citizens.</w:t>
      </w:r>
      <w:r w:rsidR="00E428EF" w:rsidRPr="008319BF">
        <w:rPr>
          <w:rFonts w:ascii="Times New Roman" w:eastAsia="Times New Roman" w:hAnsi="Times New Roman" w:cs="Times New Roman"/>
          <w:sz w:val="24"/>
          <w:szCs w:val="24"/>
        </w:rPr>
        <w:t xml:space="preserve"> </w:t>
      </w:r>
      <w:r w:rsidRPr="008319BF">
        <w:rPr>
          <w:rFonts w:ascii="Times New Roman" w:eastAsia="Times New Roman" w:hAnsi="Times New Roman" w:cs="Times New Roman"/>
          <w:sz w:val="24"/>
          <w:szCs w:val="24"/>
        </w:rPr>
        <w:t xml:space="preserve"> There are no established rehabilitation programs for victims of torture and ill-treatment that are U.S. citizens and who were abused on U.S. soil.  U.S. victims of psychiatric torture and abuse still need safe havens in which to obtain needed medical and psychological assistance. </w:t>
      </w:r>
    </w:p>
    <w:p w:rsidR="00F43BCB" w:rsidRPr="008319BF" w:rsidRDefault="00F43BCB" w:rsidP="00F43BCB">
      <w:pPr>
        <w:spacing w:before="100" w:after="0" w:line="240" w:lineRule="auto"/>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t>All established U.S. mental health programs emphasize forced drugging with psychiatric drugs as mental health treatment</w:t>
      </w:r>
      <w:r w:rsidR="00925B75">
        <w:rPr>
          <w:rFonts w:ascii="Times New Roman" w:eastAsia="Times New Roman" w:hAnsi="Times New Roman" w:cs="Times New Roman"/>
          <w:sz w:val="24"/>
          <w:szCs w:val="24"/>
        </w:rPr>
        <w:t>,</w:t>
      </w:r>
      <w:r w:rsidRPr="008319BF">
        <w:rPr>
          <w:rFonts w:ascii="Times New Roman" w:eastAsia="Times New Roman" w:hAnsi="Times New Roman" w:cs="Times New Roman"/>
          <w:sz w:val="24"/>
          <w:szCs w:val="24"/>
        </w:rPr>
        <w:t xml:space="preserve"> and in some states even support the use of electroshock and </w:t>
      </w:r>
      <w:r w:rsidR="00925B75">
        <w:rPr>
          <w:rFonts w:ascii="Times New Roman" w:eastAsia="Times New Roman" w:hAnsi="Times New Roman" w:cs="Times New Roman"/>
          <w:sz w:val="24"/>
          <w:szCs w:val="24"/>
        </w:rPr>
        <w:t xml:space="preserve">even </w:t>
      </w:r>
      <w:r w:rsidRPr="008319BF">
        <w:rPr>
          <w:rFonts w:ascii="Times New Roman" w:eastAsia="Times New Roman" w:hAnsi="Times New Roman" w:cs="Times New Roman"/>
          <w:sz w:val="24"/>
          <w:szCs w:val="24"/>
        </w:rPr>
        <w:lastRenderedPageBreak/>
        <w:t xml:space="preserve">psychosurgery.  Survivors of psychiatric torture therefore avoid the U.S. mental health system and have established </w:t>
      </w:r>
      <w:r w:rsidR="006414B8" w:rsidRPr="008319BF">
        <w:rPr>
          <w:rFonts w:ascii="Times New Roman" w:eastAsia="Times New Roman" w:hAnsi="Times New Roman" w:cs="Times New Roman"/>
          <w:sz w:val="24"/>
          <w:szCs w:val="24"/>
        </w:rPr>
        <w:t xml:space="preserve">a network </w:t>
      </w:r>
      <w:r w:rsidRPr="008319BF">
        <w:rPr>
          <w:rFonts w:ascii="Times New Roman" w:eastAsia="Times New Roman" w:hAnsi="Times New Roman" w:cs="Times New Roman"/>
          <w:sz w:val="24"/>
          <w:szCs w:val="24"/>
        </w:rPr>
        <w:t xml:space="preserve">of those willing to provide help and assistance to those traumatized by forced drugging and electroshock therapy.  These services are sparse and inadequate for the needs of these much traumatized individuals and sympathetic MD doctors are critically needed by </w:t>
      </w:r>
      <w:bookmarkStart w:id="111" w:name="_Toc414015962"/>
      <w:r w:rsidRPr="008319BF">
        <w:rPr>
          <w:rFonts w:ascii="Times New Roman" w:eastAsia="Times New Roman" w:hAnsi="Times New Roman" w:cs="Times New Roman"/>
          <w:sz w:val="24"/>
          <w:szCs w:val="24"/>
        </w:rPr>
        <w:t>psychiatric abuse survivors.</w:t>
      </w:r>
    </w:p>
    <w:p w:rsidR="00F43BCB" w:rsidRPr="008319BF" w:rsidRDefault="00F43BCB" w:rsidP="00F43BCB">
      <w:pPr>
        <w:spacing w:before="100" w:after="0" w:line="240" w:lineRule="auto"/>
        <w:rPr>
          <w:rFonts w:ascii="Times New Roman" w:eastAsia="Times New Roman" w:hAnsi="Times New Roman" w:cs="Times New Roman"/>
          <w:sz w:val="24"/>
          <w:szCs w:val="24"/>
        </w:rPr>
      </w:pPr>
    </w:p>
    <w:p w:rsidR="00760E32" w:rsidRDefault="00760E32">
      <w:pPr>
        <w:rPr>
          <w:rFonts w:ascii="Times New Roman" w:eastAsia="Times New Roman" w:hAnsi="Times New Roman" w:cs="Times New Roman"/>
          <w:sz w:val="24"/>
          <w:szCs w:val="24"/>
        </w:rPr>
      </w:pPr>
      <w:r w:rsidRPr="008319BF">
        <w:rPr>
          <w:rFonts w:ascii="Times New Roman" w:eastAsia="Times New Roman" w:hAnsi="Times New Roman" w:cs="Times New Roman"/>
          <w:sz w:val="24"/>
          <w:szCs w:val="24"/>
        </w:rPr>
        <w:br w:type="page"/>
      </w:r>
      <w:bookmarkEnd w:id="111"/>
    </w:p>
    <w:sectPr w:rsidR="00760E32" w:rsidSect="00655E37">
      <w:headerReference w:type="default" r:id="rId9"/>
      <w:footerReference w:type="default" r:id="rId10"/>
      <w:endnotePr>
        <w:numFmt w:val="decimal"/>
      </w:endnotePr>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4D7D" w:rsidRDefault="00064D7D" w:rsidP="00F43BCB">
      <w:pPr>
        <w:spacing w:after="0" w:line="240" w:lineRule="auto"/>
      </w:pPr>
      <w:r>
        <w:separator/>
      </w:r>
    </w:p>
  </w:endnote>
  <w:endnote w:type="continuationSeparator" w:id="0">
    <w:p w:rsidR="00064D7D" w:rsidRDefault="00064D7D" w:rsidP="00F43BCB">
      <w:pPr>
        <w:spacing w:after="0" w:line="240" w:lineRule="auto"/>
      </w:pPr>
      <w:r>
        <w:continuationSeparator/>
      </w:r>
    </w:p>
  </w:endnote>
  <w:endnote w:id="1">
    <w:p w:rsidR="00064D7D" w:rsidRPr="003722FF" w:rsidRDefault="00064D7D" w:rsidP="006E124A">
      <w:r w:rsidRPr="003722FF">
        <w:rPr>
          <w:rStyle w:val="EndnoteReference"/>
          <w:rFonts w:cs="Arial"/>
        </w:rPr>
        <w:endnoteRef/>
      </w:r>
      <w:r w:rsidRPr="003722FF">
        <w:t xml:space="preserve"> </w:t>
      </w:r>
      <w:r w:rsidRPr="003722FF">
        <w:rPr>
          <w:rFonts w:eastAsia="Arial Unicode MS"/>
          <w:kern w:val="3"/>
        </w:rPr>
        <w:t>CPT Standards, 2002, CPT/inf/E (2002) 1,  V. Involuntary placement in psychiatric establishments, para 41,  Extract from the 8th General Report [CPT/Inf (98) 12]</w:t>
      </w:r>
    </w:p>
  </w:endnote>
  <w:endnote w:id="2">
    <w:p w:rsidR="00064D7D" w:rsidRPr="003722FF" w:rsidRDefault="00064D7D" w:rsidP="003722FF">
      <w:r w:rsidRPr="003722FF">
        <w:rPr>
          <w:rStyle w:val="EndnoteReference"/>
          <w:rFonts w:cs="Arial"/>
        </w:rPr>
        <w:endnoteRef/>
      </w:r>
      <w:r w:rsidRPr="003722FF">
        <w:t xml:space="preserve"> Substance Abuse and Mental Health Services Administration, Results from the 2012 National Survey on Drug Use and Health: Mental Health Findings, NSDUH Series H-47, HHS Publication No. (SMA) 13-4805. Rockville, MD: Substance Abuse and Mental Health Services Administration, 2013.</w:t>
      </w:r>
    </w:p>
  </w:endnote>
  <w:endnote w:id="3">
    <w:p w:rsidR="00064D7D" w:rsidRPr="003722FF" w:rsidRDefault="00064D7D" w:rsidP="003722FF">
      <w:r w:rsidRPr="003722FF">
        <w:rPr>
          <w:rStyle w:val="EndnoteReference"/>
          <w:rFonts w:cs="Arial"/>
        </w:rPr>
        <w:endnoteRef/>
      </w:r>
      <w:r w:rsidRPr="003722FF">
        <w:t xml:space="preserve"> </w:t>
      </w:r>
      <w:r w:rsidRPr="003722FF">
        <w:rPr>
          <w:rFonts w:eastAsia="Verdana"/>
          <w:color w:val="000000"/>
        </w:rPr>
        <w:t xml:space="preserve">Leonnig, Carol D., Lena H. Sun and Sarah Cohen. (2003) “Misplaced Trust: Special Report.” The Washington Post (June 15-16, 2003). </w:t>
      </w:r>
    </w:p>
  </w:endnote>
  <w:endnote w:id="4">
    <w:p w:rsidR="00064D7D" w:rsidRPr="003722FF" w:rsidRDefault="00064D7D" w:rsidP="003722FF">
      <w:r w:rsidRPr="003722FF">
        <w:rPr>
          <w:rStyle w:val="EndnoteReference"/>
          <w:rFonts w:cs="Arial"/>
        </w:rPr>
        <w:endnoteRef/>
      </w:r>
      <w:r w:rsidRPr="003722FF">
        <w:t xml:space="preserve"> </w:t>
      </w:r>
      <w:r w:rsidR="009E1DFF">
        <w:rPr>
          <w:rFonts w:eastAsia="Verdana"/>
          <w:color w:val="000000"/>
        </w:rPr>
        <w:t>Fields, Robin;</w:t>
      </w:r>
      <w:r w:rsidRPr="003722FF">
        <w:rPr>
          <w:rFonts w:eastAsia="Verdana"/>
          <w:color w:val="000000"/>
        </w:rPr>
        <w:t xml:space="preserve"> </w:t>
      </w:r>
      <w:r w:rsidR="009E1DFF">
        <w:rPr>
          <w:rFonts w:eastAsia="Verdana"/>
          <w:color w:val="000000"/>
        </w:rPr>
        <w:t xml:space="preserve">Larrubia, </w:t>
      </w:r>
      <w:r w:rsidRPr="003722FF">
        <w:rPr>
          <w:rFonts w:eastAsia="Verdana"/>
          <w:color w:val="000000"/>
        </w:rPr>
        <w:t xml:space="preserve">Evelyn and </w:t>
      </w:r>
      <w:r w:rsidR="009E1DFF">
        <w:rPr>
          <w:rFonts w:eastAsia="Verdana"/>
          <w:color w:val="000000"/>
        </w:rPr>
        <w:t xml:space="preserve">Leonard, </w:t>
      </w:r>
      <w:r w:rsidRPr="003722FF">
        <w:rPr>
          <w:rFonts w:eastAsia="Verdana"/>
          <w:color w:val="000000"/>
        </w:rPr>
        <w:t xml:space="preserve">Jack. (2005)“Guardians for Profit.” Los Angeles Times (November 13-16, 2005). </w:t>
      </w:r>
    </w:p>
  </w:endnote>
  <w:endnote w:id="5">
    <w:p w:rsidR="00064D7D" w:rsidRPr="003722FF" w:rsidRDefault="00064D7D" w:rsidP="003722FF">
      <w:r w:rsidRPr="003722FF">
        <w:rPr>
          <w:rStyle w:val="EndnoteReference"/>
          <w:rFonts w:cs="Arial"/>
        </w:rPr>
        <w:endnoteRef/>
      </w:r>
      <w:r w:rsidRPr="003722FF">
        <w:t xml:space="preserve"> </w:t>
      </w:r>
      <w:r w:rsidRPr="003722FF">
        <w:rPr>
          <w:rFonts w:eastAsia="Verdana"/>
          <w:color w:val="000000"/>
        </w:rPr>
        <w:t xml:space="preserve">United States Government Accountability Office GAO Testimony Before the Special Committee on Aging, U.S. Senate, GUARDIANSHIPS, Little Progress in Ensuring Protection for Incapacitated Elderly People Statement of Barbara D. Bovbjerg, Director Education, Workforce, and Income Security, September 7, 2006, GAO-06- 1086T. </w:t>
      </w:r>
    </w:p>
  </w:endnote>
  <w:endnote w:id="6">
    <w:p w:rsidR="00064D7D" w:rsidRPr="003722FF" w:rsidRDefault="00064D7D" w:rsidP="003722FF">
      <w:r w:rsidRPr="003722FF">
        <w:rPr>
          <w:rStyle w:val="EndnoteReference"/>
          <w:rFonts w:cs="Arial"/>
        </w:rPr>
        <w:endnoteRef/>
      </w:r>
      <w:r w:rsidRPr="003722FF">
        <w:t xml:space="preserve"> Wood, Erica F. (2006) “State-Level Adult Guardianship Data: An Exploratory Survey,” American Bar Association Commission on Law and Aging for the National Center on Elder Abuse, August 2006.  </w:t>
      </w:r>
    </w:p>
  </w:endnote>
  <w:endnote w:id="7">
    <w:p w:rsidR="00064D7D" w:rsidRPr="003722FF" w:rsidRDefault="00064D7D" w:rsidP="003722FF">
      <w:r w:rsidRPr="003722FF">
        <w:rPr>
          <w:rStyle w:val="EndnoteReference"/>
          <w:rFonts w:cs="Arial"/>
        </w:rPr>
        <w:endnoteRef/>
      </w:r>
      <w:r w:rsidRPr="003722FF">
        <w:t xml:space="preserve"> </w:t>
      </w:r>
      <w:r w:rsidRPr="003722FF">
        <w:rPr>
          <w:rFonts w:eastAsia="Verdana"/>
          <w:color w:val="000000"/>
        </w:rPr>
        <w:t xml:space="preserve">Yeoman, Barry. (2004) “Stolen Lives.” AARP: The Magazine (January-February 2004). </w:t>
      </w:r>
    </w:p>
  </w:endnote>
  <w:endnote w:id="8">
    <w:p w:rsidR="00064D7D" w:rsidRPr="003722FF" w:rsidRDefault="00064D7D" w:rsidP="003722FF">
      <w:r w:rsidRPr="003722FF">
        <w:rPr>
          <w:rStyle w:val="EndnoteReference"/>
          <w:rFonts w:cs="Arial"/>
        </w:rPr>
        <w:endnoteRef/>
      </w:r>
      <w:r w:rsidRPr="003722FF">
        <w:t xml:space="preserve"> </w:t>
      </w:r>
      <w:r w:rsidRPr="003722FF">
        <w:rPr>
          <w:rFonts w:eastAsia="Verdana"/>
          <w:color w:val="000000"/>
        </w:rPr>
        <w:t xml:space="preserve">Jones, Allen. (2004)  “TMAP Critique,” January 20, 2004, PschRights.org,  (see: </w:t>
      </w:r>
      <w:r w:rsidRPr="003722FF">
        <w:rPr>
          <w:rFonts w:eastAsia="Verdana"/>
        </w:rPr>
        <w:t>http://psychrights.org/Drugs/AllenJonesTMAPJanuary20.pdf)</w:t>
      </w:r>
    </w:p>
  </w:endnote>
  <w:endnote w:id="9">
    <w:p w:rsidR="00064D7D" w:rsidRPr="003722FF" w:rsidRDefault="00064D7D" w:rsidP="003722FF">
      <w:r w:rsidRPr="003722FF">
        <w:rPr>
          <w:rStyle w:val="EndnoteReference"/>
          <w:rFonts w:cs="Arial"/>
        </w:rPr>
        <w:endnoteRef/>
      </w:r>
      <w:r w:rsidRPr="003722FF">
        <w:t xml:space="preserve"> </w:t>
      </w:r>
      <w:r w:rsidRPr="003722FF">
        <w:rPr>
          <w:rFonts w:eastAsia="Arial Unicode MS"/>
          <w:kern w:val="3"/>
        </w:rPr>
        <w:t>United States ex rel Law Project for Psychiatric Rights v. Matsutani, et al.  US District Court, District of Alaska, Case No. 3:09-cv-0080-TMB.</w:t>
      </w:r>
    </w:p>
  </w:endnote>
  <w:endnote w:id="10">
    <w:p w:rsidR="00064D7D" w:rsidRPr="003722FF" w:rsidRDefault="00064D7D" w:rsidP="003722FF">
      <w:r w:rsidRPr="003722FF">
        <w:rPr>
          <w:rStyle w:val="EndnoteReference"/>
          <w:rFonts w:cs="Arial"/>
        </w:rPr>
        <w:endnoteRef/>
      </w:r>
      <w:r w:rsidRPr="003722FF">
        <w:t xml:space="preserve"> Jones, Allen, (2004)“Introduction to the documents on Big Pharma Corruption in Research &amp; Clinical Trials,” Revised January 20, 2004, The Law Project for Psychiatric Rights http://psychrights.org/ </w:t>
      </w:r>
    </w:p>
  </w:endnote>
  <w:endnote w:id="11">
    <w:p w:rsidR="00064D7D" w:rsidRPr="003722FF" w:rsidRDefault="00064D7D" w:rsidP="003722FF">
      <w:r w:rsidRPr="003722FF">
        <w:rPr>
          <w:rStyle w:val="EndnoteReference"/>
          <w:rFonts w:cs="Arial"/>
        </w:rPr>
        <w:endnoteRef/>
      </w:r>
      <w:r w:rsidRPr="003722FF">
        <w:t xml:space="preserve"> Jackson, </w:t>
      </w:r>
      <w:r w:rsidRPr="003722FF">
        <w:rPr>
          <w:rFonts w:eastAsia="Verdana"/>
          <w:color w:val="000000"/>
        </w:rPr>
        <w:t xml:space="preserve">Grace E., MD, (2004) ”What Doctors May Not Tell You About Psychiatric Drugs” Public Lecture, UCE Birmingham June 2004  </w:t>
      </w:r>
    </w:p>
  </w:endnote>
  <w:endnote w:id="12">
    <w:p w:rsidR="00064D7D" w:rsidRPr="003722FF" w:rsidRDefault="00064D7D" w:rsidP="003722FF">
      <w:r w:rsidRPr="003722FF">
        <w:rPr>
          <w:rStyle w:val="EndnoteReference"/>
          <w:rFonts w:cs="Arial"/>
        </w:rPr>
        <w:endnoteRef/>
      </w:r>
      <w:r w:rsidRPr="003722FF">
        <w:t xml:space="preserve"> March 21, 2000 Report to the court by Dr. Loren R. Mosher M.D. regarding Eric Harris  and Luvox use prior to the Columbine High School shooting, Scoteria Associates</w:t>
      </w:r>
    </w:p>
  </w:endnote>
  <w:endnote w:id="13">
    <w:p w:rsidR="00064D7D" w:rsidRPr="003722FF" w:rsidRDefault="00064D7D" w:rsidP="003722FF">
      <w:r w:rsidRPr="003722FF">
        <w:rPr>
          <w:rStyle w:val="EndnoteReference"/>
          <w:rFonts w:cs="Arial"/>
        </w:rPr>
        <w:endnoteRef/>
      </w:r>
      <w:r w:rsidRPr="003722FF">
        <w:t xml:space="preserve"> Jackson, Grace E. (2005) “Rethinking Psychiatric Drugs: A Guide for Informed Consent.” Bloomington, IN: Author House.</w:t>
      </w:r>
    </w:p>
  </w:endnote>
  <w:endnote w:id="14">
    <w:p w:rsidR="00064D7D" w:rsidRPr="003722FF" w:rsidRDefault="00064D7D" w:rsidP="008E2574">
      <w:r w:rsidRPr="003722FF">
        <w:rPr>
          <w:rStyle w:val="EndnoteCharacters"/>
          <w:rFonts w:cs="Arial"/>
          <w:vertAlign w:val="superscript"/>
        </w:rPr>
        <w:endnoteRef/>
      </w:r>
      <w:r w:rsidRPr="003722FF">
        <w:t xml:space="preserve"> World Medical Association Declaration Of Helsinki</w:t>
      </w:r>
    </w:p>
  </w:endnote>
  <w:endnote w:id="15">
    <w:p w:rsidR="00064D7D" w:rsidRPr="003722FF" w:rsidRDefault="00064D7D" w:rsidP="008E2574">
      <w:r w:rsidRPr="003722FF">
        <w:rPr>
          <w:rStyle w:val="EndnoteCharacters"/>
          <w:rFonts w:cs="Arial"/>
          <w:vertAlign w:val="superscript"/>
        </w:rPr>
        <w:endnoteRef/>
      </w:r>
      <w:r w:rsidRPr="003722FF">
        <w:rPr>
          <w:vertAlign w:val="superscript"/>
        </w:rPr>
        <w:t xml:space="preserve"> </w:t>
      </w:r>
      <w:r w:rsidRPr="003722FF">
        <w:t xml:space="preserve">The Belmont Report Ethical Principles and Guidelines for the Protection of Human Subjects of Research </w:t>
      </w:r>
    </w:p>
  </w:endnote>
  <w:endnote w:id="16">
    <w:p w:rsidR="00064D7D" w:rsidRPr="003722FF" w:rsidRDefault="00064D7D" w:rsidP="008E2574">
      <w:r w:rsidRPr="003722FF">
        <w:rPr>
          <w:rStyle w:val="EndnoteCharacters"/>
          <w:rFonts w:cs="Arial"/>
          <w:vertAlign w:val="superscript"/>
        </w:rPr>
        <w:endnoteRef/>
      </w:r>
      <w:r w:rsidRPr="003722FF">
        <w:rPr>
          <w:vertAlign w:val="superscript"/>
        </w:rPr>
        <w:t xml:space="preserve"> </w:t>
      </w:r>
      <w:r w:rsidRPr="003722FF">
        <w:t>Human Subjects Guidance by Health and Human Services, (see:http://www.hhs.gov/ohrp/humansubjects/guidance/45cfr46.html)</w:t>
      </w:r>
    </w:p>
  </w:endnote>
  <w:endnote w:id="17">
    <w:p w:rsidR="00064D7D" w:rsidRPr="003722FF" w:rsidRDefault="00064D7D" w:rsidP="008E2574">
      <w:r w:rsidRPr="003722FF">
        <w:rPr>
          <w:rStyle w:val="EndnoteCharacters"/>
          <w:rFonts w:cs="Arial"/>
          <w:vertAlign w:val="superscript"/>
        </w:rPr>
        <w:endnoteRef/>
      </w:r>
      <w:r w:rsidRPr="003722FF">
        <w:t xml:space="preserve"> In re </w:t>
      </w:r>
      <w:r w:rsidRPr="003722FF">
        <w:rPr>
          <w:i/>
          <w:iCs/>
        </w:rPr>
        <w:t>Cincinnati Radiation Litigation</w:t>
      </w:r>
      <w:r w:rsidRPr="003722FF">
        <w:t>, 874 F. Supp. 796 (S.D. Ohio, 1995), at 810-811, stating “[t]he right to be free of state-sponsored invasion of a person's bodily integrity is protected by the [constitutional] guarantee of due process."</w:t>
      </w:r>
    </w:p>
  </w:endnote>
  <w:endnote w:id="18">
    <w:p w:rsidR="00064D7D" w:rsidRPr="003722FF" w:rsidRDefault="00064D7D" w:rsidP="008E2574">
      <w:r w:rsidRPr="003722FF">
        <w:rPr>
          <w:rStyle w:val="EndnoteCharacters"/>
          <w:rFonts w:cs="Arial"/>
          <w:vertAlign w:val="superscript"/>
        </w:rPr>
        <w:endnoteRef/>
      </w:r>
      <w:r w:rsidRPr="003722FF">
        <w:rPr>
          <w:rFonts w:eastAsia="Arial Unicode MS"/>
          <w:color w:val="000000"/>
        </w:rPr>
        <w:t xml:space="preserve"> See 21 U.S.C. 355 (i.) (4) and 360j (g) (3) (D).</w:t>
      </w:r>
    </w:p>
  </w:endnote>
  <w:endnote w:id="19">
    <w:p w:rsidR="00064D7D" w:rsidRPr="003722FF" w:rsidRDefault="00064D7D" w:rsidP="008E2574">
      <w:r w:rsidRPr="003722FF">
        <w:rPr>
          <w:rStyle w:val="EndnoteReference"/>
          <w:rFonts w:cs="Arial"/>
        </w:rPr>
        <w:endnoteRef/>
      </w:r>
      <w:r w:rsidRPr="003722FF">
        <w:t xml:space="preserve"> </w:t>
      </w:r>
      <w:r w:rsidRPr="003722FF">
        <w:rPr>
          <w:rFonts w:eastAsia="Arial Unicode MS"/>
          <w:kern w:val="3"/>
        </w:rPr>
        <w:t>Nuremberg Code Directives for Human Experimentation</w:t>
      </w:r>
    </w:p>
  </w:endnote>
  <w:endnote w:id="20">
    <w:p w:rsidR="00064D7D" w:rsidRPr="003722FF" w:rsidRDefault="00064D7D" w:rsidP="008E2574">
      <w:r w:rsidRPr="003722FF">
        <w:rPr>
          <w:rStyle w:val="EndnoteReference"/>
          <w:rFonts w:cs="Arial"/>
        </w:rPr>
        <w:endnoteRef/>
      </w:r>
      <w:r w:rsidRPr="003722FF">
        <w:t xml:space="preserve"> </w:t>
      </w:r>
      <w:r w:rsidRPr="003722FF">
        <w:rPr>
          <w:rFonts w:eastAsia="Arial Unicode MS"/>
          <w:kern w:val="3"/>
        </w:rPr>
        <w:t>World Medical Association Declaration Of Helsinki</w:t>
      </w:r>
    </w:p>
  </w:endnote>
  <w:endnote w:id="21">
    <w:p w:rsidR="00064D7D" w:rsidRPr="003722FF" w:rsidRDefault="00064D7D" w:rsidP="008E2574">
      <w:r w:rsidRPr="003722FF">
        <w:rPr>
          <w:rStyle w:val="EndnoteReference"/>
          <w:rFonts w:cs="Arial"/>
        </w:rPr>
        <w:endnoteRef/>
      </w:r>
      <w:r w:rsidRPr="003722FF">
        <w:t xml:space="preserve"> Health and Human Services – Human Subjects Guidance, (see: http://www.hhs.gov/ohrp/humansubjects/guidance/45cfr46.html )</w:t>
      </w:r>
    </w:p>
  </w:endnote>
  <w:endnote w:id="22">
    <w:p w:rsidR="00064D7D" w:rsidRPr="003722FF" w:rsidRDefault="00064D7D" w:rsidP="008E2574">
      <w:r w:rsidRPr="003722FF">
        <w:rPr>
          <w:rStyle w:val="EndnoteReference"/>
          <w:rFonts w:cs="Arial"/>
        </w:rPr>
        <w:endnoteRef/>
      </w:r>
      <w:r w:rsidRPr="003722FF">
        <w:t xml:space="preserve"> </w:t>
      </w:r>
      <w:r w:rsidRPr="003722FF">
        <w:rPr>
          <w:rFonts w:eastAsia="Arial Unicode MS"/>
          <w:kern w:val="3"/>
        </w:rPr>
        <w:t xml:space="preserve">The Belmont Report Ethical Principles and Guidelines for the Protection of Human Subjects of Research </w:t>
      </w:r>
    </w:p>
  </w:endnote>
  <w:endnote w:id="23">
    <w:p w:rsidR="00064D7D" w:rsidRPr="003722FF" w:rsidRDefault="00064D7D" w:rsidP="008E2574">
      <w:r w:rsidRPr="003722FF">
        <w:rPr>
          <w:rStyle w:val="EndnoteReference"/>
          <w:rFonts w:cs="Arial"/>
        </w:rPr>
        <w:endnoteRef/>
      </w:r>
      <w:r w:rsidRPr="003722FF">
        <w:t xml:space="preserve"> </w:t>
      </w:r>
      <w:r w:rsidRPr="003722FF">
        <w:rPr>
          <w:rFonts w:eastAsia="Arial Unicode MS"/>
          <w:kern w:val="3"/>
        </w:rPr>
        <w:t>Guidelines for Conduct of Research Involving Human Subjects at NIH</w:t>
      </w:r>
    </w:p>
  </w:endnote>
  <w:endnote w:id="24">
    <w:p w:rsidR="00064D7D" w:rsidRPr="003722FF" w:rsidRDefault="00064D7D" w:rsidP="008E2574">
      <w:r w:rsidRPr="003722FF">
        <w:rPr>
          <w:rStyle w:val="EndnoteCharacters"/>
          <w:rFonts w:cs="Arial"/>
          <w:vertAlign w:val="superscript"/>
        </w:rPr>
        <w:endnoteRef/>
      </w:r>
      <w:r w:rsidRPr="003722FF">
        <w:t xml:space="preserve"> The Tuskegee Syphilis Experiment and the unethical use of human subjects was the reason for the National Research Act (1974).</w:t>
      </w:r>
    </w:p>
  </w:endnote>
  <w:endnote w:id="25">
    <w:p w:rsidR="00064D7D" w:rsidRPr="003722FF" w:rsidRDefault="00064D7D" w:rsidP="008E2574">
      <w:r w:rsidRPr="003722FF">
        <w:rPr>
          <w:rStyle w:val="EndnoteCharacters"/>
          <w:rFonts w:cs="Arial"/>
          <w:vertAlign w:val="superscript"/>
        </w:rPr>
        <w:endnoteRef/>
      </w:r>
      <w:r w:rsidRPr="003722FF">
        <w:rPr>
          <w:iCs/>
        </w:rPr>
        <w:t xml:space="preserve"> </w:t>
      </w:r>
      <w:r w:rsidRPr="003722FF">
        <w:rPr>
          <w:i/>
          <w:iCs/>
        </w:rPr>
        <w:t>Mills v. Rogers</w:t>
      </w:r>
      <w:r w:rsidRPr="003722FF">
        <w:t>, 457 U.S. 291, 299 (1982)</w:t>
      </w:r>
    </w:p>
  </w:endnote>
  <w:endnote w:id="26">
    <w:p w:rsidR="00064D7D" w:rsidRPr="003722FF" w:rsidRDefault="00064D7D" w:rsidP="008E2574">
      <w:r w:rsidRPr="003722FF">
        <w:rPr>
          <w:rStyle w:val="EndnoteCharacters"/>
          <w:rFonts w:cs="Arial"/>
          <w:vertAlign w:val="superscript"/>
        </w:rPr>
        <w:endnoteRef/>
      </w:r>
      <w:r w:rsidRPr="003722FF">
        <w:rPr>
          <w:i/>
          <w:iCs/>
          <w:vertAlign w:val="superscript"/>
        </w:rPr>
        <w:t xml:space="preserve"> </w:t>
      </w:r>
      <w:r w:rsidRPr="003722FF">
        <w:rPr>
          <w:i/>
          <w:iCs/>
        </w:rPr>
        <w:t>Rennie v. Klein</w:t>
      </w:r>
      <w:r w:rsidRPr="003722FF">
        <w:t>, 476 F. Supp. 1294, 1313 (D.N.J. 1979).</w:t>
      </w:r>
    </w:p>
  </w:endnote>
  <w:endnote w:id="27">
    <w:p w:rsidR="00064D7D" w:rsidRPr="003722FF" w:rsidRDefault="00064D7D" w:rsidP="008E2574">
      <w:r w:rsidRPr="003722FF">
        <w:rPr>
          <w:rStyle w:val="EndnoteCharacters"/>
          <w:rFonts w:cs="Arial"/>
          <w:vertAlign w:val="superscript"/>
        </w:rPr>
        <w:endnoteRef/>
      </w:r>
      <w:r w:rsidRPr="003722FF">
        <w:t xml:space="preserve"> </w:t>
      </w:r>
      <w:r w:rsidRPr="003722FF">
        <w:rPr>
          <w:i/>
          <w:iCs/>
        </w:rPr>
        <w:t>Brandt v. Monte</w:t>
      </w:r>
      <w:r w:rsidRPr="003722FF">
        <w:t>, 626 F. Supp.2d 469, 486 (D.N.J. 2009) (citing Rochin v. California, 342 U.S. 165, 172-74 (1952))</w:t>
      </w:r>
    </w:p>
  </w:endnote>
  <w:endnote w:id="28">
    <w:p w:rsidR="00064D7D" w:rsidRPr="003722FF" w:rsidRDefault="00064D7D" w:rsidP="008E2574">
      <w:r w:rsidRPr="003722FF">
        <w:rPr>
          <w:rStyle w:val="EndnoteCharacters"/>
          <w:rFonts w:cs="Arial"/>
          <w:vertAlign w:val="superscript"/>
        </w:rPr>
        <w:endnoteRef/>
      </w:r>
      <w:r w:rsidRPr="003722FF">
        <w:t xml:space="preserve"> Mills, 457 U.S. at 293 n.1, and “alter the chemical balance in a patient’s brain, leading to changes in his or her cognitive processes.” Harper, 494 U.S. at 229.</w:t>
      </w:r>
    </w:p>
  </w:endnote>
  <w:endnote w:id="29">
    <w:p w:rsidR="00064D7D" w:rsidRPr="003722FF" w:rsidRDefault="00064D7D" w:rsidP="008E2574">
      <w:r w:rsidRPr="003722FF">
        <w:rPr>
          <w:rStyle w:val="EndnoteCharacters"/>
          <w:rFonts w:cs="Arial"/>
          <w:vertAlign w:val="superscript"/>
        </w:rPr>
        <w:endnoteRef/>
      </w:r>
      <w:r w:rsidRPr="003722FF">
        <w:t xml:space="preserve"> </w:t>
      </w:r>
      <w:r w:rsidRPr="003722FF">
        <w:rPr>
          <w:i/>
          <w:iCs/>
        </w:rPr>
        <w:t>Scott v. Plante</w:t>
      </w:r>
      <w:r w:rsidRPr="003722FF">
        <w:t>, 532 F.2d 939, 946 (3d Cir. 1976)</w:t>
      </w:r>
    </w:p>
  </w:endnote>
  <w:endnote w:id="30">
    <w:p w:rsidR="00064D7D" w:rsidRPr="003722FF" w:rsidRDefault="00064D7D" w:rsidP="008E2574">
      <w:r w:rsidRPr="003722FF">
        <w:rPr>
          <w:rStyle w:val="EndnoteReference"/>
          <w:rFonts w:cs="Arial"/>
        </w:rPr>
        <w:endnoteRef/>
      </w:r>
      <w:r w:rsidRPr="003722FF">
        <w:t xml:space="preserve"> </w:t>
      </w:r>
      <w:r w:rsidRPr="003722FF">
        <w:rPr>
          <w:rFonts w:eastAsia="Arial Unicode MS"/>
          <w:kern w:val="3"/>
        </w:rPr>
        <w:t xml:space="preserve">Addington v. Texas, 441 U.S. 418 (1979) (civil commitment) </w:t>
      </w:r>
    </w:p>
  </w:endnote>
  <w:endnote w:id="31">
    <w:p w:rsidR="00064D7D" w:rsidRPr="003722FF" w:rsidRDefault="00064D7D" w:rsidP="008E2574">
      <w:r w:rsidRPr="003722FF">
        <w:rPr>
          <w:rStyle w:val="EndnoteReference"/>
          <w:rFonts w:cs="Arial"/>
        </w:rPr>
        <w:endnoteRef/>
      </w:r>
      <w:r w:rsidRPr="003722FF">
        <w:t xml:space="preserve"> </w:t>
      </w:r>
      <w:r w:rsidRPr="003722FF">
        <w:rPr>
          <w:rFonts w:eastAsia="Arial Unicode MS"/>
          <w:kern w:val="3"/>
        </w:rPr>
        <w:t>U.S. v. Sell, Riggins v. Nevada, 504 U.S. 97 (1992).</w:t>
      </w:r>
    </w:p>
  </w:endnote>
  <w:endnote w:id="32">
    <w:p w:rsidR="00064D7D" w:rsidRPr="003722FF" w:rsidRDefault="00064D7D" w:rsidP="008E2574">
      <w:r w:rsidRPr="003722FF">
        <w:rPr>
          <w:rStyle w:val="EndnoteReference"/>
          <w:rFonts w:cs="Arial"/>
        </w:rPr>
        <w:endnoteRef/>
      </w:r>
      <w:r w:rsidRPr="003722FF">
        <w:t xml:space="preserve"> </w:t>
      </w:r>
      <w:r w:rsidRPr="003722FF">
        <w:rPr>
          <w:rFonts w:eastAsia="Arial Unicode MS"/>
          <w:kern w:val="3"/>
        </w:rPr>
        <w:t>See U.N. Doc. A/63/175 (2008), particularly paragraphs 40, 44, 47, 49, 50, 61-65, 73-74.</w:t>
      </w:r>
    </w:p>
  </w:endnote>
  <w:endnote w:id="33">
    <w:p w:rsidR="00064D7D" w:rsidRPr="003722FF" w:rsidRDefault="00064D7D" w:rsidP="008E2574">
      <w:r w:rsidRPr="003722FF">
        <w:rPr>
          <w:rStyle w:val="EndnoteCharacters"/>
          <w:rFonts w:cs="Arial"/>
          <w:vertAlign w:val="superscript"/>
        </w:rPr>
        <w:endnoteRef/>
      </w:r>
      <w:r w:rsidRPr="003722FF">
        <w:t xml:space="preserve"> </w:t>
      </w:r>
      <w:r w:rsidRPr="003722FF">
        <w:rPr>
          <w:i/>
          <w:iCs/>
        </w:rPr>
        <w:t>Meador v. Stahler and Gheridian</w:t>
      </w:r>
      <w:r w:rsidRPr="003722FF">
        <w:t xml:space="preserve"> (Middlesex Superior Court C.A. No. 88-6450, Mass. 1993)</w:t>
      </w:r>
    </w:p>
  </w:endnote>
  <w:endnote w:id="34">
    <w:p w:rsidR="00064D7D" w:rsidRPr="003722FF" w:rsidRDefault="00064D7D" w:rsidP="008E2574">
      <w:r w:rsidRPr="003722FF">
        <w:rPr>
          <w:rStyle w:val="EndnoteCharacters"/>
          <w:rFonts w:cs="Arial"/>
          <w:vertAlign w:val="superscript"/>
        </w:rPr>
        <w:endnoteRef/>
      </w:r>
      <w:r w:rsidRPr="003722FF">
        <w:t xml:space="preserve"> Jackson, G.R., (2005). Rethinking psychiatric drugs: A guide to informed consent. Bloomington, IN: Author House</w:t>
      </w:r>
    </w:p>
  </w:endnote>
  <w:endnote w:id="35">
    <w:p w:rsidR="00064D7D" w:rsidRPr="003722FF" w:rsidRDefault="00064D7D" w:rsidP="003722FF">
      <w:r w:rsidRPr="003722FF">
        <w:rPr>
          <w:rStyle w:val="EndnoteReference"/>
          <w:rFonts w:cs="Arial"/>
        </w:rPr>
        <w:endnoteRef/>
      </w:r>
      <w:r w:rsidRPr="003722FF">
        <w:t xml:space="preserve"> The Human Rights and Special Prosecution Section of the U.S. Department of Justice Criminal Division, Kathleen O’Connor, Keeney Building, Suite 200, 950 Pennsylvania Ave. NW, Washington, D.C. 20530-0001,  1-800-813-5863.</w:t>
      </w:r>
    </w:p>
  </w:endnote>
  <w:endnote w:id="36">
    <w:p w:rsidR="00064D7D" w:rsidRPr="003722FF" w:rsidRDefault="00064D7D" w:rsidP="003722FF">
      <w:r w:rsidRPr="003722FF">
        <w:rPr>
          <w:rStyle w:val="EndnoteReference"/>
          <w:rFonts w:cs="Arial"/>
        </w:rPr>
        <w:endnoteRef/>
      </w:r>
      <w:r w:rsidRPr="003722FF">
        <w:t xml:space="preserve"> </w:t>
      </w:r>
      <w:r w:rsidRPr="003722FF">
        <w:rPr>
          <w:rFonts w:eastAsia="Calibri"/>
        </w:rPr>
        <w:t xml:space="preserve">CRIPA cases in 2014 in Alabama, Delaware, District of Columbia, Georgia, New Jersey, New Hampshire, Oregon, Pennsylvania and Virginia.  </w:t>
      </w:r>
      <w:r w:rsidRPr="003722FF">
        <w:rPr>
          <w:i/>
          <w:iCs/>
        </w:rPr>
        <w:t xml:space="preserve">Alabama Disabilities Advocacy Program v. SafetyNet Youth, Inc. et al., </w:t>
      </w:r>
      <w:r w:rsidRPr="003722FF">
        <w:t xml:space="preserve">Delaware Mental Health System, District of Columbia - </w:t>
      </w:r>
      <w:r w:rsidRPr="003722FF">
        <w:rPr>
          <w:i/>
          <w:iCs/>
        </w:rPr>
        <w:t xml:space="preserve">Evans &amp; United States v. Williams, </w:t>
      </w:r>
      <w:r w:rsidRPr="003722FF">
        <w:t xml:space="preserve">Georgia State Hospitals and Georgia Mental Health and Developmental Disabilities Systems, New Hampshire Mental Health System, </w:t>
      </w:r>
      <w:r w:rsidRPr="003722FF">
        <w:rPr>
          <w:rFonts w:eastAsia="Calibri"/>
        </w:rPr>
        <w:t xml:space="preserve">New Jersey - </w:t>
      </w:r>
      <w:r w:rsidRPr="003722FF">
        <w:rPr>
          <w:i/>
          <w:iCs/>
        </w:rPr>
        <w:t xml:space="preserve">Sciarrillo v. Christie, </w:t>
      </w:r>
      <w:r w:rsidRPr="003722FF">
        <w:t xml:space="preserve">Oregon State Hospital and Mental Health System, Virginia System for Serving People with Developmental Disabilities, and </w:t>
      </w:r>
      <w:r w:rsidRPr="003722FF">
        <w:rPr>
          <w:i/>
          <w:iCs/>
        </w:rPr>
        <w:t>Smith v. Department of Public Welfare of the Commonwealth of Pennsylvania.</w:t>
      </w:r>
    </w:p>
  </w:endnote>
  <w:endnote w:id="37">
    <w:p w:rsidR="00064D7D" w:rsidRPr="003722FF" w:rsidRDefault="00064D7D" w:rsidP="003722FF">
      <w:r w:rsidRPr="003722FF">
        <w:rPr>
          <w:rStyle w:val="EndnoteReference"/>
          <w:rFonts w:cs="Arial"/>
        </w:rPr>
        <w:endnoteRef/>
      </w:r>
      <w:r w:rsidRPr="003722FF">
        <w:t xml:space="preserve"> Testimony of Leslie G. Aronovitz before the Senate Special Committee on Aging, March 4, 2002. Aronovitz is the director of Health Care–Program Administration and Integrity Issues, Government Accounting Office.</w:t>
      </w:r>
    </w:p>
  </w:endnote>
  <w:endnote w:id="38">
    <w:p w:rsidR="00064D7D" w:rsidRPr="003722FF" w:rsidRDefault="00064D7D" w:rsidP="003722FF">
      <w:r w:rsidRPr="003722FF">
        <w:rPr>
          <w:rStyle w:val="EndnoteReference"/>
          <w:rFonts w:cs="Arial"/>
        </w:rPr>
        <w:endnoteRef/>
      </w:r>
      <w:r w:rsidRPr="003722FF">
        <w:t xml:space="preserve"> </w:t>
      </w:r>
      <w:r w:rsidRPr="003722FF">
        <w:rPr>
          <w:color w:val="000000"/>
        </w:rPr>
        <w:t>California Protection and Advocacy, Inc., State Council on Developmental Disabilities, USC University Affiliated Program, The Tarjan Center for Developmental Disabilities, UCLA, “Abuse and Neglect of Adults with Developmental Disabilities: A Public Health Priority for the State of California,” August 2003. The report is available at www.pai-ca.org/pubs/701901.pdf.</w:t>
      </w:r>
    </w:p>
  </w:endnote>
  <w:endnote w:id="39">
    <w:p w:rsidR="00064D7D" w:rsidRPr="003722FF" w:rsidRDefault="00064D7D" w:rsidP="003722FF">
      <w:r w:rsidRPr="003722FF">
        <w:rPr>
          <w:rStyle w:val="EndnoteReference"/>
          <w:rFonts w:cs="Arial"/>
        </w:rPr>
        <w:endnoteRef/>
      </w:r>
      <w:r w:rsidRPr="003722FF">
        <w:t xml:space="preserve"> Petersilia, J., Foote, J., &amp; Crowell, N.A. (Eds.) (2001). Crime Victims with Developmental Disabilities: Report of a Workshop. Washington D.C. National Academy Press.</w:t>
      </w:r>
    </w:p>
  </w:endnote>
  <w:endnote w:id="40">
    <w:p w:rsidR="00064D7D" w:rsidRPr="003722FF" w:rsidRDefault="00064D7D" w:rsidP="003722FF">
      <w:r w:rsidRPr="003722FF">
        <w:rPr>
          <w:rStyle w:val="EndnoteReference"/>
          <w:rFonts w:cs="Arial"/>
        </w:rPr>
        <w:endnoteRef/>
      </w:r>
      <w:r w:rsidRPr="003722FF">
        <w:t xml:space="preserve"> Physicians for Human Rights (PHR) 2011, 256 W 38th Street, 9th Floor, New York, NY 10018 // Tel 646.564.3720 // Fax 646.564.3750, 185 Devonshire Street, Suite M102, Boston, MA 02110 // Tel 617.301.4200 // Fax 617.301.4250, 1110 Vermont Avenue, NW, 5th Floor, Washington DC 20005 // Tel 202.728.5335 // Fax 202.728.3053 – (See more at: http://physiciansforhumanrights.org/issues/torture/us-torture/background.html)</w:t>
      </w:r>
    </w:p>
  </w:endnote>
  <w:endnote w:id="41">
    <w:p w:rsidR="00064D7D" w:rsidRPr="003722FF" w:rsidRDefault="00064D7D" w:rsidP="003722FF">
      <w:r w:rsidRPr="003722FF">
        <w:rPr>
          <w:rStyle w:val="EndnoteReference"/>
          <w:rFonts w:cs="Arial"/>
        </w:rPr>
        <w:endnoteRef/>
      </w:r>
      <w:r w:rsidRPr="003722FF">
        <w:t xml:space="preserve"> Physicians for Human Rights, </w:t>
      </w:r>
      <w:r>
        <w:t>(2005) “</w:t>
      </w:r>
      <w:r w:rsidRPr="003722FF">
        <w:t>Break Them Down, Systematic Use of Psychological Torture by US Forces</w:t>
      </w:r>
      <w:r>
        <w:t xml:space="preserve">” </w:t>
      </w:r>
      <w:r w:rsidRPr="003722FF">
        <w:t xml:space="preserve"> by Gretchen Borchelt, JD May 2005. Psychologically abusive methods of interrogation were at the core of US intelligence gathering.  (See more at: http://physiciansforhumanrights.org/library/reports/us-torture-break-them-down-2005.html )</w:t>
      </w:r>
    </w:p>
  </w:endnote>
  <w:endnote w:id="42">
    <w:p w:rsidR="00064D7D" w:rsidRPr="003722FF" w:rsidRDefault="00064D7D" w:rsidP="003722FF">
      <w:r w:rsidRPr="003722FF">
        <w:rPr>
          <w:rStyle w:val="EndnoteReference"/>
          <w:rFonts w:cs="Arial"/>
        </w:rPr>
        <w:endnoteRef/>
      </w:r>
      <w:r w:rsidRPr="003722FF">
        <w:t xml:space="preserve"> Sobsey, D. &amp; Doe, T. (1991). Patterns of sexual abuse and assault. Journal of Sexuality and Disability, 9(3), 243-259.</w:t>
      </w:r>
    </w:p>
  </w:endnote>
  <w:endnote w:id="43">
    <w:p w:rsidR="00064D7D" w:rsidRPr="003722FF" w:rsidRDefault="00064D7D" w:rsidP="003722FF">
      <w:r w:rsidRPr="003722FF">
        <w:rPr>
          <w:rStyle w:val="EndnoteReference"/>
          <w:rFonts w:cs="Arial"/>
        </w:rPr>
        <w:endnoteRef/>
      </w:r>
      <w:r w:rsidRPr="003722FF">
        <w:t xml:space="preserve"> “Guardianship Survey Report – Adult Guardianship Court Data and Issues” by Elders and Courts (see:  http://www.eldersandcourts.org/~/media/Microsites/Files/cec/GuardianshipSurveyReport_FINAL.ashxGuardianship Report)</w:t>
      </w:r>
    </w:p>
  </w:endnote>
  <w:endnote w:id="44">
    <w:p w:rsidR="00064D7D" w:rsidRPr="003722FF" w:rsidRDefault="00064D7D" w:rsidP="003722FF">
      <w:r w:rsidRPr="003722FF">
        <w:rPr>
          <w:rStyle w:val="EndnoteReference"/>
          <w:rFonts w:cs="Arial"/>
        </w:rPr>
        <w:endnoteRef/>
      </w:r>
      <w:r w:rsidRPr="003722FF">
        <w:t xml:space="preserve"> Encouraging Collection of Data on Adult Guardianship – Adult Conservatorship, (see: http://ccj.ncsc.org/~/media/Microsites/Files/CCJ/Resolutions/08012009-Encouraging-Collection-of-Data-on-Adult-Guardianship-Adult-Conservatorship.ashx)</w:t>
      </w:r>
    </w:p>
  </w:endnote>
  <w:endnote w:id="45">
    <w:p w:rsidR="00064D7D" w:rsidRPr="003722FF" w:rsidRDefault="00064D7D" w:rsidP="003722FF">
      <w:r w:rsidRPr="003722FF">
        <w:rPr>
          <w:rStyle w:val="EndnoteReference"/>
          <w:rFonts w:cs="Arial"/>
        </w:rPr>
        <w:endnoteRef/>
      </w:r>
      <w:r w:rsidRPr="003722FF">
        <w:t xml:space="preserve"> SSA Representative Payee: Survey of State Guardianship Laws and Court Practices, (see: http://www.acus.gov/sites/default/files/documents/SSA Rep Payee_State Laws and Court Practices_FINAL.pdf)</w:t>
      </w:r>
    </w:p>
  </w:endnote>
  <w:endnote w:id="46">
    <w:p w:rsidR="00064D7D" w:rsidRPr="003722FF" w:rsidRDefault="00064D7D" w:rsidP="003722FF">
      <w:r w:rsidRPr="003722FF">
        <w:rPr>
          <w:rStyle w:val="EndnoteReference"/>
          <w:rFonts w:cs="Arial"/>
        </w:rPr>
        <w:endnoteRef/>
      </w:r>
      <w:r w:rsidRPr="003722FF">
        <w:t xml:space="preserve"> Court Statistics Project, (see: http://www.courtstatistics.org/)</w:t>
      </w:r>
    </w:p>
  </w:endnote>
  <w:endnote w:id="47">
    <w:p w:rsidR="00064D7D" w:rsidRPr="003722FF" w:rsidRDefault="00064D7D" w:rsidP="003722FF">
      <w:r w:rsidRPr="003722FF">
        <w:rPr>
          <w:rStyle w:val="EndnoteReference"/>
          <w:rFonts w:cs="Arial"/>
        </w:rPr>
        <w:endnoteRef/>
      </w:r>
      <w:r w:rsidRPr="003722FF">
        <w:t xml:space="preserve">  The Demographic Imperative Guardianships and Conservatorships by Elders and Courts  (see: http://www.eldersandcourts.org/~/media/Microsites/Files/cec/cosca white paper 2010ashx.ashx)</w:t>
      </w:r>
    </w:p>
  </w:endnote>
  <w:endnote w:id="48">
    <w:p w:rsidR="00064D7D" w:rsidRPr="003722FF" w:rsidRDefault="00064D7D" w:rsidP="003722FF">
      <w:r w:rsidRPr="003722FF">
        <w:rPr>
          <w:rStyle w:val="EndnoteReference"/>
          <w:rFonts w:cs="Arial"/>
        </w:rPr>
        <w:endnoteRef/>
      </w:r>
      <w:r w:rsidRPr="003722FF">
        <w:t xml:space="preserve"> Guardianship for the Elderly, (see: http://www.guardianship.org/reports/Guardianship_Report.pdf)</w:t>
      </w:r>
    </w:p>
  </w:endnote>
  <w:endnote w:id="49">
    <w:p w:rsidR="00064D7D" w:rsidRPr="003722FF" w:rsidRDefault="00064D7D" w:rsidP="003722FF">
      <w:r w:rsidRPr="003722FF">
        <w:rPr>
          <w:rStyle w:val="EndnoteReference"/>
        </w:rPr>
        <w:endnoteRef/>
      </w:r>
      <w:r w:rsidRPr="003722FF">
        <w:t xml:space="preserve"> Department Of Health And Human Services, May 2011, OEI-07-08-00150, Medicare Atypical Antipsychotic Drug Claims For Elderly Nursing Home Residents (http://oig.hhs.gov/oei/reports/oei-07-08-00150.pdf)</w:t>
      </w:r>
    </w:p>
  </w:endnote>
  <w:endnote w:id="50">
    <w:p w:rsidR="00064D7D" w:rsidRPr="003722FF" w:rsidRDefault="00064D7D" w:rsidP="003722FF">
      <w:r w:rsidRPr="003722FF">
        <w:rPr>
          <w:rStyle w:val="EndnoteReference"/>
        </w:rPr>
        <w:endnoteRef/>
      </w:r>
      <w:r w:rsidRPr="003722FF">
        <w:t xml:space="preserve"> </w:t>
      </w:r>
      <w:r w:rsidRPr="003722FF">
        <w:rPr>
          <w:i/>
        </w:rPr>
        <w:t>Foucha v. Louisiana</w:t>
      </w:r>
      <w:r w:rsidRPr="003722FF">
        <w:t>, 504 U.S. 71 (1992)  Foucha v. Louisiana established the unconstitutionality of the continued commitment of an insanity acquittee who was not suffering from a mental illness.</w:t>
      </w:r>
    </w:p>
  </w:endnote>
  <w:endnote w:id="51">
    <w:p w:rsidR="00064D7D" w:rsidRPr="003722FF" w:rsidRDefault="00064D7D" w:rsidP="003722FF">
      <w:r w:rsidRPr="003722FF">
        <w:rPr>
          <w:rStyle w:val="EndnoteReference"/>
        </w:rPr>
        <w:endnoteRef/>
      </w:r>
      <w:r w:rsidRPr="003722FF">
        <w:t xml:space="preserve"> </w:t>
      </w:r>
      <w:r w:rsidRPr="003722FF">
        <w:rPr>
          <w:i/>
        </w:rPr>
        <w:t>Jackson v. Indiana,</w:t>
      </w:r>
      <w:r w:rsidRPr="003722FF">
        <w:t xml:space="preserve"> 406 U.S. 715 (1972). In </w:t>
      </w:r>
      <w:r w:rsidRPr="003722FF">
        <w:rPr>
          <w:i/>
        </w:rPr>
        <w:t>Jackson v. Indiana</w:t>
      </w:r>
      <w:r w:rsidRPr="003722FF">
        <w:t xml:space="preserve"> the court ruled that a person adjudicated incompetent could not be indefinitely committed.</w:t>
      </w:r>
    </w:p>
  </w:endnote>
  <w:endnote w:id="52">
    <w:p w:rsidR="00064D7D" w:rsidRPr="003722FF" w:rsidRDefault="00064D7D" w:rsidP="003722FF">
      <w:r w:rsidRPr="003722FF">
        <w:rPr>
          <w:rStyle w:val="EndnoteReference"/>
        </w:rPr>
        <w:endnoteRef/>
      </w:r>
      <w:r w:rsidRPr="003722FF">
        <w:t xml:space="preserve"> Involuntary Commitment and Forced Psychiatric Drugging in the Trial Courts: Rights Violations as a Matter of Course, starting at page 40/90 (http://psychrights.org/Research/Legal/25AkLRev51Gottstein2008.pdf)</w:t>
      </w:r>
    </w:p>
  </w:endnote>
  <w:endnote w:id="53">
    <w:p w:rsidR="00064D7D" w:rsidRPr="003722FF" w:rsidRDefault="00064D7D" w:rsidP="003722FF">
      <w:r w:rsidRPr="003722FF">
        <w:rPr>
          <w:rStyle w:val="EndnoteReference"/>
        </w:rPr>
        <w:endnoteRef/>
      </w:r>
      <w:r w:rsidRPr="003722FF">
        <w:t xml:space="preserve"> </w:t>
      </w:r>
      <w:r w:rsidRPr="003722FF">
        <w:rPr>
          <w:i/>
        </w:rPr>
        <w:t>Myers v. Alaska Psychiatric Institute</w:t>
      </w:r>
      <w:r w:rsidRPr="003722FF">
        <w:t xml:space="preserve">,  138 P.3d 238 (Alaska 2006). </w:t>
      </w:r>
      <w:r>
        <w:t>(</w:t>
      </w:r>
      <w:r w:rsidRPr="003722FF">
        <w:t>http://psychrights.org/States/Alaska/CaseOne.htm</w:t>
      </w:r>
      <w:r>
        <w:t>)</w:t>
      </w:r>
    </w:p>
  </w:endnote>
  <w:endnote w:id="54">
    <w:p w:rsidR="00064D7D" w:rsidRPr="003722FF" w:rsidRDefault="00064D7D" w:rsidP="003722FF">
      <w:r w:rsidRPr="003722FF">
        <w:rPr>
          <w:rStyle w:val="EndnoteCharacters"/>
          <w:rFonts w:cs="Arial"/>
          <w:vertAlign w:val="superscript"/>
        </w:rPr>
        <w:endnoteRef/>
      </w:r>
      <w:r w:rsidRPr="003722FF">
        <w:t xml:space="preserve"> Guardianship for the Elderly: Protecting the Rights and Welfare of seniors with Reduced Capacity, U.S. Senate Special Committee on Aging (2007).</w:t>
      </w:r>
    </w:p>
  </w:endnote>
  <w:endnote w:id="55">
    <w:p w:rsidR="00064D7D" w:rsidRPr="003722FF" w:rsidRDefault="00064D7D" w:rsidP="003722FF">
      <w:r w:rsidRPr="003722FF">
        <w:rPr>
          <w:rStyle w:val="EndnoteCharacters"/>
          <w:rFonts w:cs="Arial"/>
          <w:vertAlign w:val="superscript"/>
        </w:rPr>
        <w:endnoteRef/>
      </w:r>
      <w:r w:rsidRPr="003722FF">
        <w:t xml:space="preserve"> Commission on Mentally Disabled and Commission on Legal Problems of the Elderly, Guardianship: An Agenda for Reform –Recommendations of the National Guardianship Symposium and Policy of the American Bar Association, 12 A.B.A. 1989 [Wingspread Recommendations].</w:t>
      </w:r>
    </w:p>
  </w:endnote>
  <w:endnote w:id="56">
    <w:p w:rsidR="00064D7D" w:rsidRPr="003722FF" w:rsidRDefault="00064D7D" w:rsidP="003722FF">
      <w:r w:rsidRPr="003722FF">
        <w:rPr>
          <w:rStyle w:val="EndnoteCharacters"/>
          <w:rFonts w:cs="Arial"/>
          <w:vertAlign w:val="superscript"/>
        </w:rPr>
        <w:endnoteRef/>
      </w:r>
      <w:r w:rsidRPr="003722FF">
        <w:t xml:space="preserve"> Guardianship Abuse of the elderly: A violation of  Constitutional Rights Precipitating an extreme punitive civil penalty (see:  http://www.probatecourtreform.com/files/guardianabuse%283%29.pdf)</w:t>
      </w:r>
    </w:p>
  </w:endnote>
  <w:endnote w:id="57">
    <w:p w:rsidR="00064D7D" w:rsidRPr="003722FF" w:rsidRDefault="00064D7D" w:rsidP="003722FF">
      <w:r w:rsidRPr="003722FF">
        <w:rPr>
          <w:rStyle w:val="EndnoteCharacters"/>
          <w:rFonts w:cs="Arial"/>
          <w:vertAlign w:val="superscript"/>
        </w:rPr>
        <w:endnoteRef/>
      </w:r>
      <w:r w:rsidRPr="003722FF">
        <w:t xml:space="preserve"> </w:t>
      </w:r>
      <w:r w:rsidR="009E1DFF">
        <w:t xml:space="preserve">Bayles, </w:t>
      </w:r>
      <w:r w:rsidRPr="003722FF">
        <w:t xml:space="preserve">Fred </w:t>
      </w:r>
      <w:r w:rsidR="009E1DFF">
        <w:t>and McCartney,Scott, “Declared ‘Legally Dead’</w:t>
      </w:r>
      <w:r w:rsidRPr="003722FF">
        <w:t xml:space="preserve"> by a Troubled System,</w:t>
      </w:r>
      <w:r w:rsidR="009E1DFF">
        <w:t>”</w:t>
      </w:r>
      <w:r w:rsidRPr="003722FF">
        <w:t xml:space="preserve"> in Guardians of the Elderly: An Ailing System, AP Special Report, in Abuses in Guardianship of the Elderly &amp; Infirm: A National Disgrace, H.R. Comm. Print 100-639 (Dec. 1987).</w:t>
      </w:r>
    </w:p>
  </w:endnote>
  <w:endnote w:id="58">
    <w:p w:rsidR="00064D7D" w:rsidRPr="003722FF" w:rsidRDefault="00064D7D" w:rsidP="003722FF">
      <w:r w:rsidRPr="003722FF">
        <w:rPr>
          <w:rStyle w:val="EndnoteCharacters"/>
          <w:rFonts w:cs="Arial"/>
          <w:vertAlign w:val="superscript"/>
        </w:rPr>
        <w:endnoteRef/>
      </w:r>
      <w:r w:rsidRPr="003722FF">
        <w:t xml:space="preserve"> Wood, Erica F. </w:t>
      </w:r>
      <w:r w:rsidR="009E1DFF">
        <w:t>“</w:t>
      </w:r>
      <w:r w:rsidRPr="003722FF">
        <w:t>The Availability and Utility of Interdisciplinary Data on Elder Abuse: A White Paper for the National Center on Elder Abuse,</w:t>
      </w:r>
      <w:r w:rsidR="009E1DFF">
        <w:t>”</w:t>
      </w:r>
      <w:r w:rsidRPr="003722FF">
        <w:t xml:space="preserve"> American Bar Association Commission on Law and Aging for the National Center on Elder Abuse (Washington, D.C.: May 2006).   </w:t>
      </w:r>
    </w:p>
  </w:endnote>
  <w:endnote w:id="59">
    <w:p w:rsidR="00064D7D" w:rsidRPr="003722FF" w:rsidRDefault="00064D7D" w:rsidP="003722FF">
      <w:r w:rsidRPr="003722FF">
        <w:rPr>
          <w:rStyle w:val="EndnoteCharacters"/>
          <w:rFonts w:cs="Arial"/>
          <w:vertAlign w:val="superscript"/>
        </w:rPr>
        <w:endnoteRef/>
      </w:r>
      <w:r w:rsidRPr="003722FF">
        <w:t xml:space="preserve"> Wood, Erica F. (2006) “State-Level Adult Guardianship Data: An Exploratory Survey,” American Bar Association Commission on Law and Aging for the National Center on Elder Abuse, August 2006.  </w:t>
      </w:r>
    </w:p>
  </w:endnote>
  <w:endnote w:id="60">
    <w:p w:rsidR="00064D7D" w:rsidRPr="003722FF" w:rsidRDefault="00064D7D" w:rsidP="003722FF">
      <w:r w:rsidRPr="003722FF">
        <w:rPr>
          <w:rStyle w:val="EndnoteCharacters"/>
          <w:rFonts w:cs="Arial"/>
          <w:vertAlign w:val="superscript"/>
        </w:rPr>
        <w:endnoteRef/>
      </w:r>
      <w:r w:rsidRPr="003722FF">
        <w:t xml:space="preserve"> Teaster, Pamela et al., The 2004 Survey of State Adult Protective Services: Abuse of Adults 60 Years of Age and Older (Boulder, Colo.: February 2006).   </w:t>
      </w:r>
    </w:p>
  </w:endnote>
  <w:endnote w:id="61">
    <w:p w:rsidR="00064D7D" w:rsidRDefault="00064D7D" w:rsidP="003722FF">
      <w:r w:rsidRPr="003722FF">
        <w:rPr>
          <w:rStyle w:val="EndnoteCharacters"/>
          <w:rFonts w:cs="Arial"/>
          <w:vertAlign w:val="superscript"/>
        </w:rPr>
        <w:endnoteRef/>
      </w:r>
      <w:r w:rsidRPr="003722FF">
        <w:rPr>
          <w:vertAlign w:val="superscript"/>
        </w:rPr>
        <w:t xml:space="preserve"> </w:t>
      </w:r>
      <w:r w:rsidR="009E1DFF">
        <w:t>Leonnig, Carol D.;</w:t>
      </w:r>
      <w:r w:rsidRPr="003722FF">
        <w:t xml:space="preserve"> </w:t>
      </w:r>
      <w:r w:rsidR="009E1DFF">
        <w:t>Sun, L</w:t>
      </w:r>
      <w:r w:rsidRPr="003722FF">
        <w:t xml:space="preserve">ena H. Sun and </w:t>
      </w:r>
      <w:r w:rsidR="009E1DFF">
        <w:t xml:space="preserve">Cohen, </w:t>
      </w:r>
      <w:r w:rsidRPr="003722FF">
        <w:t>Sarah</w:t>
      </w:r>
      <w:r w:rsidR="009E1DFF">
        <w:t>.</w:t>
      </w:r>
      <w:r w:rsidRPr="003722FF">
        <w:t xml:space="preserve">  (2003) “Misplaced Trust: Special Report.” The Washington Post (June 15-16, 2003). </w:t>
      </w:r>
    </w:p>
    <w:p w:rsidR="00AC68E6" w:rsidRPr="003722FF" w:rsidRDefault="00AC68E6" w:rsidP="003722FF"/>
  </w:endnote>
  <w:endnote w:id="62">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Kelly, Kowalski &amp; Novak, (2008) “Courts Strip Elders of Their Independence,” Boston Globe, 1/13/08</w:t>
      </w:r>
    </w:p>
  </w:endnote>
  <w:endnote w:id="63">
    <w:p w:rsidR="00064D7D" w:rsidRPr="003722FF" w:rsidRDefault="00064D7D" w:rsidP="003722FF">
      <w:r w:rsidRPr="003722FF">
        <w:rPr>
          <w:rStyle w:val="EndnoteReference"/>
          <w:rFonts w:cs="Arial"/>
        </w:rPr>
        <w:endnoteRef/>
      </w:r>
      <w:r w:rsidRPr="003722FF">
        <w:t xml:space="preserve"> U.S. Government Accountability Office. Guardianships: Little Progress in Ensuring Protection for Incapacitated Elderly People. Testimony of Barbara D. Bovbjerg, Director Education, Workforce and Income Security, before the Special Committee on Aging, U.S. Senate. No. GAO-06-1086T (2006)</w:t>
      </w:r>
    </w:p>
  </w:endnote>
  <w:endnote w:id="64">
    <w:p w:rsidR="00064D7D" w:rsidRPr="003722FF" w:rsidRDefault="00064D7D" w:rsidP="003722FF">
      <w:r w:rsidRPr="003722FF">
        <w:rPr>
          <w:rStyle w:val="EndnoteCharacters"/>
          <w:rFonts w:cs="Arial"/>
          <w:vertAlign w:val="superscript"/>
        </w:rPr>
        <w:endnoteRef/>
      </w:r>
      <w:r w:rsidRPr="003722FF">
        <w:t xml:space="preserve"> Sally Balch Hurme &amp; Erica Wood, (2002) Guardian Accountability Then and Now: Tracing the Tenets for an Active Court Role, 31 Stetson L. Rev. 867 (2002).</w:t>
      </w:r>
    </w:p>
  </w:endnote>
  <w:endnote w:id="65">
    <w:p w:rsidR="00064D7D" w:rsidRPr="003722FF" w:rsidRDefault="00064D7D" w:rsidP="003722FF">
      <w:r w:rsidRPr="003722FF">
        <w:rPr>
          <w:rStyle w:val="EndnoteCharacters"/>
          <w:rFonts w:cs="Arial"/>
          <w:vertAlign w:val="superscript"/>
        </w:rPr>
        <w:endnoteRef/>
      </w:r>
      <w:r w:rsidRPr="003722FF">
        <w:t xml:space="preserve"> Guardianship of the Elderly: Protecting the Rights and Welfare of seniors with Reduced Capacity, U.S. Senate Special Committee on Aging (2007).</w:t>
      </w:r>
    </w:p>
  </w:endnote>
  <w:endnote w:id="66">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 xml:space="preserve">Fields, Robin, Evelyn Larrubia and Jack Leonard. (2005) “Guardians for Profit.” Los Angeles Times, November 13-16, 2005. (See: http://www.latimes.com/news/local/la-me-conserve13nov13,0,4940740,full.story) </w:t>
      </w:r>
    </w:p>
  </w:endnote>
  <w:endnote w:id="67">
    <w:p w:rsidR="00064D7D" w:rsidRPr="003722FF" w:rsidRDefault="00064D7D" w:rsidP="003722FF">
      <w:r w:rsidRPr="003722FF">
        <w:rPr>
          <w:rStyle w:val="EndnoteCharacters"/>
          <w:rFonts w:cs="Arial"/>
          <w:vertAlign w:val="superscript"/>
        </w:rPr>
        <w:endnoteRef/>
      </w:r>
      <w:r w:rsidRPr="003722FF">
        <w:t xml:space="preserve"> Fields, Robin et al. (2005) “State Could Turn Elsewhere for Conservatorship Remedies.” Los Angeles Times (December 27, 2005). </w:t>
      </w:r>
    </w:p>
  </w:endnote>
  <w:endnote w:id="68">
    <w:p w:rsidR="00064D7D" w:rsidRPr="003722FF" w:rsidRDefault="00064D7D" w:rsidP="003722FF">
      <w:r w:rsidRPr="003722FF">
        <w:rPr>
          <w:rStyle w:val="EndnoteCharacters"/>
          <w:rFonts w:cs="Arial"/>
          <w:vertAlign w:val="superscript"/>
        </w:rPr>
        <w:endnoteRef/>
      </w:r>
      <w:r w:rsidRPr="003722FF">
        <w:t xml:space="preserve"> United States Government Accountability Office GAO Testimony Before the Special Committee on Aging, U.S. Senate, GUARDIANSHIPS, Little Progress in Ensuring Protection for Incapacitated Elderly People Statement of Barbara D. Bovbjerg, Director Education, Workforce, and Income Security, (202) 512-7215, September 7, 2006, GAO-06- 1086T. </w:t>
      </w:r>
    </w:p>
  </w:endnote>
  <w:endnote w:id="69">
    <w:p w:rsidR="00064D7D" w:rsidRPr="003722FF" w:rsidRDefault="00064D7D" w:rsidP="003722FF">
      <w:r w:rsidRPr="003722FF">
        <w:rPr>
          <w:rStyle w:val="EndnoteReference"/>
          <w:rFonts w:cs="Arial"/>
        </w:rPr>
        <w:endnoteRef/>
      </w:r>
      <w:r w:rsidRPr="003722FF">
        <w:t xml:space="preserve"> Fields, Robin, Evelyn Larrubia and Jack Leonard. (2005) “Guardians for Profit.” Los Angeles Times, November 13-16, 2005</w:t>
      </w:r>
    </w:p>
  </w:endnote>
  <w:endnote w:id="70">
    <w:p w:rsidR="00064D7D" w:rsidRPr="003722FF" w:rsidRDefault="00064D7D" w:rsidP="003722FF">
      <w:r w:rsidRPr="003722FF">
        <w:rPr>
          <w:rStyle w:val="EndnoteCharacters"/>
          <w:rFonts w:cs="Arial"/>
          <w:vertAlign w:val="superscript"/>
        </w:rPr>
        <w:endnoteRef/>
      </w:r>
      <w:r w:rsidRPr="003722FF">
        <w:t xml:space="preserve"> Seikkula J, et al. (2006) “Five-year experience of first-episode nonaffective psychosis in open dialogue approach.”  Psychotherapy Research 16/2 (2006): 214-228. </w:t>
      </w:r>
    </w:p>
  </w:endnote>
  <w:endnote w:id="71">
    <w:p w:rsidR="00064D7D" w:rsidRPr="003722FF" w:rsidRDefault="00064D7D" w:rsidP="00884D71">
      <w:r w:rsidRPr="003722FF">
        <w:rPr>
          <w:rStyle w:val="EndnoteReference"/>
        </w:rPr>
        <w:endnoteRef/>
      </w:r>
      <w:r w:rsidRPr="003722FF">
        <w:t xml:space="preserve"> E. A. Carson and W. J. Sabol, Prisoners in 2011 (Washington, DC: Bureau of Justice Statistics, U.S. Department of Justice, NCJ 239808, December 2012).</w:t>
      </w:r>
    </w:p>
  </w:endnote>
  <w:endnote w:id="72">
    <w:p w:rsidR="00064D7D" w:rsidRPr="00BD7B6A" w:rsidRDefault="00064D7D" w:rsidP="00884D71">
      <w:r>
        <w:rPr>
          <w:rStyle w:val="EndnoteReference"/>
        </w:rPr>
        <w:endnoteRef/>
      </w:r>
      <w:r>
        <w:t xml:space="preserve"> </w:t>
      </w:r>
      <w:r w:rsidRPr="00BD7B6A">
        <w:t>The National Alliance on Mental Illness statistics.</w:t>
      </w:r>
    </w:p>
  </w:endnote>
  <w:endnote w:id="73">
    <w:p w:rsidR="00064D7D" w:rsidRPr="003722FF" w:rsidRDefault="00064D7D" w:rsidP="003722FF">
      <w:r w:rsidRPr="003722FF">
        <w:rPr>
          <w:rStyle w:val="EndnoteReference"/>
        </w:rPr>
        <w:endnoteRef/>
      </w:r>
      <w:r w:rsidRPr="003722FF">
        <w:t xml:space="preserve"> Gottstein J.D. , James B. (2008) “Involuntary Commitment and Forced Psychiatric Drugging In The Trial Courts: Rights Violations As A Matter Of Course” Alaska Law Review Issue 52 Vol. 25:51</w:t>
      </w:r>
    </w:p>
  </w:endnote>
  <w:endnote w:id="74">
    <w:p w:rsidR="00064D7D" w:rsidRPr="003722FF" w:rsidRDefault="00064D7D" w:rsidP="003722FF">
      <w:pPr>
        <w:rPr>
          <w:i/>
        </w:rPr>
      </w:pPr>
      <w:r w:rsidRPr="003722FF">
        <w:rPr>
          <w:rStyle w:val="EndnoteReference"/>
          <w:i/>
        </w:rPr>
        <w:endnoteRef/>
      </w:r>
      <w:r w:rsidRPr="003722FF">
        <w:rPr>
          <w:i/>
        </w:rPr>
        <w:t xml:space="preserve"> Riggins v. Nevada, </w:t>
      </w:r>
      <w:r w:rsidRPr="003722FF">
        <w:t>504 U.S. 127 (1992).</w:t>
      </w:r>
      <w:r w:rsidRPr="00652DDC">
        <w:t xml:space="preserve"> In a capital punishment case, Perry v. Louisiana   the court struck down the forcible medication of a prisoner for the purposes of rendering him competent to be executed.  The right to refuse psychiatric medication for a person on trial was upheld in Riggins v. Nevada</w:t>
      </w:r>
    </w:p>
  </w:endnote>
  <w:endnote w:id="75">
    <w:p w:rsidR="00064D7D" w:rsidRPr="008319BF" w:rsidRDefault="00064D7D" w:rsidP="00652DDC">
      <w:r w:rsidRPr="003722FF">
        <w:rPr>
          <w:rStyle w:val="EndnoteReference"/>
        </w:rPr>
        <w:endnoteRef/>
      </w:r>
      <w:r w:rsidRPr="003722FF">
        <w:t xml:space="preserve"> </w:t>
      </w:r>
      <w:r w:rsidRPr="008319BF">
        <w:rPr>
          <w:i/>
        </w:rPr>
        <w:t>Lawrence V. Texas</w:t>
      </w:r>
      <w:r w:rsidRPr="008319BF">
        <w:t xml:space="preserve"> (02-102) 539 U.S. 558 (2003), 41 S. W. 3d 349, reversed and remanded.</w:t>
      </w:r>
      <w:r w:rsidRPr="008319BF">
        <w:rPr>
          <w:rFonts w:eastAsia="Times New Roman" w:cs="Times New Roman"/>
          <w:bCs/>
        </w:rPr>
        <w:t xml:space="preserve"> There is a constitutional right to Due Process.  This means that prisoners should be provided </w:t>
      </w:r>
      <w:r w:rsidRPr="008319BF">
        <w:rPr>
          <w:rFonts w:eastAsia="Times New Roman" w:cs="Times New Roman"/>
        </w:rPr>
        <w:t>“substantive due process” in order that there not be an infringement on their fundamental liberty interest.  This means that the infringement on their liberty be narrowly tailored to serve a compelling governmental interest</w:t>
      </w:r>
    </w:p>
  </w:endnote>
  <w:endnote w:id="76">
    <w:p w:rsidR="00064D7D" w:rsidRPr="003722FF" w:rsidRDefault="00064D7D" w:rsidP="003722FF">
      <w:r w:rsidRPr="003722FF">
        <w:rPr>
          <w:rStyle w:val="EndnoteReference"/>
        </w:rPr>
        <w:endnoteRef/>
      </w:r>
      <w:r w:rsidRPr="003722FF">
        <w:t xml:space="preserve"> </w:t>
      </w:r>
      <w:r w:rsidRPr="003722FF">
        <w:rPr>
          <w:rFonts w:eastAsia="Times New Roman" w:cs="Times New Roman"/>
          <w:i/>
        </w:rPr>
        <w:t>Washington v. Harper</w:t>
      </w:r>
      <w:r w:rsidRPr="003722FF">
        <w:t>, 110 S. Ct. 1028 (1990).</w:t>
      </w:r>
    </w:p>
  </w:endnote>
  <w:endnote w:id="77">
    <w:p w:rsidR="00064D7D" w:rsidRPr="003722FF" w:rsidRDefault="00064D7D" w:rsidP="009044EF">
      <w:r w:rsidRPr="003722FF">
        <w:rPr>
          <w:rStyle w:val="EndnoteReference"/>
        </w:rPr>
        <w:endnoteRef/>
      </w:r>
      <w:r w:rsidRPr="003722FF">
        <w:t xml:space="preserve"> </w:t>
      </w:r>
      <w:r w:rsidRPr="003722FF">
        <w:rPr>
          <w:i/>
        </w:rPr>
        <w:t>Sell v US,</w:t>
      </w:r>
      <w:r w:rsidRPr="003722FF">
        <w:t xml:space="preserve">  (http://psychrights.org/Research/Legal/SellvUS.pdf)</w:t>
      </w:r>
    </w:p>
  </w:endnote>
  <w:endnote w:id="78">
    <w:p w:rsidR="00A11117" w:rsidRDefault="00A11117" w:rsidP="00A11117">
      <w:r>
        <w:rPr>
          <w:rStyle w:val="EndnoteReference"/>
        </w:rPr>
        <w:endnoteRef/>
      </w:r>
      <w:r>
        <w:t xml:space="preserve"> Goldstein, Amy and Priest, Dana, (2008) “Some Detainees Are Drugged For Deportation Immigrants Sedated Without Medical Reason”  Washington Post, Page A1; May 14, 2008</w:t>
      </w:r>
    </w:p>
  </w:endnote>
  <w:endnote w:id="79">
    <w:p w:rsidR="006225F6" w:rsidRDefault="006225F6" w:rsidP="006225F6">
      <w:r>
        <w:rPr>
          <w:rStyle w:val="EndnoteReference"/>
        </w:rPr>
        <w:endnoteRef/>
      </w:r>
      <w:r>
        <w:t xml:space="preserve"> </w:t>
      </w:r>
      <w:r w:rsidRPr="006225F6">
        <w:t>Gutierrez</w:t>
      </w:r>
      <w:r>
        <w:t xml:space="preserve">, </w:t>
      </w:r>
      <w:r w:rsidRPr="006225F6">
        <w:t>Thelma</w:t>
      </w:r>
      <w:r>
        <w:t>, (2007) “</w:t>
      </w:r>
      <w:r w:rsidRPr="006225F6">
        <w:t>Lawsuit: ICE drugging detainees set for deportation</w:t>
      </w:r>
      <w:r>
        <w:t xml:space="preserve">” CNN </w:t>
      </w:r>
      <w:r>
        <w:t>Fri October 12, 2007</w:t>
      </w:r>
      <w:r>
        <w:t xml:space="preserve"> (see: </w:t>
      </w:r>
      <w:r w:rsidRPr="006225F6">
        <w:t>http://www.cnn.com/2007/US/10/12/doping.immigrants/</w:t>
      </w:r>
      <w:r>
        <w:t xml:space="preserve">) </w:t>
      </w:r>
    </w:p>
  </w:endnote>
  <w:endnote w:id="80">
    <w:p w:rsidR="00064D7D" w:rsidRPr="003722FF" w:rsidRDefault="00064D7D" w:rsidP="003722FF">
      <w:r w:rsidRPr="003722FF">
        <w:rPr>
          <w:rStyle w:val="EndnoteCharacters"/>
          <w:rFonts w:cs="Arial"/>
          <w:vertAlign w:val="superscript"/>
        </w:rPr>
        <w:endnoteRef/>
      </w:r>
      <w:r w:rsidRPr="003722FF">
        <w:t xml:space="preserve"> Littrell, J. (2012). Children in foster care and excessive medications. International Journal of Medical and Biological Frontiers 18(9/10),</w:t>
      </w:r>
      <w:r>
        <w:t xml:space="preserve"> </w:t>
      </w:r>
      <w:r w:rsidRPr="003722FF">
        <w:t>715-749.</w:t>
      </w:r>
    </w:p>
  </w:endnote>
  <w:endnote w:id="81">
    <w:p w:rsidR="00064D7D" w:rsidRPr="003722FF" w:rsidRDefault="00064D7D" w:rsidP="003722FF">
      <w:r w:rsidRPr="003722FF">
        <w:rPr>
          <w:rStyle w:val="EndnoteReference"/>
          <w:rFonts w:cs="Arial"/>
        </w:rPr>
        <w:endnoteRef/>
      </w:r>
      <w:r w:rsidRPr="003722FF">
        <w:t xml:space="preserve"> The Adoption and Foster Care Analysis and Reporting System (AFCARS) collects case-level information from state and tribal title IV-E agencies on all children in foster care and those who have been adopted with title IV-E agency involvement.  Title IV-E agencies are required to submit AFCARS data semi-annually to the Children's Bureau. (see: http://www.acf.hhs.gov/programs/cb/resource/about-afcars, http://www.acf.hhs.gov/programs/cb/research-data-technology/statistics-research, http://archive.acf.hhs.gov/programs/cb/pubs/cwo05/cwo05.pdf, http://www.acf.hhs.gov/sites/default/files/cb/executive04_07.pdf)</w:t>
      </w:r>
    </w:p>
  </w:endnote>
  <w:endnote w:id="82">
    <w:p w:rsidR="00064D7D" w:rsidRPr="003722FF" w:rsidRDefault="00064D7D" w:rsidP="00BF0C51">
      <w:r w:rsidRPr="003722FF">
        <w:rPr>
          <w:rStyle w:val="EndnoteReference"/>
        </w:rPr>
        <w:endnoteRef/>
      </w:r>
      <w:r w:rsidR="009E1DFF">
        <w:t xml:space="preserve"> Bhatara, V., Feil, M., Hoagwood, K, Vitiello, B.,  and </w:t>
      </w:r>
      <w:r w:rsidRPr="003722FF">
        <w:t xml:space="preserve"> Zima, B. (2004). </w:t>
      </w:r>
      <w:r w:rsidR="00BF0C51">
        <w:t>“</w:t>
      </w:r>
      <w:r w:rsidRPr="003722FF">
        <w:t>National trends in concomitant psychotropic medication with stimulants in pediatric visits: Practice versus knowledge.</w:t>
      </w:r>
      <w:r w:rsidR="00BF0C51">
        <w:t>”</w:t>
      </w:r>
      <w:r w:rsidRPr="003722FF">
        <w:t xml:space="preserve"> Journal of Att</w:t>
      </w:r>
      <w:r w:rsidR="00BF0C51">
        <w:t>ention Disorders, 7(4), 217-226.</w:t>
      </w:r>
    </w:p>
  </w:endnote>
  <w:endnote w:id="83">
    <w:p w:rsidR="006225F6" w:rsidRDefault="006225F6" w:rsidP="00BF0C51">
      <w:r>
        <w:rPr>
          <w:rStyle w:val="EndnoteReference"/>
        </w:rPr>
        <w:endnoteRef/>
      </w:r>
      <w:r>
        <w:t xml:space="preserve"> </w:t>
      </w:r>
      <w:r w:rsidRPr="003722FF">
        <w:t xml:space="preserve">Vitiello, B. (2001). </w:t>
      </w:r>
      <w:r w:rsidR="00BF0C51">
        <w:t>“</w:t>
      </w:r>
      <w:r w:rsidRPr="003722FF">
        <w:t>Psychopharmacology for young children: Clinical needs and research opportunities.</w:t>
      </w:r>
      <w:r w:rsidR="00BF0C51">
        <w:t>”</w:t>
      </w:r>
      <w:r w:rsidRPr="003722FF">
        <w:t xml:space="preserve"> Pediatrics, 108(4), 983-989</w:t>
      </w:r>
      <w:r w:rsidR="00BF0C51">
        <w:t>.</w:t>
      </w:r>
    </w:p>
  </w:endnote>
  <w:endnote w:id="84">
    <w:p w:rsidR="00BF0C51" w:rsidRDefault="00BF0C51" w:rsidP="00BF0C51">
      <w:r>
        <w:rPr>
          <w:rStyle w:val="EndnoteReference"/>
        </w:rPr>
        <w:endnoteRef/>
      </w:r>
      <w:r>
        <w:t xml:space="preserve"> </w:t>
      </w:r>
      <w:r w:rsidR="009E1DFF">
        <w:t>Jensen, P.S., Bhatara, V.S.,</w:t>
      </w:r>
      <w:r w:rsidRPr="003722FF">
        <w:t xml:space="preserve"> Vitiello, B., Hoagwood, K., Feil, M., and Burke, L.B. (1999), </w:t>
      </w:r>
      <w:r>
        <w:t>“</w:t>
      </w:r>
      <w:r w:rsidRPr="003722FF">
        <w:t>Psychoactive medication prescribing practices for U.S. children: Gaps between research and clinical practice.</w:t>
      </w:r>
      <w:r>
        <w:t>”</w:t>
      </w:r>
      <w:r w:rsidRPr="003722FF">
        <w:t xml:space="preserve"> Journal of the Academy of Child and Adoles</w:t>
      </w:r>
      <w:r>
        <w:t>cent Psychiatry, 38(5), 557-565.</w:t>
      </w:r>
    </w:p>
  </w:endnote>
  <w:endnote w:id="85">
    <w:p w:rsidR="00BF0C51" w:rsidRDefault="00BF0C51" w:rsidP="00BF0C51">
      <w:r>
        <w:rPr>
          <w:rStyle w:val="EndnoteReference"/>
        </w:rPr>
        <w:endnoteRef/>
      </w:r>
      <w:r>
        <w:t xml:space="preserve"> </w:t>
      </w:r>
      <w:r w:rsidRPr="003722FF">
        <w:t xml:space="preserve">Martin, A., Sherwin, T., Stubbe, D., Van Hoof, T., Scahill, L., &amp; Leslie, D. (2002). </w:t>
      </w:r>
      <w:r>
        <w:t>“</w:t>
      </w:r>
      <w:r w:rsidRPr="003722FF">
        <w:t>Use of multiple psychotropic drugs by Medicaid-insured and privately insured children.</w:t>
      </w:r>
      <w:r>
        <w:t>”</w:t>
      </w:r>
      <w:r w:rsidRPr="003722FF">
        <w:t xml:space="preserve"> Psychiatric Services, 53(12), 1508</w:t>
      </w:r>
      <w:r>
        <w:t>.</w:t>
      </w:r>
      <w:r w:rsidRPr="003722FF">
        <w:t xml:space="preserve"> </w:t>
      </w:r>
    </w:p>
  </w:endnote>
  <w:endnote w:id="86">
    <w:p w:rsidR="00064D7D" w:rsidRPr="003722FF" w:rsidRDefault="00064D7D" w:rsidP="003722FF">
      <w:r w:rsidRPr="003722FF">
        <w:rPr>
          <w:rStyle w:val="EndnoteReference"/>
        </w:rPr>
        <w:endnoteRef/>
      </w:r>
      <w:r w:rsidRPr="003722FF">
        <w:t xml:space="preserve"> Robert Farley, (2007) “The 'atypical' dilemma: Skyrocketing numbers of kids are prescribed powerful antipsychotic drugs. Is it safe? Nobody knows,” St. Petersburg Times, July 29, 2007.</w:t>
      </w:r>
    </w:p>
  </w:endnote>
  <w:endnote w:id="87">
    <w:p w:rsidR="00064D7D" w:rsidRPr="003722FF" w:rsidRDefault="00064D7D" w:rsidP="003722FF">
      <w:r w:rsidRPr="003722FF">
        <w:rPr>
          <w:rStyle w:val="EndnoteReference"/>
        </w:rPr>
        <w:endnoteRef/>
      </w:r>
      <w:r w:rsidRPr="003722FF">
        <w:t xml:space="preserve"> Critical Think Rx - A Critical Curriculum on Psychotropic Medications Rx, Principal Investigator: David Cohen, Ph.D. and Professional Consultants:  David O. Antonuccio, Ph.D. (psychology),  Kia J. Bentley, Ph.D. (social work),  R. Elliott Ingersoll, Ph.D. (counseling &amp; psychology), Stefan P. Kruszewski, M.D. (psychiatry), Robert E. Rosen, J.D.,Ph.D. (law), and Research Coordinator: Inge Sengelmann, M.S.W. (see: http://criticalthinkrx.org/pdf/m5/Module-5-Complete-Slide-Presentation.pdf)</w:t>
      </w:r>
    </w:p>
  </w:endnote>
  <w:endnote w:id="88">
    <w:p w:rsidR="00064D7D" w:rsidRPr="003722FF" w:rsidRDefault="00064D7D" w:rsidP="003722FF">
      <w:r w:rsidRPr="003722FF">
        <w:rPr>
          <w:rStyle w:val="EndnoteReference"/>
        </w:rPr>
        <w:endnoteRef/>
      </w:r>
      <w:r w:rsidRPr="003722FF">
        <w:t xml:space="preserve"> Jackson MD, Grace, Rethinking Psychiatric Drugs and Drug Induced Dementia, and Beggin MD, Peter, Brain Disabling Treatments</w:t>
      </w:r>
    </w:p>
  </w:endnote>
  <w:endnote w:id="89">
    <w:p w:rsidR="00064D7D" w:rsidRPr="003722FF" w:rsidRDefault="00064D7D" w:rsidP="003722FF">
      <w:r w:rsidRPr="003722FF">
        <w:rPr>
          <w:rStyle w:val="EndnoteReference"/>
        </w:rPr>
        <w:endnoteRef/>
      </w:r>
      <w:r w:rsidRPr="003722FF">
        <w:t xml:space="preserve"> Zito, Safer, dos</w:t>
      </w:r>
      <w:r w:rsidR="009E1DFF">
        <w:t xml:space="preserve"> </w:t>
      </w:r>
      <w:r w:rsidRPr="003722FF">
        <w:t>Reis et al. (2003); Psychotropic practice patterns for youth: a 10-year perspective. Archives of Pediatrics &amp; Adolescent Medicine, 157(1), 17-25</w:t>
      </w:r>
    </w:p>
  </w:endnote>
  <w:endnote w:id="90">
    <w:p w:rsidR="00064D7D" w:rsidRPr="003722FF" w:rsidRDefault="00064D7D" w:rsidP="003722FF">
      <w:r w:rsidRPr="003722FF">
        <w:rPr>
          <w:rStyle w:val="EndnoteReference"/>
        </w:rPr>
        <w:endnoteRef/>
      </w:r>
      <w:r w:rsidRPr="003722FF">
        <w:t xml:space="preserve"> Breggin, Peter.  Brain Disabling Treatments, 2nd Ed (BDT) 98,  ISBN-13: 978-0826129345,  ISBN-10: 082612934X</w:t>
      </w:r>
    </w:p>
  </w:endnote>
  <w:endnote w:id="91">
    <w:p w:rsidR="00064D7D" w:rsidRPr="003722FF" w:rsidRDefault="00064D7D" w:rsidP="003722FF">
      <w:r w:rsidRPr="003722FF">
        <w:rPr>
          <w:rStyle w:val="EndnoteReference"/>
        </w:rPr>
        <w:endnoteRef/>
      </w:r>
      <w:r w:rsidRPr="003722FF">
        <w:t xml:space="preserve"> APA Working Group on Psychoactive Medications for Children and Adolescents. (2006). Report of the Working Group on Psychoactive Medications for Children and Adolescents. Psychopharmacological, psychosocial, and combined interventions for childhood disorders: Evidence-base, contextual factors, and future directions, Washington, DC: American Psychological Association (see:  http://psychrights.org/Research/Digest/CriticalThinkRxCites/APAWorkingGroupchildmeds.pdf)</w:t>
      </w:r>
    </w:p>
  </w:endnote>
  <w:endnote w:id="92">
    <w:p w:rsidR="00064D7D" w:rsidRPr="003722FF" w:rsidRDefault="00064D7D" w:rsidP="003722FF">
      <w:r w:rsidRPr="003722FF">
        <w:rPr>
          <w:rStyle w:val="EndnoteReference"/>
          <w:rFonts w:cs="Arial"/>
        </w:rPr>
        <w:endnoteRef/>
      </w:r>
      <w:r w:rsidRPr="003722FF">
        <w:rPr>
          <w:b/>
        </w:rPr>
        <w:t xml:space="preserve"> </w:t>
      </w:r>
      <w:r w:rsidRPr="003722FF">
        <w:t>Knott, Theresa. Donovan, Kirsten. (2010) “Disproportionate Representation of African-American Children in Foster Care: Secondary Analysis of the National Child Abuse and Neglect Data System 2005”, Children and Youth Services Review, Vol. 32, No. 5 , p. 679-684, May 2010, Elsevier Customer Service Department 6277 Sea Harbor Drive, Orlando, FL  32887-4800, Tel: +1 (877) 839-7126, Fax: +1 (407) 363-1354, Email: usjcs@elsevier.com, (Available from: http://www.elsevier.com)</w:t>
      </w:r>
    </w:p>
  </w:endnote>
  <w:endnote w:id="93">
    <w:p w:rsidR="00064D7D" w:rsidRPr="003722FF" w:rsidRDefault="00064D7D" w:rsidP="006225F6">
      <w:r w:rsidRPr="003722FF">
        <w:rPr>
          <w:rStyle w:val="EndnoteReference"/>
        </w:rPr>
        <w:endnoteRef/>
      </w:r>
      <w:r w:rsidRPr="003722FF">
        <w:t xml:space="preserve"> Breland-Noble, A.M., Elbogen, E.B., Farmer, E.M.Z., Dubs, M.S., Wagner, H.R., &amp; Burns, B.J. (2004). Use of psychotropic medications by youths in therapeutic foster care and group homes. Psychiatric Services, 55(6), 706-708; </w:t>
      </w:r>
    </w:p>
  </w:endnote>
  <w:endnote w:id="94">
    <w:p w:rsidR="006225F6" w:rsidRDefault="006225F6" w:rsidP="006225F6">
      <w:r>
        <w:rPr>
          <w:rStyle w:val="EndnoteReference"/>
        </w:rPr>
        <w:endnoteRef/>
      </w:r>
      <w:r>
        <w:t xml:space="preserve"> </w:t>
      </w:r>
      <w:r w:rsidRPr="003722FF">
        <w:t xml:space="preserve">Raghavan, R., Zima, B. T., Andersen, R. M., Leibowitz, A. A., Schuster, M. A., &amp; Landsverk, J. (2005). </w:t>
      </w:r>
      <w:r>
        <w:t>“</w:t>
      </w:r>
      <w:r w:rsidRPr="003722FF">
        <w:t>Psychotropic medication use in a national probability sample of children in the child welfare system.</w:t>
      </w:r>
      <w:r>
        <w:t>”</w:t>
      </w:r>
      <w:r w:rsidRPr="003722FF">
        <w:t xml:space="preserve"> Journal of Child and Adolescent Psychopharmacology.Special Issue on </w:t>
      </w:r>
      <w:r>
        <w:t xml:space="preserve"> </w:t>
      </w:r>
      <w:r w:rsidRPr="003722FF">
        <w:t xml:space="preserve">Psychopharmacoepidemiology, 15(1), 97-106  </w:t>
      </w:r>
    </w:p>
  </w:endnote>
  <w:endnote w:id="95">
    <w:p w:rsidR="00064D7D" w:rsidRPr="003722FF" w:rsidRDefault="00064D7D" w:rsidP="003722FF">
      <w:r w:rsidRPr="003722FF">
        <w:rPr>
          <w:rStyle w:val="EndnoteReference"/>
          <w:rFonts w:cs="Arial"/>
        </w:rPr>
        <w:endnoteRef/>
      </w:r>
      <w:r w:rsidRPr="003722FF">
        <w:t xml:space="preserve"> The Child Welfare League of America, 1726 M St. NW, Suite 500, Washington, DC, 20036, Phone: 202-688-4200, Fax: 202-833-1689, Email: cwla@cwla.org, (see: http://www.cwla.org/)</w:t>
      </w:r>
    </w:p>
  </w:endnote>
  <w:endnote w:id="96">
    <w:p w:rsidR="00064D7D" w:rsidRPr="003722FF" w:rsidRDefault="00064D7D" w:rsidP="003722FF">
      <w:r w:rsidRPr="003722FF">
        <w:rPr>
          <w:rStyle w:val="EndnoteReference"/>
        </w:rPr>
        <w:endnoteRef/>
      </w:r>
      <w:r w:rsidRPr="003722FF">
        <w:t xml:space="preserve"> The AFCARS report estimates as of June 2006 from U.S. Department of Health and Human Services, Administration for Children and Families, Children’s Bureau (2006). The AFCARS report: Preliminary FY 2005 estimates as of September 2006. Washington DC: U.S. Department of Health and Human Services. (see: http://www.acf.hhs.gov/programs/cb/stats_research/index.htm)</w:t>
      </w:r>
    </w:p>
  </w:endnote>
  <w:endnote w:id="97">
    <w:p w:rsidR="00064D7D" w:rsidRPr="003722FF" w:rsidRDefault="00064D7D" w:rsidP="003722FF">
      <w:r w:rsidRPr="003722FF">
        <w:rPr>
          <w:rStyle w:val="EndnoteReference"/>
        </w:rPr>
        <w:endnoteRef/>
      </w:r>
      <w:r w:rsidRPr="003722FF">
        <w:t xml:space="preserve"> Coyle, J. T. (2000). “Psychotropic drug use in very young children.” JAMA, 283(8), 1059-1060; Rappley, M.D. (2006). “Actual psychotropic medication use in preschool children.” Infants &amp; Young Children, 19(2), 154-163;  Zito, J. M., Safer, D. J., dosReis, S., Gardner, J. F., Boles, M., &amp; Lynch, F. (2000) “Trends in the prescribing of psychotropic medications to preschoolers.” JAMA, 283(8), 1025-1030</w:t>
      </w:r>
    </w:p>
  </w:endnote>
  <w:endnote w:id="98">
    <w:p w:rsidR="00064D7D" w:rsidRPr="003722FF" w:rsidRDefault="00064D7D" w:rsidP="003722FF">
      <w:r w:rsidRPr="003722FF">
        <w:rPr>
          <w:rStyle w:val="EndnoteReference"/>
        </w:rPr>
        <w:endnoteRef/>
      </w:r>
      <w:r w:rsidRPr="003722FF">
        <w:t xml:space="preserve">  Littrell, J. (2012). “Children in foster care and excessive medications.”   International Journal of Medical and Biological Frontiers, 18(9/10), Georgia State University ScholarWorks @ Georgia State University, Social Work Faculty Publications School of Social Work, 2012</w:t>
      </w:r>
    </w:p>
  </w:endnote>
  <w:endnote w:id="99">
    <w:p w:rsidR="00064D7D" w:rsidRPr="003722FF" w:rsidRDefault="00064D7D" w:rsidP="003722FF">
      <w:r w:rsidRPr="003722FF">
        <w:rPr>
          <w:rStyle w:val="EndnoteCharacters"/>
          <w:rFonts w:cs="Arial"/>
          <w:vertAlign w:val="superscript"/>
        </w:rPr>
        <w:endnoteRef/>
      </w:r>
      <w:r w:rsidRPr="003722FF">
        <w:rPr>
          <w:rFonts w:eastAsia="Arial Unicode MS"/>
        </w:rPr>
        <w:t xml:space="preserve"> </w:t>
      </w:r>
      <w:r w:rsidRPr="003722FF">
        <w:rPr>
          <w:rFonts w:eastAsia="Arial Unicode MS"/>
          <w:i/>
          <w:iCs/>
        </w:rPr>
        <w:t>United States ex rel Law Project for Psychiatric Rights v. Matsutani, et al.</w:t>
      </w:r>
      <w:r w:rsidRPr="003722FF">
        <w:rPr>
          <w:rFonts w:eastAsia="Arial Unicode MS"/>
        </w:rPr>
        <w:t xml:space="preserve">  US District Court, District of Alaska, Case No. 3:09-cv-0080-TMB.</w:t>
      </w:r>
    </w:p>
  </w:endnote>
  <w:endnote w:id="100">
    <w:p w:rsidR="00AC68E6" w:rsidRPr="00AC68E6" w:rsidRDefault="00AC68E6" w:rsidP="00AC68E6">
      <w:r w:rsidRPr="00AC68E6">
        <w:rPr>
          <w:rStyle w:val="EndnoteReference"/>
        </w:rPr>
        <w:endnoteRef/>
      </w:r>
      <w:r w:rsidRPr="00AC68E6">
        <w:t xml:space="preserve"> </w:t>
      </w:r>
      <w:r w:rsidRPr="00AC68E6">
        <w:t>Regier, D. A.,</w:t>
      </w:r>
      <w:r>
        <w:t xml:space="preserve"> et al (1993)  </w:t>
      </w:r>
      <w:r w:rsidRPr="00AC68E6">
        <w:t xml:space="preserve"> Regier, D. A.,</w:t>
      </w:r>
      <w:r>
        <w:t xml:space="preserve"> </w:t>
      </w:r>
      <w:r w:rsidRPr="00AC68E6">
        <w:t>Farmer, M. E., Rae, D. S., Myers, J. K.,Kramer, M., Robins, L. N., George, L. K., Karno,</w:t>
      </w:r>
      <w:r w:rsidRPr="00AC68E6">
        <w:t xml:space="preserve"> </w:t>
      </w:r>
      <w:r w:rsidRPr="00AC68E6">
        <w:t xml:space="preserve">M., &amp; Locke, B. Z. (1993a). </w:t>
      </w:r>
      <w:r>
        <w:t>“</w:t>
      </w:r>
      <w:r w:rsidRPr="00AC68E6">
        <w:t>One-month prevalence</w:t>
      </w:r>
      <w:r w:rsidRPr="00AC68E6">
        <w:t xml:space="preserve"> </w:t>
      </w:r>
      <w:r w:rsidRPr="00AC68E6">
        <w:t>of mental disorders in the United States and</w:t>
      </w:r>
      <w:r w:rsidRPr="00AC68E6">
        <w:t xml:space="preserve"> </w:t>
      </w:r>
      <w:r w:rsidRPr="00AC68E6">
        <w:t xml:space="preserve">sociodemographic </w:t>
      </w:r>
      <w:r w:rsidRPr="00AC68E6">
        <w:t>c</w:t>
      </w:r>
      <w:r w:rsidRPr="00AC68E6">
        <w:t>haracteristics: The Epidemiologic</w:t>
      </w:r>
      <w:r w:rsidRPr="00AC68E6">
        <w:t xml:space="preserve"> </w:t>
      </w:r>
      <w:r w:rsidRPr="00AC68E6">
        <w:t>Catchment Area study.</w:t>
      </w:r>
      <w:r>
        <w:t>”</w:t>
      </w:r>
      <w:r w:rsidRPr="00AC68E6">
        <w:t xml:space="preserve"> Acta Psychiatrica</w:t>
      </w:r>
      <w:r w:rsidRPr="00AC68E6">
        <w:t xml:space="preserve"> </w:t>
      </w:r>
      <w:r w:rsidRPr="00AC68E6">
        <w:t>Scandinavica, 88, 35-47.</w:t>
      </w:r>
    </w:p>
  </w:endnote>
  <w:endnote w:id="101">
    <w:p w:rsidR="00F43C9A" w:rsidRDefault="00F43C9A" w:rsidP="00F43C9A">
      <w:r>
        <w:rPr>
          <w:rStyle w:val="EndnoteReference"/>
        </w:rPr>
        <w:endnoteRef/>
      </w:r>
      <w:r>
        <w:t xml:space="preserve"> </w:t>
      </w:r>
      <w:r w:rsidRPr="00F43C9A">
        <w:t>Snowden LR, Catalano RF, Shumway M.</w:t>
      </w:r>
      <w:r w:rsidR="00AC68E6">
        <w:t xml:space="preserve"> (2009) </w:t>
      </w:r>
      <w:r>
        <w:t>“</w:t>
      </w:r>
      <w:r w:rsidRPr="00F43C9A">
        <w:t>Emergency mental health treatment and African American populations</w:t>
      </w:r>
      <w:r>
        <w:t>”</w:t>
      </w:r>
      <w:r w:rsidRPr="00F43C9A">
        <w:t xml:space="preserve"> (2009). Psychiatric Services 60(12):1664-1671.</w:t>
      </w:r>
    </w:p>
  </w:endnote>
  <w:endnote w:id="102">
    <w:p w:rsidR="00F43C9A" w:rsidRDefault="00F43C9A" w:rsidP="00F43C9A">
      <w:r>
        <w:rPr>
          <w:rStyle w:val="EndnoteReference"/>
        </w:rPr>
        <w:endnoteRef/>
      </w:r>
      <w:r>
        <w:t xml:space="preserve"> S</w:t>
      </w:r>
      <w:r w:rsidRPr="00F43C9A">
        <w:t xml:space="preserve">nowden, LR. </w:t>
      </w:r>
      <w:r w:rsidR="00AC68E6">
        <w:t xml:space="preserve">(2012) </w:t>
      </w:r>
      <w:r>
        <w:t>“</w:t>
      </w:r>
      <w:r w:rsidRPr="00F43C9A">
        <w:t>Health and mental health policies' role in better understanding and closing African American-White American disparities in treatment access and quality of care.</w:t>
      </w:r>
      <w:r>
        <w:t>”</w:t>
      </w:r>
      <w:r w:rsidRPr="00F43C9A">
        <w:t xml:space="preserve"> American Psychologist. 2012 67(7): 524-531</w:t>
      </w:r>
    </w:p>
  </w:endnote>
  <w:endnote w:id="103">
    <w:p w:rsidR="00F43C9A" w:rsidRPr="00F43C9A" w:rsidRDefault="00F43C9A" w:rsidP="00F43C9A">
      <w:r>
        <w:rPr>
          <w:rStyle w:val="EndnoteReference"/>
        </w:rPr>
        <w:endnoteRef/>
      </w:r>
      <w:r>
        <w:t xml:space="preserve"> </w:t>
      </w:r>
      <w:r w:rsidRPr="00F43C9A">
        <w:t>Snowden LR, Hastings J, Alvidrez J</w:t>
      </w:r>
      <w:r w:rsidR="00AC68E6">
        <w:t xml:space="preserve"> (2009)</w:t>
      </w:r>
      <w:r w:rsidRPr="00F43C9A">
        <w:t xml:space="preserve"> </w:t>
      </w:r>
      <w:r>
        <w:t>“</w:t>
      </w:r>
      <w:r w:rsidRPr="00F43C9A">
        <w:t>Overrepresentation of black Americans in psychiatric inpatient care</w:t>
      </w:r>
      <w:r>
        <w:t>”</w:t>
      </w:r>
      <w:r w:rsidRPr="00F43C9A">
        <w:t xml:space="preserve"> (2009).Psychiatric Services. 60(6):779-785</w:t>
      </w:r>
    </w:p>
  </w:endnote>
  <w:endnote w:id="104">
    <w:p w:rsidR="00F43C9A" w:rsidRDefault="00F43C9A" w:rsidP="00F43C9A">
      <w:r>
        <w:rPr>
          <w:rStyle w:val="EndnoteReference"/>
        </w:rPr>
        <w:endnoteRef/>
      </w:r>
      <w:r>
        <w:t xml:space="preserve"> Surgeon General, HHS. (2001) </w:t>
      </w:r>
      <w:r w:rsidRPr="00B84207">
        <w:t>Mental Health: Culture, Race, and Ethnicity—A Supplement to Mental Health: A Report of the</w:t>
      </w:r>
      <w:r>
        <w:t xml:space="preserve"> Surgeon General. Rockville, Md</w:t>
      </w:r>
      <w:r w:rsidRPr="00B84207">
        <w:t xml:space="preserve"> </w:t>
      </w:r>
      <w:r>
        <w:t>(see: www.surgeongeneral.gov/library/mentalhealth/cre/)</w:t>
      </w:r>
    </w:p>
  </w:endnote>
  <w:endnote w:id="105">
    <w:p w:rsidR="00552623" w:rsidRPr="003722FF" w:rsidRDefault="00552623" w:rsidP="00552623">
      <w:r w:rsidRPr="003722FF">
        <w:rPr>
          <w:rStyle w:val="EndnoteCharacters"/>
          <w:rFonts w:cs="Arial"/>
          <w:vertAlign w:val="superscript"/>
        </w:rPr>
        <w:endnoteRef/>
      </w:r>
      <w:r w:rsidRPr="003722FF">
        <w:rPr>
          <w:vertAlign w:val="superscript"/>
        </w:rPr>
        <w:t xml:space="preserve"> </w:t>
      </w:r>
      <w:r w:rsidRPr="003722FF">
        <w:t>Bradford, L. DiAnne and Kirlin, Ward G., (1998) “</w:t>
      </w:r>
      <w:r w:rsidRPr="003722FF">
        <w:rPr>
          <w:iCs/>
          <w:color w:val="000000"/>
        </w:rPr>
        <w:t>Polymorphism of CYP2D6 in Black populations: implications for psychopharmacology”</w:t>
      </w:r>
      <w:r w:rsidRPr="003722FF">
        <w:t xml:space="preserve"> Neuropsychopharmacology</w:t>
      </w:r>
      <w:r w:rsidRPr="003722FF">
        <w:rPr>
          <w:i/>
          <w:iCs/>
        </w:rPr>
        <w:t xml:space="preserve">  </w:t>
      </w:r>
      <w:r w:rsidRPr="003722FF">
        <w:t xml:space="preserve">The International Journal of Neuropsychopharmacology / Volume 1 / Issue 02 / December 1998, pp 173-185  1998 Collegium Internationale Neuropsychopharmacologicum  (see http://dx.doi.org/) Published online: 07 April 2003 </w:t>
      </w:r>
    </w:p>
  </w:endnote>
  <w:endnote w:id="106">
    <w:p w:rsidR="00067604" w:rsidRDefault="00067604" w:rsidP="00067604">
      <w:r>
        <w:rPr>
          <w:rStyle w:val="EndnoteReference"/>
        </w:rPr>
        <w:endnoteRef/>
      </w:r>
      <w:r>
        <w:t xml:space="preserve"> </w:t>
      </w:r>
      <w:r>
        <w:t>Sribney et al.</w:t>
      </w:r>
      <w:r w:rsidR="00AC68E6">
        <w:t xml:space="preserve"> (2010)</w:t>
      </w:r>
      <w:r>
        <w:t xml:space="preserve"> The Role of Nonmedical Human Services and Alternative Medicine. Chapter in Disparities in Psychiatric Care. Ruiz and</w:t>
      </w:r>
      <w:r>
        <w:t xml:space="preserve"> </w:t>
      </w:r>
      <w:r>
        <w:t>Primm editors. Lipincott Willimas &amp; Wilkins, Baltimore, MD, 2010</w:t>
      </w:r>
    </w:p>
  </w:endnote>
  <w:endnote w:id="107">
    <w:p w:rsidR="00064D7D" w:rsidRPr="003722FF" w:rsidRDefault="00064D7D" w:rsidP="003722FF">
      <w:r w:rsidRPr="003722FF">
        <w:rPr>
          <w:rStyle w:val="EndnoteCharacters"/>
          <w:rFonts w:cs="Arial"/>
          <w:vertAlign w:val="superscript"/>
        </w:rPr>
        <w:endnoteRef/>
      </w:r>
      <w:r w:rsidRPr="003722FF">
        <w:t xml:space="preserve"> JAMA, August 3, 2011—Vol 306, No. 5 493.</w:t>
      </w:r>
    </w:p>
  </w:endnote>
  <w:endnote w:id="108">
    <w:p w:rsidR="00064D7D" w:rsidRPr="003722FF" w:rsidRDefault="00064D7D" w:rsidP="003722FF">
      <w:r w:rsidRPr="003722FF">
        <w:rPr>
          <w:rStyle w:val="EndnoteCharacters"/>
          <w:rFonts w:cs="Arial"/>
          <w:vertAlign w:val="superscript"/>
        </w:rPr>
        <w:endnoteRef/>
      </w:r>
      <w:r w:rsidRPr="003722FF">
        <w:t xml:space="preserve"> Rosenheck R, Leslie D, Sernyak M.</w:t>
      </w:r>
      <w:r w:rsidR="00AC68E6">
        <w:t xml:space="preserve"> </w:t>
      </w:r>
      <w:r w:rsidRPr="003722FF">
        <w:t>(2001) “</w:t>
      </w:r>
      <w:r w:rsidRPr="003722FF">
        <w:rPr>
          <w:iCs/>
        </w:rPr>
        <w:t>From clinical trials to real-world practice: use of atypical antipsychotic medication nationally in the Department of Veterans Affairs</w:t>
      </w:r>
      <w:r w:rsidRPr="003722FF">
        <w:t>.” Med Care. 2001;39(3):302-308.</w:t>
      </w:r>
    </w:p>
  </w:endnote>
  <w:endnote w:id="109">
    <w:p w:rsidR="00064D7D" w:rsidRPr="003722FF" w:rsidRDefault="00064D7D" w:rsidP="00AC68E6">
      <w:r w:rsidRPr="003722FF">
        <w:rPr>
          <w:rStyle w:val="EndnoteCharacters"/>
          <w:rFonts w:cs="Arial"/>
          <w:vertAlign w:val="superscript"/>
        </w:rPr>
        <w:endnoteRef/>
      </w:r>
      <w:r w:rsidRPr="003722FF">
        <w:rPr>
          <w:vertAlign w:val="superscript"/>
        </w:rPr>
        <w:t xml:space="preserve"> </w:t>
      </w:r>
      <w:r w:rsidRPr="003722FF">
        <w:t>Leslie DL, Mohamed S, Rosenheck RA., (2009) “Off-label use of antipsychotic medications in the department of Veterans Affairs health care system.” Psychiatric Serv. 2009;60(9):1175-1181.</w:t>
      </w:r>
    </w:p>
  </w:endnote>
  <w:endnote w:id="110">
    <w:p w:rsidR="00B84207" w:rsidRDefault="00B84207" w:rsidP="00AC68E6">
      <w:r>
        <w:rPr>
          <w:rStyle w:val="EndnoteReference"/>
        </w:rPr>
        <w:endnoteRef/>
      </w:r>
      <w:r>
        <w:t xml:space="preserve"> </w:t>
      </w:r>
      <w:r w:rsidR="00AC68E6" w:rsidRPr="00AC68E6">
        <w:t>Dr. Margaret C. Harrell and Nancy Berglass</w:t>
      </w:r>
      <w:r w:rsidR="00AC68E6">
        <w:t>, (Oct. 2011)</w:t>
      </w:r>
      <w:r w:rsidR="00AC68E6">
        <w:t xml:space="preserve"> </w:t>
      </w:r>
      <w:r w:rsidR="00AC68E6">
        <w:t>“</w:t>
      </w:r>
      <w:r>
        <w:t>Losing the Battle: The Challenge of Military Suicide</w:t>
      </w:r>
      <w:r w:rsidR="00AC68E6">
        <w:t>”</w:t>
      </w:r>
      <w:r>
        <w:t xml:space="preserve"> </w:t>
      </w:r>
      <w:r w:rsidR="00AC68E6" w:rsidRPr="00AC68E6">
        <w:t>Center for a New American Security</w:t>
      </w:r>
      <w:r w:rsidR="00E360F1">
        <w:t xml:space="preserve"> (see </w:t>
      </w:r>
      <w:r w:rsidR="00E360F1" w:rsidRPr="00E360F1">
        <w:t>http://www.cnas.org/publications/</w:t>
      </w:r>
      <w:r w:rsidR="00E360F1">
        <w:t>)</w:t>
      </w:r>
    </w:p>
  </w:endnote>
  <w:endnote w:id="111">
    <w:p w:rsidR="00A27AAE" w:rsidRDefault="00A27AAE" w:rsidP="00AC68E6">
      <w:r>
        <w:rPr>
          <w:rStyle w:val="EndnoteReference"/>
        </w:rPr>
        <w:endnoteRef/>
      </w:r>
      <w:r>
        <w:t xml:space="preserve">  Breggin, MD, Peter R., “Antidepressant-Induced Suicide,</w:t>
      </w:r>
      <w:r w:rsidR="00E360F1">
        <w:t xml:space="preserve"> </w:t>
      </w:r>
      <w:r>
        <w:t>Violence, and Mania: Risks for Military Personnel” Ethical Human Psychology and Psychiatry, Volume 12, Number 2, 2010, © 2010 Springer Publishing Company.   Also see Dr. Peter Breggin’s written testimony February 24, 2010,  to the Veterans Affairs Committee of the House of Representatives, Chaired by Rep. Bob Filner (D-San Diego).  The hearings entitled "Exploring the Relationship Between Medication and Veteran Suicide."</w:t>
      </w:r>
    </w:p>
  </w:endnote>
  <w:endnote w:id="112">
    <w:p w:rsidR="00064D7D" w:rsidRPr="003722FF" w:rsidRDefault="00064D7D" w:rsidP="00357EA4">
      <w:r w:rsidRPr="003722FF">
        <w:rPr>
          <w:rStyle w:val="EndnoteReference"/>
        </w:rPr>
        <w:endnoteRef/>
      </w:r>
      <w:r w:rsidRPr="003722FF">
        <w:t xml:space="preserve"> Radley DC, Finkelstein SN, Stafford RS. (2006) “Off-label prescribing among office-based physicians.” Arch Intern Med 2006;166: 1021-6.</w:t>
      </w:r>
    </w:p>
  </w:endnote>
  <w:endnote w:id="113">
    <w:p w:rsidR="00064D7D" w:rsidRPr="003722FF" w:rsidRDefault="00064D7D" w:rsidP="00357EA4">
      <w:r w:rsidRPr="003722FF">
        <w:rPr>
          <w:rStyle w:val="EndnoteCharacters"/>
          <w:rFonts w:cs="Arial"/>
          <w:vertAlign w:val="superscript"/>
        </w:rPr>
        <w:endnoteRef/>
      </w:r>
      <w:r w:rsidRPr="003722FF">
        <w:rPr>
          <w:vertAlign w:val="superscript"/>
        </w:rPr>
        <w:t xml:space="preserve"> </w:t>
      </w:r>
      <w:r w:rsidRPr="003722FF">
        <w:t>Barnes, Thomas R. E., (1989)  “Rating Scale for Drug-Induced Akathisia,”  British Journal of Psychiatry</w:t>
      </w:r>
      <w:r w:rsidRPr="003722FF">
        <w:rPr>
          <w:i/>
        </w:rPr>
        <w:t xml:space="preserve"> </w:t>
      </w:r>
      <w:r w:rsidRPr="003722FF">
        <w:t xml:space="preserve"> (1989), 154, 672-676  A  ( see: http://egret.psychol.cam.ac.uk/medicine/scales/dubious/Barnes_1989_akathisia.pdf ) </w:t>
      </w:r>
    </w:p>
  </w:endnote>
  <w:endnote w:id="114">
    <w:p w:rsidR="00064D7D" w:rsidRPr="003722FF" w:rsidRDefault="00064D7D" w:rsidP="00357EA4">
      <w:r w:rsidRPr="003722FF">
        <w:rPr>
          <w:rStyle w:val="EndnoteCharacters"/>
          <w:rFonts w:cs="Arial"/>
          <w:vertAlign w:val="superscript"/>
        </w:rPr>
        <w:endnoteRef/>
      </w:r>
      <w:r w:rsidRPr="003722FF">
        <w:rPr>
          <w:vertAlign w:val="superscript"/>
        </w:rPr>
        <w:t xml:space="preserve"> </w:t>
      </w:r>
      <w:r w:rsidRPr="003722FF">
        <w:t xml:space="preserve">Van Putten, T.  (1987) “Behavioral toxicity of antipsychotic drugs.” Journal of Clinical Psychiatry 48 (1987):13-19. </w:t>
      </w:r>
    </w:p>
  </w:endnote>
  <w:endnote w:id="115">
    <w:p w:rsidR="00064D7D" w:rsidRPr="003722FF" w:rsidRDefault="00064D7D" w:rsidP="003722FF">
      <w:r w:rsidRPr="003722FF">
        <w:rPr>
          <w:rStyle w:val="EndnoteCharacters"/>
          <w:rFonts w:cs="Arial"/>
          <w:vertAlign w:val="superscript"/>
        </w:rPr>
        <w:endnoteRef/>
      </w:r>
      <w:r w:rsidRPr="003722FF">
        <w:t xml:space="preserve"> Van Putten, T. “</w:t>
      </w:r>
      <w:r w:rsidRPr="003722FF">
        <w:rPr>
          <w:iCs/>
        </w:rPr>
        <w:t>The many faces of akathisia</w:t>
      </w:r>
      <w:r w:rsidRPr="003722FF">
        <w:t xml:space="preserve">,” Comprehensive Psychiatry 16 91975):4346.  </w:t>
      </w:r>
    </w:p>
  </w:endnote>
  <w:endnote w:id="116">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Bridge JA, Iyengar S, Salary CB, et al. (2007) “</w:t>
      </w:r>
      <w:r w:rsidRPr="003722FF">
        <w:rPr>
          <w:iCs/>
        </w:rPr>
        <w:t>Clinical response and risk for reported suicidal ideation and suicide attempts in pediatric antidepressant treatment.”</w:t>
      </w:r>
      <w:r w:rsidRPr="003722FF">
        <w:t xml:space="preserve"> 2007;297:16831696. </w:t>
      </w:r>
    </w:p>
  </w:endnote>
  <w:endnote w:id="117">
    <w:p w:rsidR="00064D7D" w:rsidRPr="003722FF" w:rsidRDefault="00064D7D" w:rsidP="003722FF">
      <w:r w:rsidRPr="003722FF">
        <w:rPr>
          <w:rStyle w:val="EndnoteCharacters"/>
          <w:rFonts w:cs="Arial"/>
          <w:vertAlign w:val="superscript"/>
        </w:rPr>
        <w:endnoteRef/>
      </w:r>
      <w:r w:rsidRPr="003722FF">
        <w:t xml:space="preserve"> Kidger T, Barnes TR, Trauer T, Taylor PJ. (1980) “</w:t>
      </w:r>
      <w:r w:rsidRPr="003722FF">
        <w:rPr>
          <w:iCs/>
        </w:rPr>
        <w:t>Sub-syndromes of tardive dyskinesia.”</w:t>
      </w:r>
      <w:r w:rsidRPr="003722FF">
        <w:rPr>
          <w:i/>
          <w:iCs/>
        </w:rPr>
        <w:t xml:space="preserve"> </w:t>
      </w:r>
      <w:r w:rsidRPr="003722FF">
        <w:t xml:space="preserve"> Psychol Med. 1980 Aug;10(3):513–520. [PubMed]</w:t>
      </w:r>
    </w:p>
  </w:endnote>
  <w:endnote w:id="118">
    <w:p w:rsidR="00064D7D" w:rsidRPr="003722FF" w:rsidRDefault="00064D7D" w:rsidP="003722FF">
      <w:r w:rsidRPr="003722FF">
        <w:rPr>
          <w:rStyle w:val="EndnoteCharacters"/>
          <w:rFonts w:cs="Arial"/>
          <w:vertAlign w:val="superscript"/>
        </w:rPr>
        <w:endnoteRef/>
      </w:r>
      <w:r w:rsidRPr="003722FF">
        <w:t xml:space="preserve"> Shear, K et al. (1982) “</w:t>
      </w:r>
      <w:r w:rsidRPr="003722FF">
        <w:rPr>
          <w:iCs/>
        </w:rPr>
        <w:t>Suicide associated with akathisia and deport fluphenazine treatment</w:t>
      </w:r>
      <w:r w:rsidRPr="003722FF">
        <w:t xml:space="preserve">,” Journal of Clinical Psychopharmacology 3 (1982):235-6. </w:t>
      </w:r>
    </w:p>
  </w:endnote>
  <w:endnote w:id="119">
    <w:p w:rsidR="00064D7D" w:rsidRPr="003722FF" w:rsidRDefault="00064D7D" w:rsidP="003722FF">
      <w:r w:rsidRPr="003722FF">
        <w:rPr>
          <w:rStyle w:val="EndnoteCharacters"/>
          <w:rFonts w:cs="Arial"/>
          <w:vertAlign w:val="superscript"/>
        </w:rPr>
        <w:endnoteRef/>
      </w:r>
      <w:r w:rsidRPr="003722FF">
        <w:t xml:space="preserve"> Cullberg J. </w:t>
      </w:r>
      <w:r w:rsidRPr="003722FF">
        <w:rPr>
          <w:iCs/>
        </w:rPr>
        <w:t>“Integrating psychosocial therapy and low dose medical treatment in a total material of first-episode psychotic patients compared to treatment as usual.”</w:t>
      </w:r>
      <w:r w:rsidRPr="003722FF">
        <w:t xml:space="preserve"> Medical Archives 53 (199):167-70. </w:t>
      </w:r>
    </w:p>
  </w:endnote>
  <w:endnote w:id="120">
    <w:p w:rsidR="00064D7D" w:rsidRPr="003722FF" w:rsidRDefault="00064D7D" w:rsidP="003722FF">
      <w:r w:rsidRPr="003722FF">
        <w:rPr>
          <w:rStyle w:val="EndnoteCharacters"/>
          <w:rFonts w:cs="Arial"/>
          <w:vertAlign w:val="superscript"/>
        </w:rPr>
        <w:endnoteRef/>
      </w:r>
      <w:r w:rsidRPr="003722FF">
        <w:t xml:space="preserve"> Cullberg J. (2002) </w:t>
      </w:r>
      <w:r w:rsidRPr="003722FF">
        <w:rPr>
          <w:iCs/>
        </w:rPr>
        <w:t>“One-year outcome in first episode psychosis patients in the Swedish Parachute Project.”</w:t>
      </w:r>
      <w:r w:rsidRPr="003722FF">
        <w:t xml:space="preserve"> Acta Psychiatrica Scandinavica 106 (2002):276-85. </w:t>
      </w:r>
    </w:p>
  </w:endnote>
  <w:endnote w:id="121">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 xml:space="preserve">Madsen A, et al. (1998) </w:t>
      </w:r>
      <w:r w:rsidRPr="003722FF">
        <w:rPr>
          <w:iCs/>
        </w:rPr>
        <w:t>“Neuroleptics in progressive structural brain abnormalities in psychiatric illness.”</w:t>
      </w:r>
      <w:r w:rsidRPr="003722FF">
        <w:t xml:space="preserve"> The Lancet 352 (1998): 784-5. </w:t>
      </w:r>
    </w:p>
  </w:endnote>
  <w:endnote w:id="122">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Joukamaa, M., Heliova, M., Knekt, P. at el, (2006) “</w:t>
      </w:r>
      <w:r w:rsidRPr="003722FF">
        <w:rPr>
          <w:iCs/>
        </w:rPr>
        <w:t>Schizophrenia, neuroleptic medication and mortality</w:t>
      </w:r>
      <w:r w:rsidRPr="003722FF">
        <w:t xml:space="preserve"> Bri. J of Psychiatry” (2006), 188, P.122-127.</w:t>
      </w:r>
    </w:p>
  </w:endnote>
  <w:endnote w:id="123">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Radley DC, Finkelstein SN, Stafford RS. (2006) “</w:t>
      </w:r>
      <w:r w:rsidRPr="003722FF">
        <w:rPr>
          <w:iCs/>
        </w:rPr>
        <w:t>Off-label prescribing among office-based physicians</w:t>
      </w:r>
      <w:r w:rsidRPr="003722FF">
        <w:t>.” Arch Intern Med. 2006;166(9):1021-1026.</w:t>
      </w:r>
    </w:p>
  </w:endnote>
  <w:endnote w:id="124">
    <w:p w:rsidR="00064D7D" w:rsidRPr="003722FF" w:rsidRDefault="00064D7D" w:rsidP="003722FF">
      <w:r w:rsidRPr="003722FF">
        <w:rPr>
          <w:rStyle w:val="EndnoteCharacters"/>
          <w:rFonts w:cs="Arial"/>
          <w:vertAlign w:val="superscript"/>
        </w:rPr>
        <w:endnoteRef/>
      </w:r>
      <w:r w:rsidRPr="003722FF">
        <w:t xml:space="preserve"> Stop Medicare Fraud. Pfizer fact sheet. Pfizer to pay $2.3 billion to resolve criminal and civil health care liability relating to fraudulent marketing and the payment of kickbacks. (see: http://www.stopmedicarefraud.gov/pfizerfactsheet.html.)</w:t>
      </w:r>
    </w:p>
  </w:endnote>
  <w:endnote w:id="125">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 xml:space="preserve">DeGrandpre, Richard, (2006) The Cult of Pharmacology: How America Became the World’s Most Troubled Drug Culture, Durham, N.C.: Duke University Press; 2006. </w:t>
      </w:r>
    </w:p>
  </w:endnote>
  <w:endnote w:id="126">
    <w:p w:rsidR="00064D7D" w:rsidRPr="003722FF" w:rsidRDefault="00064D7D" w:rsidP="003722FF">
      <w:r w:rsidRPr="003722FF">
        <w:rPr>
          <w:rStyle w:val="EndnoteCharacters"/>
          <w:rFonts w:cs="Arial"/>
          <w:vertAlign w:val="superscript"/>
        </w:rPr>
        <w:endnoteRef/>
      </w:r>
      <w:r w:rsidRPr="003722FF">
        <w:t xml:space="preserve"> Kirsch I, Moore TJ, Scoboria A, et al.</w:t>
      </w:r>
      <w:r w:rsidR="009E1DFF">
        <w:t xml:space="preserve"> </w:t>
      </w:r>
      <w:r w:rsidRPr="003722FF">
        <w:t>(2002)  “</w:t>
      </w:r>
      <w:r w:rsidRPr="003722FF">
        <w:rPr>
          <w:iCs/>
        </w:rPr>
        <w:t>The emperor’s new drugs: an analysis of antidepressant medication data submitted to the U. S. Food and Drug Administration</w:t>
      </w:r>
      <w:r w:rsidRPr="003722FF">
        <w:t xml:space="preserve">.” 2002;5 (1):23-33. </w:t>
      </w:r>
    </w:p>
  </w:endnote>
  <w:endnote w:id="127">
    <w:p w:rsidR="00064D7D" w:rsidRPr="003722FF" w:rsidRDefault="00064D7D" w:rsidP="003722FF">
      <w:r w:rsidRPr="003722FF">
        <w:rPr>
          <w:rStyle w:val="EndnoteCharacters"/>
          <w:rFonts w:cs="Arial"/>
          <w:vertAlign w:val="superscript"/>
        </w:rPr>
        <w:endnoteRef/>
      </w:r>
      <w:r w:rsidRPr="003722FF">
        <w:t xml:space="preserve"> Kirsch I, Deacon BJ, Huedo-Medina TB, et al. (2008) “</w:t>
      </w:r>
      <w:r w:rsidRPr="003722FF">
        <w:rPr>
          <w:iCs/>
        </w:rPr>
        <w:t>Initial severity and antidepressant benefits: a meta-analysis of data submitted to the Food and Drug Administration.”</w:t>
      </w:r>
      <w:r w:rsidRPr="003722FF">
        <w:t xml:space="preserve"> 2008;5 (2):e45. doi:10.1371/journal.pmed.0050045. </w:t>
      </w:r>
    </w:p>
  </w:endnote>
  <w:endnote w:id="128">
    <w:p w:rsidR="00064D7D" w:rsidRPr="003722FF" w:rsidRDefault="00064D7D" w:rsidP="003722FF">
      <w:r w:rsidRPr="003722FF">
        <w:rPr>
          <w:rStyle w:val="EndnoteCharacters"/>
          <w:rFonts w:cs="Arial"/>
          <w:vertAlign w:val="superscript"/>
        </w:rPr>
        <w:endnoteRef/>
      </w:r>
      <w:r w:rsidRPr="003722FF">
        <w:t xml:space="preserve"> Wolfe SM, ed. (2008) “</w:t>
      </w:r>
      <w:r w:rsidRPr="003722FF">
        <w:rPr>
          <w:iCs/>
        </w:rPr>
        <w:t>SSRIs can have dangerous interactions with other drugs</w:t>
      </w:r>
      <w:r w:rsidRPr="003722FF">
        <w:t xml:space="preserve">.”  2008;14(1):25. (see: www.citizen.org/hrg/.) </w:t>
      </w:r>
    </w:p>
  </w:endnote>
  <w:endnote w:id="129">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Manschreck, T. C., and Boshes, R. A. (2007). “</w:t>
      </w:r>
      <w:r w:rsidRPr="003722FF">
        <w:rPr>
          <w:iCs/>
        </w:rPr>
        <w:t>The CATIE schizophrenia trail: results, impact, and controversy.”</w:t>
      </w:r>
      <w:r w:rsidRPr="003722FF">
        <w:t xml:space="preserve"> Harvard Review of Psychiatry, 15(5), 245-258. </w:t>
      </w:r>
    </w:p>
  </w:endnote>
  <w:endnote w:id="130">
    <w:p w:rsidR="00064D7D" w:rsidRPr="003722FF" w:rsidRDefault="00064D7D" w:rsidP="003722FF">
      <w:r w:rsidRPr="003722FF">
        <w:rPr>
          <w:rStyle w:val="EndnoteCharacters"/>
          <w:rFonts w:cs="Arial"/>
          <w:vertAlign w:val="superscript"/>
        </w:rPr>
        <w:endnoteRef/>
      </w:r>
      <w:r w:rsidRPr="003722FF">
        <w:t xml:space="preserve"> Maloy, (1992) “Analysis: </w:t>
      </w:r>
      <w:r w:rsidRPr="003722FF">
        <w:rPr>
          <w:iCs/>
        </w:rPr>
        <w:t xml:space="preserve">Critiquing the Empirical Evidence; Does Involuntary Outpatient Commitment Work?” </w:t>
      </w:r>
      <w:r w:rsidRPr="003722FF">
        <w:t xml:space="preserve">Mental health Policy Resource Center (1992). </w:t>
      </w:r>
    </w:p>
  </w:endnote>
  <w:endnote w:id="131">
    <w:p w:rsidR="00064D7D" w:rsidRPr="003722FF" w:rsidRDefault="00064D7D" w:rsidP="003722FF">
      <w:r w:rsidRPr="003722FF">
        <w:rPr>
          <w:rStyle w:val="EndnoteCharacters"/>
          <w:rFonts w:cs="Arial"/>
          <w:vertAlign w:val="superscript"/>
        </w:rPr>
        <w:endnoteRef/>
      </w:r>
      <w:r w:rsidRPr="003722FF">
        <w:t xml:space="preserve"> Lucette Lagnado, (2013) “</w:t>
      </w:r>
      <w:r w:rsidRPr="003722FF">
        <w:rPr>
          <w:iCs/>
        </w:rPr>
        <w:t>U.S. Probes Use of Antipsychotic Drugs on Children: Federal health officials are reviewing antipsychotic drug use on children in the Medicaid system</w:t>
      </w:r>
      <w:r w:rsidRPr="003722FF">
        <w:t>,” Wall Street Journal</w:t>
      </w:r>
      <w:r w:rsidRPr="003722FF">
        <w:rPr>
          <w:i/>
          <w:iCs/>
        </w:rPr>
        <w:t>,</w:t>
      </w:r>
      <w:r w:rsidRPr="003722FF">
        <w:t xml:space="preserve"> Aug. 11, 2013 10:39 p.m. ET </w:t>
      </w:r>
    </w:p>
  </w:endnote>
  <w:endnote w:id="132">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 xml:space="preserve">Leslie, PhD, Douglass L. and Rosenheck, MD, </w:t>
      </w:r>
      <w:r w:rsidRPr="003722FF">
        <w:rPr>
          <w:i/>
          <w:iCs/>
        </w:rPr>
        <w:t xml:space="preserve">Robert, </w:t>
      </w:r>
      <w:r w:rsidRPr="003722FF">
        <w:rPr>
          <w:iCs/>
        </w:rPr>
        <w:t>(2012)</w:t>
      </w:r>
      <w:r w:rsidRPr="003722FF">
        <w:rPr>
          <w:i/>
          <w:iCs/>
        </w:rPr>
        <w:t xml:space="preserve"> </w:t>
      </w:r>
      <w:r w:rsidRPr="003722FF">
        <w:rPr>
          <w:iCs/>
        </w:rPr>
        <w:t>“Off-Label Use of Antipsychotic Medications in Medicaid”</w:t>
      </w:r>
      <w:r w:rsidRPr="003722FF">
        <w:t xml:space="preserve">  The American Journal of Managed Care</w:t>
      </w:r>
      <w:r w:rsidRPr="003722FF">
        <w:rPr>
          <w:i/>
          <w:iCs/>
        </w:rPr>
        <w:t>,</w:t>
      </w:r>
      <w:r w:rsidRPr="003722FF">
        <w:t xml:space="preserve"> March 7, 2012, 12:00:00 AM (see: http://www.ajmc.com/articles/Off-Label-Use-of-Antipsychotic-Medications-in-Medicaid/)</w:t>
      </w:r>
    </w:p>
  </w:endnote>
  <w:endnote w:id="133">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Antonuccio, D.O. &amp; Healy, D (2012).  “</w:t>
      </w:r>
      <w:r w:rsidRPr="003722FF">
        <w:rPr>
          <w:iCs/>
        </w:rPr>
        <w:t>Relabeling the medications we call antidepressants.”</w:t>
      </w:r>
      <w:r w:rsidRPr="003722FF">
        <w:rPr>
          <w:i/>
          <w:iCs/>
        </w:rPr>
        <w:t xml:space="preserve">  </w:t>
      </w:r>
      <w:r w:rsidRPr="003722FF">
        <w:rPr>
          <w:iCs/>
        </w:rPr>
        <w:t>Scientifica</w:t>
      </w:r>
      <w:r w:rsidRPr="003722FF">
        <w:t>. Vol. 2012.</w:t>
      </w:r>
    </w:p>
  </w:endnote>
  <w:endnote w:id="134">
    <w:p w:rsidR="00064D7D" w:rsidRPr="003722FF" w:rsidRDefault="00064D7D" w:rsidP="003722FF">
      <w:r w:rsidRPr="003722FF">
        <w:rPr>
          <w:rStyle w:val="EndnoteCharacters"/>
          <w:rFonts w:cs="Arial"/>
          <w:vertAlign w:val="superscript"/>
        </w:rPr>
        <w:endnoteRef/>
      </w:r>
      <w:r w:rsidRPr="003722FF">
        <w:t xml:space="preserve"> Berenson A. (2008) “</w:t>
      </w:r>
      <w:r w:rsidRPr="003722FF">
        <w:rPr>
          <w:iCs/>
        </w:rPr>
        <w:t>Eli Lilly e-mail discussed unapproved use of drug</w:t>
      </w:r>
      <w:r w:rsidRPr="003722FF">
        <w:t xml:space="preserve">.”  The New York Times. March 15, 2008:C1(L). (see: http://www.nytimes.com/2008/03/15/business/15drug.html) </w:t>
      </w:r>
    </w:p>
  </w:endnote>
  <w:endnote w:id="135">
    <w:p w:rsidR="00064D7D" w:rsidRPr="003722FF" w:rsidRDefault="00064D7D" w:rsidP="003722FF">
      <w:r w:rsidRPr="003722FF">
        <w:rPr>
          <w:rStyle w:val="EndnoteCharacters"/>
          <w:rFonts w:cs="Arial"/>
          <w:vertAlign w:val="superscript"/>
        </w:rPr>
        <w:endnoteRef/>
      </w:r>
      <w:r w:rsidRPr="003722FF">
        <w:t xml:space="preserve"> Berenson A. (2008) “</w:t>
      </w:r>
      <w:r w:rsidRPr="003722FF">
        <w:rPr>
          <w:iCs/>
        </w:rPr>
        <w:t>33 States to get $62 million in Zyprexa case settlement</w:t>
      </w:r>
      <w:r w:rsidRPr="003722FF">
        <w:t xml:space="preserve">.” The New York Times. October 6, 2008. (see: http://www.nytimes.com/2008/10/07/business/07zyprexa.html.) </w:t>
      </w:r>
    </w:p>
  </w:endnote>
  <w:endnote w:id="136">
    <w:p w:rsidR="00064D7D" w:rsidRPr="003722FF" w:rsidRDefault="00064D7D" w:rsidP="003722FF">
      <w:r w:rsidRPr="003722FF">
        <w:rPr>
          <w:rStyle w:val="EndnoteCharacters"/>
          <w:rFonts w:cs="Arial"/>
          <w:vertAlign w:val="superscript"/>
        </w:rPr>
        <w:endnoteRef/>
      </w:r>
      <w:r w:rsidRPr="003722FF">
        <w:t xml:space="preserve"> Nylen L. (2010) “</w:t>
      </w:r>
      <w:r w:rsidRPr="003722FF">
        <w:rPr>
          <w:iCs/>
        </w:rPr>
        <w:t>Holder prepared remarks on AstraZeneca settlement</w:t>
      </w:r>
      <w:r w:rsidRPr="003722FF">
        <w:t xml:space="preserve">.” Main Justice: Politics, Policy and the Law. (see: http://www.mainjustice.com/2010/04/27/holder-prepared remarks-on-astrazeneca-settlement/.) </w:t>
      </w:r>
    </w:p>
  </w:endnote>
  <w:endnote w:id="137">
    <w:p w:rsidR="00064D7D" w:rsidRPr="003722FF" w:rsidRDefault="00064D7D" w:rsidP="003722FF">
      <w:r w:rsidRPr="003722FF">
        <w:rPr>
          <w:rStyle w:val="EndnoteCharacters"/>
          <w:rFonts w:cs="Arial"/>
          <w:vertAlign w:val="superscript"/>
        </w:rPr>
        <w:endnoteRef/>
      </w:r>
      <w:r w:rsidRPr="003722FF">
        <w:t xml:space="preserve"> Healy D. “</w:t>
      </w:r>
      <w:r w:rsidRPr="003722FF">
        <w:rPr>
          <w:iCs/>
        </w:rPr>
        <w:t>FDA Psychopharmacologic Drugs Advisory Committee hearings</w:t>
      </w:r>
      <w:r w:rsidRPr="003722FF">
        <w:t xml:space="preserve">.” (Available at </w:t>
      </w:r>
      <w:r w:rsidRPr="003722FF">
        <w:rPr>
          <w:u w:color="000000"/>
        </w:rPr>
        <w:t>www.healyprozac.com/PDAC</w:t>
      </w:r>
      <w:hyperlink r:id="rId1" w:history="1">
        <w:r w:rsidRPr="003722FF">
          <w:rPr>
            <w:rStyle w:val="Hyperlink"/>
            <w:rFonts w:cs="Arial"/>
          </w:rPr>
          <w:t>.</w:t>
        </w:r>
      </w:hyperlink>
      <w:r w:rsidRPr="003722FF">
        <w:t xml:space="preserve">) </w:t>
      </w:r>
    </w:p>
  </w:endnote>
  <w:endnote w:id="138">
    <w:p w:rsidR="00064D7D" w:rsidRPr="003722FF" w:rsidRDefault="00064D7D" w:rsidP="003722FF">
      <w:r w:rsidRPr="003722FF">
        <w:rPr>
          <w:rStyle w:val="EndnoteCharacters"/>
          <w:rFonts w:cs="Arial"/>
          <w:vertAlign w:val="superscript"/>
        </w:rPr>
        <w:endnoteRef/>
      </w:r>
      <w:r w:rsidRPr="003722FF">
        <w:t xml:space="preserve"> Andreasen, N. (2007).   “</w:t>
      </w:r>
      <w:r w:rsidRPr="003722FF">
        <w:rPr>
          <w:iCs/>
        </w:rPr>
        <w:t>DSM and the Death of Phenomenology in America: An Example of Unintended Consequences,”</w:t>
      </w:r>
      <w:r w:rsidRPr="003722FF">
        <w:t xml:space="preserve"> In Schizophrenia Bulletin vol. 33 no. 1 p. 107.   (Phenomenology is the systematic reflection on and study of the structures of consciousness and the phenomena that appear in acts of consciousness.  Phenomenology attempts to create conditions for the objective study of topics usually regarded as subjective: consciousness and the content of conscious experiences such as judgments, perceptions, and emotions.) </w:t>
      </w:r>
    </w:p>
  </w:endnote>
  <w:endnote w:id="139">
    <w:p w:rsidR="00064D7D" w:rsidRPr="003722FF" w:rsidRDefault="00064D7D" w:rsidP="003722FF">
      <w:r w:rsidRPr="003722FF">
        <w:rPr>
          <w:rStyle w:val="EndnoteCharacters"/>
          <w:rFonts w:cs="Arial"/>
          <w:vertAlign w:val="superscript"/>
        </w:rPr>
        <w:endnoteRef/>
      </w:r>
      <w:r w:rsidRPr="003722FF">
        <w:t xml:space="preserve"> 1993 FDA approval letter from Robert Temple to Janssen Research Foundation, December 21, 1993.</w:t>
      </w:r>
    </w:p>
  </w:endnote>
  <w:endnote w:id="140">
    <w:p w:rsidR="00064D7D" w:rsidRPr="003722FF" w:rsidRDefault="00064D7D" w:rsidP="003722FF">
      <w:r w:rsidRPr="003722FF">
        <w:rPr>
          <w:rStyle w:val="EndnoteCharacters"/>
          <w:rFonts w:cs="Arial"/>
          <w:vertAlign w:val="superscript"/>
        </w:rPr>
        <w:endnoteRef/>
      </w:r>
      <w:r w:rsidRPr="003722FF">
        <w:t xml:space="preserve"> Applbaum, Kalman, (2012) “</w:t>
      </w:r>
      <w:r w:rsidRPr="003722FF">
        <w:rPr>
          <w:iCs/>
        </w:rPr>
        <w:t>Risperdal on Trial, Texas Style”</w:t>
      </w:r>
      <w:r w:rsidRPr="003722FF">
        <w:t xml:space="preserve"> - Series Published on-line Somatosphere.net  January 11, 2012, (see: http://somatosphere.net/series/risperdal-on-trial)  </w:t>
      </w:r>
    </w:p>
  </w:endnote>
  <w:endnote w:id="141">
    <w:p w:rsidR="00064D7D" w:rsidRPr="003722FF" w:rsidRDefault="00064D7D" w:rsidP="003722FF">
      <w:r w:rsidRPr="003722FF">
        <w:rPr>
          <w:rStyle w:val="EndnoteCharacters"/>
          <w:rFonts w:cs="Arial"/>
          <w:vertAlign w:val="superscript"/>
        </w:rPr>
        <w:endnoteRef/>
      </w:r>
      <w:r w:rsidRPr="003722FF">
        <w:t xml:space="preserve"> Applbaum, Kalman. (2011) “</w:t>
      </w:r>
      <w:r w:rsidRPr="003722FF">
        <w:rPr>
          <w:iCs/>
        </w:rPr>
        <w:t>Broadening the marketing concept: Service to humanity, or privatization of the public good?</w:t>
      </w:r>
      <w:r w:rsidRPr="003722FF">
        <w:t xml:space="preserve">” In Zwick and Cayla (eds.) </w:t>
      </w:r>
      <w:r w:rsidRPr="003722FF">
        <w:rPr>
          <w:rStyle w:val="Emphasis"/>
          <w:rFonts w:cs="Arial"/>
          <w:iCs/>
          <w:caps w:val="0"/>
          <w:color w:val="auto"/>
        </w:rPr>
        <w:t>Inside Marketing: Practices, Ideologies,</w:t>
      </w:r>
      <w:r w:rsidRPr="003722FF">
        <w:rPr>
          <w:rStyle w:val="Emphasis"/>
          <w:rFonts w:cs="Arial"/>
          <w:caps w:val="0"/>
          <w:color w:val="auto"/>
        </w:rPr>
        <w:t xml:space="preserve"> </w:t>
      </w:r>
      <w:r w:rsidRPr="003722FF">
        <w:rPr>
          <w:rStyle w:val="Emphasis"/>
          <w:rFonts w:cs="Arial"/>
          <w:iCs/>
          <w:caps w:val="0"/>
          <w:color w:val="auto"/>
        </w:rPr>
        <w:t>Devices</w:t>
      </w:r>
      <w:r w:rsidRPr="003722FF">
        <w:t>. Oxford University Press, pp. 269-298.</w:t>
      </w:r>
    </w:p>
  </w:endnote>
  <w:endnote w:id="142">
    <w:p w:rsidR="00064D7D" w:rsidRPr="003722FF" w:rsidRDefault="00064D7D" w:rsidP="003722FF">
      <w:r w:rsidRPr="003722FF">
        <w:rPr>
          <w:rStyle w:val="EndnoteCharacters"/>
          <w:rFonts w:cs="Arial"/>
          <w:vertAlign w:val="superscript"/>
        </w:rPr>
        <w:endnoteRef/>
      </w:r>
      <w:r w:rsidRPr="003722FF">
        <w:t xml:space="preserve"> Rosenheck RA, Leslie DL, Doshi JA. (2008) “</w:t>
      </w:r>
      <w:r w:rsidRPr="003722FF">
        <w:rPr>
          <w:iCs/>
        </w:rPr>
        <w:t>Second-generation antipsychotics: cost-effectiveness, policy options, and political decision making</w:t>
      </w:r>
      <w:r w:rsidRPr="003722FF">
        <w:t>.”  Psychiatr Serv. 2008;59(5):515-520.</w:t>
      </w:r>
    </w:p>
  </w:endnote>
  <w:endnote w:id="143">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 xml:space="preserve">Carter, C. (1995) </w:t>
      </w:r>
      <w:r w:rsidRPr="003722FF">
        <w:rPr>
          <w:iCs/>
        </w:rPr>
        <w:t>“Risperidone use in a teaching hospital during its first year after market approval.”</w:t>
      </w:r>
      <w:r w:rsidRPr="003722FF">
        <w:t xml:space="preserve"> Psychopharmacology Bulletin 31 (1995):719-725. </w:t>
      </w:r>
    </w:p>
  </w:endnote>
  <w:endnote w:id="144">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Davies, L, et al. (2007) “</w:t>
      </w:r>
      <w:r w:rsidRPr="003722FF">
        <w:rPr>
          <w:iCs/>
        </w:rPr>
        <w:t>Cost-effectiveness of first- v. second-generation antipsychotic drugs.</w:t>
      </w:r>
      <w:r w:rsidRPr="003722FF">
        <w:t xml:space="preserve">” The British Journal of Psychiatry 191 (2007):14-22. </w:t>
      </w:r>
    </w:p>
  </w:endnote>
  <w:endnote w:id="145">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Schneider LS, Dagerman K, Insel PS. (2006) “</w:t>
      </w:r>
      <w:r w:rsidRPr="003722FF">
        <w:rPr>
          <w:iCs/>
        </w:rPr>
        <w:t>Efficacy and adverse effects of atypical antipsychotics for dementia: meta-analysis of randomized, placebo-controlled trials</w:t>
      </w:r>
      <w:r w:rsidRPr="003722FF">
        <w:t>.”  Am J Geriatr Psychiatry. 2006;14(3):191-210.</w:t>
      </w:r>
    </w:p>
  </w:endnote>
  <w:endnote w:id="146">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Rosenheck RA, Leslie DL, Sindelar JL, et al; (2007) “</w:t>
      </w:r>
      <w:r w:rsidRPr="003722FF">
        <w:rPr>
          <w:iCs/>
        </w:rPr>
        <w:t>Clinical Antipsychotic Trial of Intervention Effectiveness-Alzheimer’s Disease”</w:t>
      </w:r>
      <w:r w:rsidRPr="003722FF">
        <w:t xml:space="preserve"> (CATIE-AD) investigators. Cost-benefit analysis of second-generation antipsychotics and placebo in a randomized trial of the treatment of psychosis and aggression in Alzheimer disease. Arch Gen Psychiatry. 2007;64(11): 1259-1268.</w:t>
      </w:r>
    </w:p>
  </w:endnote>
  <w:endnote w:id="147">
    <w:p w:rsidR="00064D7D" w:rsidRPr="003722FF" w:rsidRDefault="00064D7D" w:rsidP="003722FF">
      <w:r w:rsidRPr="003722FF">
        <w:rPr>
          <w:rStyle w:val="EndnoteCharacters"/>
          <w:rFonts w:cs="Arial"/>
          <w:vertAlign w:val="superscript"/>
        </w:rPr>
        <w:endnoteRef/>
      </w:r>
      <w:r w:rsidRPr="003722FF">
        <w:t xml:space="preserve"> Deniker, P. (1990) “The neuroleptics: a historical survey.” Acta Psychiatrica Scandinavica 82, supplement 358 (1990):83-87. </w:t>
      </w:r>
    </w:p>
  </w:endnote>
  <w:endnote w:id="148">
    <w:p w:rsidR="00064D7D" w:rsidRPr="003722FF" w:rsidRDefault="00064D7D" w:rsidP="003722FF">
      <w:r w:rsidRPr="003722FF">
        <w:rPr>
          <w:rStyle w:val="EndnoteCharacters"/>
          <w:rFonts w:cs="Arial"/>
          <w:vertAlign w:val="superscript"/>
        </w:rPr>
        <w:endnoteRef/>
      </w:r>
      <w:r w:rsidRPr="003722FF">
        <w:t xml:space="preserve"> Jørgensen AW, Hilden J, Gøtzsche PC. (2006) “</w:t>
      </w:r>
      <w:r w:rsidRPr="003722FF">
        <w:rPr>
          <w:iCs/>
        </w:rPr>
        <w:t>Cochrane reviews compared with industry supported meta-analyses and other meta-analyses of the same drugs: systematic review.”</w:t>
      </w:r>
      <w:r w:rsidRPr="003722FF">
        <w:t xml:space="preserve"> doi:10.1136/bmj.38973.444699.0B (published Oct 2006). </w:t>
      </w:r>
    </w:p>
  </w:endnote>
  <w:endnote w:id="149">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Rosenheck, Robert, et al. (2011) “</w:t>
      </w:r>
      <w:r w:rsidRPr="003722FF">
        <w:rPr>
          <w:iCs/>
        </w:rPr>
        <w:t>Long-acting risperidone and oral antipsychotics in unstable schizophrenia</w:t>
      </w:r>
      <w:r w:rsidRPr="003722FF">
        <w:t xml:space="preserve">.” </w:t>
      </w:r>
      <w:r w:rsidRPr="003722FF">
        <w:rPr>
          <w:rStyle w:val="Emphasis"/>
          <w:rFonts w:cs="Arial"/>
          <w:caps w:val="0"/>
          <w:color w:val="auto"/>
        </w:rPr>
        <w:t>New England Journal of Medicine</w:t>
      </w:r>
      <w:r w:rsidRPr="003722FF">
        <w:t xml:space="preserve"> 364:842-851. (see:  http://www.nejm.org/doi/full/10.1056/NEJMoa1005987 ) </w:t>
      </w:r>
    </w:p>
  </w:endnote>
  <w:endnote w:id="150">
    <w:p w:rsidR="00064D7D" w:rsidRPr="003722FF" w:rsidRDefault="00064D7D" w:rsidP="003722FF">
      <w:r w:rsidRPr="003722FF">
        <w:rPr>
          <w:rStyle w:val="EndnoteCharacters"/>
          <w:rFonts w:cs="Arial"/>
          <w:vertAlign w:val="superscript"/>
        </w:rPr>
        <w:endnoteRef/>
      </w:r>
      <w:r w:rsidRPr="003722FF">
        <w:t xml:space="preserve"> Angell, M. (2005). The truth about drug companies: how they deceive us and what to do about it. New York: Random House. </w:t>
      </w:r>
    </w:p>
  </w:endnote>
  <w:endnote w:id="151">
    <w:p w:rsidR="00064D7D" w:rsidRPr="003722FF" w:rsidRDefault="00064D7D" w:rsidP="003722FF">
      <w:r w:rsidRPr="003722FF">
        <w:rPr>
          <w:rStyle w:val="EndnoteCharacters"/>
          <w:rFonts w:cs="Arial"/>
          <w:vertAlign w:val="superscript"/>
        </w:rPr>
        <w:endnoteRef/>
      </w:r>
      <w:r w:rsidRPr="003722FF">
        <w:t xml:space="preserve"> Angell, M. (2011, June 23). </w:t>
      </w:r>
      <w:r w:rsidRPr="003722FF">
        <w:rPr>
          <w:iCs/>
        </w:rPr>
        <w:t>Why there is an epidemic of mental illness.</w:t>
      </w:r>
      <w:r w:rsidRPr="003722FF">
        <w:t xml:space="preserve"> New York Review of Books, LVIII(11), 20-22. </w:t>
      </w:r>
    </w:p>
  </w:endnote>
  <w:endnote w:id="152">
    <w:p w:rsidR="00064D7D" w:rsidRPr="003722FF" w:rsidRDefault="00064D7D" w:rsidP="003722FF">
      <w:r w:rsidRPr="003722FF">
        <w:rPr>
          <w:rStyle w:val="EndnoteCharacters"/>
          <w:rFonts w:cs="Arial"/>
          <w:vertAlign w:val="superscript"/>
        </w:rPr>
        <w:endnoteRef/>
      </w:r>
      <w:r w:rsidRPr="003722FF">
        <w:t xml:space="preserve"> Angell, M. (2011, July 14). </w:t>
      </w:r>
      <w:r w:rsidRPr="003722FF">
        <w:rPr>
          <w:iCs/>
        </w:rPr>
        <w:t>The illusion of psychiatry</w:t>
      </w:r>
      <w:r w:rsidRPr="003722FF">
        <w:t xml:space="preserve">. New York Review of Books, LVIII(12), 20-22. </w:t>
      </w:r>
    </w:p>
  </w:endnote>
  <w:endnote w:id="153">
    <w:p w:rsidR="00064D7D" w:rsidRPr="003722FF" w:rsidRDefault="00064D7D" w:rsidP="003722FF">
      <w:r w:rsidRPr="003722FF">
        <w:rPr>
          <w:rStyle w:val="EndnoteReference"/>
        </w:rPr>
        <w:endnoteRef/>
      </w:r>
      <w:r w:rsidRPr="003722FF">
        <w:t xml:space="preserve"> Hundley, Kris (2009) “To Move More Prescription Drugs, Sales Reps Sling Swag,” St. Petersburg Times, April 5, 2009.</w:t>
      </w:r>
    </w:p>
  </w:endnote>
  <w:endnote w:id="154">
    <w:p w:rsidR="00064D7D" w:rsidRPr="003722FF" w:rsidRDefault="00064D7D" w:rsidP="003722FF">
      <w:r w:rsidRPr="003722FF">
        <w:rPr>
          <w:rStyle w:val="EndnoteReference"/>
        </w:rPr>
        <w:endnoteRef/>
      </w:r>
      <w:r w:rsidRPr="003722FF">
        <w:t xml:space="preserve"> Jurideini, J (2008) Clinical trials and drug promotion: Selective reporting of study 329, by  Jon N. Jureidini Leemon B. McHenry, and Peter R. Mansfield, International Journal of Risk &amp; Safety in Medicine 20 (2008) 73–81.  Canadian Medical Association Journal (2004),  Drug company experts advised staff to withhold data about SSRI use, CMAJ • MAR. 2, 2004; 170 (5)</w:t>
      </w:r>
    </w:p>
  </w:endnote>
  <w:endnote w:id="155">
    <w:p w:rsidR="00064D7D" w:rsidRDefault="00064D7D" w:rsidP="003722FF">
      <w:r w:rsidRPr="003722FF">
        <w:rPr>
          <w:rStyle w:val="EndnoteReference"/>
        </w:rPr>
        <w:endnoteRef/>
      </w:r>
      <w:r w:rsidRPr="003722FF">
        <w:t xml:space="preserve"> Wang, Shirley S. and Johnson, Avery (2009)  “AstraZeneca Papers Raise Seroquel Issues,” The Wall Street Journal, February 27, 2009.  A Silenced Drug Study Creates An Uproar, by Shankar Vedantam, Washington Post, March 18, 2009. (see: http://psychrights.org/Research/Digest/NLPs/Seroquel/43_Exhibit42.pdf.)  </w:t>
      </w:r>
    </w:p>
    <w:p w:rsidR="00862DBA" w:rsidRPr="003722FF" w:rsidRDefault="00862DBA" w:rsidP="003722FF"/>
  </w:endnote>
  <w:endnote w:id="156">
    <w:p w:rsidR="00064D7D" w:rsidRPr="003722FF" w:rsidRDefault="00064D7D" w:rsidP="003722FF">
      <w:r w:rsidRPr="003722FF">
        <w:rPr>
          <w:rStyle w:val="EndnoteCharacters"/>
          <w:rFonts w:cs="Arial"/>
          <w:vertAlign w:val="superscript"/>
        </w:rPr>
        <w:endnoteRef/>
      </w:r>
      <w:r w:rsidRPr="003722FF">
        <w:rPr>
          <w:rStyle w:val="EndnoteCharacters"/>
          <w:rFonts w:cs="Arial"/>
        </w:rPr>
        <w:t xml:space="preserve"> </w:t>
      </w:r>
      <w:r w:rsidRPr="003722FF">
        <w:t>Elam, L.,  Bruen, B. and Tilly, J. (2002)  “</w:t>
      </w:r>
      <w:r w:rsidRPr="003722FF">
        <w:rPr>
          <w:iCs/>
        </w:rPr>
        <w:t>Medicaid and the Prescription Drug Benefit: Cost Containment Strategies and State Experiences</w:t>
      </w:r>
      <w:r w:rsidRPr="003722FF">
        <w:t>” (Washington: Kaiser Commission, September 2002).</w:t>
      </w:r>
    </w:p>
  </w:endnote>
  <w:endnote w:id="157">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Rosenheck RA, Leslie DL, Busch S, Rofman ES, Sernyak M. (2008) “</w:t>
      </w:r>
      <w:r w:rsidRPr="003722FF">
        <w:rPr>
          <w:iCs/>
        </w:rPr>
        <w:t>Rethinking antipsychotic formulary policy.”</w:t>
      </w:r>
      <w:r w:rsidRPr="003722FF">
        <w:t xml:space="preserve"> Schizophr Bull. 2008;34(2):375-380.</w:t>
      </w:r>
    </w:p>
  </w:endnote>
  <w:endnote w:id="158">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 xml:space="preserve">Healy, David (2006) </w:t>
      </w:r>
      <w:r w:rsidRPr="003722FF">
        <w:rPr>
          <w:iCs/>
        </w:rPr>
        <w:t>“Manufacturing Consensus.”</w:t>
      </w:r>
      <w:r w:rsidRPr="003722FF">
        <w:rPr>
          <w:i/>
          <w:iCs/>
        </w:rPr>
        <w:t xml:space="preserve"> </w:t>
      </w:r>
      <w:r w:rsidRPr="003722FF">
        <w:rPr>
          <w:rStyle w:val="Emphasis"/>
          <w:rFonts w:cs="Arial"/>
          <w:iCs/>
          <w:caps w:val="0"/>
          <w:color w:val="auto"/>
        </w:rPr>
        <w:t>Culture, Medicine and Psychiatry</w:t>
      </w:r>
      <w:r w:rsidRPr="003722FF">
        <w:t xml:space="preserve"> 30:135-156.</w:t>
      </w:r>
    </w:p>
  </w:endnote>
  <w:endnote w:id="159">
    <w:p w:rsidR="00064D7D" w:rsidRPr="003722FF" w:rsidRDefault="00064D7D" w:rsidP="003722FF">
      <w:r w:rsidRPr="003722FF">
        <w:rPr>
          <w:rStyle w:val="EndnoteCharacters"/>
          <w:rFonts w:cs="Arial"/>
          <w:vertAlign w:val="superscript"/>
        </w:rPr>
        <w:endnoteRef/>
      </w:r>
      <w:r w:rsidRPr="003722FF">
        <w:t xml:space="preserve"> Healy, David (2008) “</w:t>
      </w:r>
      <w:r w:rsidRPr="003722FF">
        <w:rPr>
          <w:iCs/>
        </w:rPr>
        <w:t>Mania: A Short History of Bipolar Disorder</w:t>
      </w:r>
      <w:r w:rsidRPr="003722FF">
        <w:t>.” Johns Hopkins University Press.</w:t>
      </w:r>
    </w:p>
  </w:endnote>
  <w:endnote w:id="160">
    <w:p w:rsidR="00064D7D" w:rsidRPr="003722FF" w:rsidRDefault="00064D7D" w:rsidP="003722FF">
      <w:r w:rsidRPr="003722FF">
        <w:rPr>
          <w:rStyle w:val="EndnoteCharacters"/>
          <w:rFonts w:cs="Arial"/>
          <w:vertAlign w:val="superscript"/>
        </w:rPr>
        <w:endnoteRef/>
      </w:r>
      <w:r w:rsidRPr="003722FF">
        <w:t xml:space="preserve"> Jones, Allen, (2004) “</w:t>
      </w:r>
      <w:r w:rsidRPr="003722FF">
        <w:rPr>
          <w:iCs/>
        </w:rPr>
        <w:t>Introduction to the documents on Big Pharma Corruption in Research &amp; Clinical Trials</w:t>
      </w:r>
      <w:r w:rsidRPr="003722FF">
        <w:t xml:space="preserve">,” Revised January 20, 2004,  This important document has been posted on the Internet by the Law Project for Psychiatric Rights (see: http://psychrights.org) </w:t>
      </w:r>
    </w:p>
  </w:endnote>
  <w:endnote w:id="161">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Frances, A., (2012) “DSM-5 Field Trials Discredit APA,”</w:t>
      </w:r>
      <w:r w:rsidRPr="003722FF">
        <w:rPr>
          <w:i/>
        </w:rPr>
        <w:t xml:space="preserve"> </w:t>
      </w:r>
      <w:hyperlink r:id="rId2" w:anchor="_blank" w:history="1">
        <w:r w:rsidRPr="003722FF">
          <w:rPr>
            <w:rStyle w:val="Emphasis"/>
            <w:rFonts w:cs="Arial"/>
            <w:caps w:val="0"/>
            <w:color w:val="auto"/>
          </w:rPr>
          <w:t>Psychology Today,</w:t>
        </w:r>
      </w:hyperlink>
      <w:r w:rsidR="00BA4583">
        <w:rPr>
          <w:rStyle w:val="Emphasis"/>
          <w:rFonts w:cs="Arial"/>
          <w:caps w:val="0"/>
          <w:color w:val="auto"/>
        </w:rPr>
        <w:t xml:space="preserve"> </w:t>
      </w:r>
      <w:bookmarkStart w:id="104" w:name="_GoBack"/>
      <w:bookmarkEnd w:id="104"/>
      <w:r w:rsidRPr="003722FF">
        <w:t xml:space="preserve">October 30, 2102 </w:t>
      </w:r>
    </w:p>
  </w:endnote>
  <w:endnote w:id="162">
    <w:p w:rsidR="00064D7D" w:rsidRPr="003722FF" w:rsidRDefault="00064D7D" w:rsidP="003722FF">
      <w:r w:rsidRPr="003722FF">
        <w:rPr>
          <w:rStyle w:val="EndnoteCharacters"/>
          <w:rFonts w:cs="Arial"/>
        </w:rPr>
        <w:endnoteRef/>
      </w:r>
      <w:r w:rsidRPr="003722FF">
        <w:t xml:space="preserve"> Carney, J., (2011) “1984 Revisited: The New DSM,” November, 2011, Behavioral Healthcare </w:t>
      </w:r>
    </w:p>
  </w:endnote>
  <w:endnote w:id="163">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Carney, J.,  (2012) Committee to Boycott the DSM-5, Position Statement &amp; Petition &amp; Blog Posts</w:t>
      </w:r>
    </w:p>
  </w:endnote>
  <w:endnote w:id="164">
    <w:p w:rsidR="00064D7D" w:rsidRPr="003722FF" w:rsidRDefault="00064D7D" w:rsidP="003722FF">
      <w:r w:rsidRPr="003722FF">
        <w:rPr>
          <w:rStyle w:val="EndnoteCharacters"/>
          <w:rFonts w:cs="Arial"/>
          <w:vertAlign w:val="superscript"/>
        </w:rPr>
        <w:endnoteRef/>
      </w:r>
      <w:r w:rsidRPr="003722FF">
        <w:t xml:space="preserve"> Kirk, S.A., Kutchins, H., (1992) </w:t>
      </w:r>
      <w:hyperlink r:id="rId3" w:anchor="_blank" w:history="1">
        <w:r w:rsidRPr="003722FF">
          <w:rPr>
            <w:rStyle w:val="Emphasis"/>
            <w:rFonts w:cs="Arial"/>
            <w:caps w:val="0"/>
            <w:color w:val="auto"/>
          </w:rPr>
          <w:t>The Selling Of DSM: The Rhetoric Of Science In Psychiatry</w:t>
        </w:r>
      </w:hyperlink>
      <w:r w:rsidRPr="003722FF">
        <w:t xml:space="preserve">, Aldine de Gruyter, New York, 1992 </w:t>
      </w:r>
    </w:p>
  </w:endnote>
  <w:endnote w:id="165">
    <w:p w:rsidR="00064D7D" w:rsidRPr="003722FF" w:rsidRDefault="00064D7D" w:rsidP="003722FF">
      <w:r w:rsidRPr="003722FF">
        <w:rPr>
          <w:rStyle w:val="EndnoteCharacters"/>
          <w:rFonts w:cs="Arial"/>
          <w:vertAlign w:val="superscript"/>
        </w:rPr>
        <w:endnoteRef/>
      </w:r>
      <w:r w:rsidRPr="003722FF">
        <w:t xml:space="preserve"> Kirsch I, Moore TJ, Scoboria A, et al. (2002) “</w:t>
      </w:r>
      <w:r w:rsidRPr="003722FF">
        <w:rPr>
          <w:iCs/>
        </w:rPr>
        <w:t>The emperor’s new drugs: an analysis of antidepressant medication data submitted to the U. S. Food and Drug Administration.”</w:t>
      </w:r>
      <w:r w:rsidRPr="003722FF">
        <w:rPr>
          <w:i/>
          <w:iCs/>
        </w:rPr>
        <w:t xml:space="preserve"> </w:t>
      </w:r>
      <w:r w:rsidRPr="003722FF">
        <w:t xml:space="preserve"> 2002;5 (1):23-33. </w:t>
      </w:r>
    </w:p>
  </w:endnote>
  <w:endnote w:id="166">
    <w:p w:rsidR="00064D7D" w:rsidRPr="003722FF" w:rsidRDefault="00064D7D" w:rsidP="003722FF">
      <w:r w:rsidRPr="003722FF">
        <w:rPr>
          <w:rStyle w:val="EndnoteCharacters"/>
          <w:rFonts w:cs="Arial"/>
          <w:vertAlign w:val="superscript"/>
        </w:rPr>
        <w:endnoteRef/>
      </w:r>
      <w:r w:rsidRPr="003722FF">
        <w:rPr>
          <w:vertAlign w:val="superscript"/>
        </w:rPr>
        <w:t xml:space="preserve"> </w:t>
      </w:r>
      <w:r w:rsidRPr="003722FF">
        <w:t>Healy D. (2007) “</w:t>
      </w:r>
      <w:r w:rsidRPr="003722FF">
        <w:rPr>
          <w:iCs/>
        </w:rPr>
        <w:t>One flew over the conflict of interest nest</w:t>
      </w:r>
      <w:r w:rsidRPr="003722FF">
        <w:rPr>
          <w:i/>
          <w:iCs/>
        </w:rPr>
        <w:t>.”</w:t>
      </w:r>
      <w:r w:rsidRPr="003722FF">
        <w:t xml:space="preserve"> World Psychiatry. 2007 Feb; 6(1): 26–27.</w:t>
      </w:r>
    </w:p>
  </w:endnote>
  <w:endnote w:id="167">
    <w:p w:rsidR="00064D7D" w:rsidRPr="003722FF" w:rsidRDefault="00064D7D" w:rsidP="003722FF">
      <w:r w:rsidRPr="003722FF">
        <w:rPr>
          <w:rStyle w:val="EndnoteReference"/>
        </w:rPr>
        <w:endnoteRef/>
      </w:r>
      <w:r w:rsidRPr="003722FF">
        <w:t xml:space="preserve"> Healy D. (2004) “Conflicting interests: the evolution of an issue.”  Monash Review of Bioethics. 2004;23:8–18</w:t>
      </w:r>
    </w:p>
  </w:endnote>
  <w:endnote w:id="168">
    <w:p w:rsidR="00064D7D" w:rsidRPr="003722FF" w:rsidRDefault="00064D7D" w:rsidP="003722FF">
      <w:r w:rsidRPr="003722FF">
        <w:rPr>
          <w:rStyle w:val="EndnoteReference"/>
        </w:rPr>
        <w:endnoteRef/>
      </w:r>
      <w:r w:rsidRPr="003722FF">
        <w:t xml:space="preserve"> Fava, Giovanni A.,</w:t>
      </w:r>
      <w:r w:rsidR="009E1DFF">
        <w:t xml:space="preserve"> (2007)</w:t>
      </w:r>
      <w:r w:rsidRPr="003722FF">
        <w:t xml:space="preserve"> “Financial conflicts of interest in psychiatry,” Forum: Financial Conflicts Of Interest In Psychiatry, World Psychiatry 2007;6:19-24.</w:t>
      </w:r>
    </w:p>
  </w:endnote>
  <w:endnote w:id="169">
    <w:p w:rsidR="00064D7D" w:rsidRPr="003722FF" w:rsidRDefault="00064D7D" w:rsidP="003722FF">
      <w:r w:rsidRPr="003722FF">
        <w:rPr>
          <w:rStyle w:val="EndnoteCharacters"/>
          <w:rFonts w:cs="Arial"/>
          <w:vertAlign w:val="superscript"/>
        </w:rPr>
        <w:endnoteRef/>
      </w:r>
      <w:r w:rsidRPr="003722FF">
        <w:t xml:space="preserve"> 558 U.S. 310 (2010).</w:t>
      </w:r>
    </w:p>
  </w:endnote>
  <w:endnote w:id="170">
    <w:p w:rsidR="00064D7D" w:rsidRPr="003722FF" w:rsidRDefault="00064D7D" w:rsidP="003722FF">
      <w:r w:rsidRPr="003722FF">
        <w:rPr>
          <w:rStyle w:val="EndnoteReference"/>
          <w:rFonts w:cs="Arial"/>
        </w:rPr>
        <w:endnoteRef/>
      </w:r>
      <w:r w:rsidRPr="003722FF">
        <w:t xml:space="preserve"> General Comment No. 3 (2012) on the implementation of article 14 by State parties (CAT/C/GC/3), paragraphs 3-4, 11-15, 19, 32 and 39.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OpenSymbol">
    <w:altName w:val="Arial Unicode MS"/>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A0000287" w:usb1="28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altName w:val="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4D7D" w:rsidRDefault="00064D7D">
    <w:pPr>
      <w:pStyle w:val="Footer"/>
      <w:jc w:val="center"/>
    </w:pPr>
    <w:r>
      <w:t xml:space="preserve">MWAN   </w:t>
    </w:r>
    <w:r w:rsidRPr="006E124A">
      <w:rPr>
        <w:b/>
      </w:rPr>
      <w:t>Voiceless Victims: Wards of the Court</w:t>
    </w:r>
    <w:r>
      <w:t xml:space="preserve">   Page </w:t>
    </w:r>
    <w:sdt>
      <w:sdtPr>
        <w:id w:val="9277727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7E3C33">
          <w:rPr>
            <w:noProof/>
          </w:rPr>
          <w:t>47</w:t>
        </w:r>
        <w:r>
          <w:rPr>
            <w:noProof/>
          </w:rPr>
          <w:fldChar w:fldCharType="end"/>
        </w:r>
      </w:sdtContent>
    </w:sdt>
  </w:p>
  <w:p w:rsidR="00064D7D" w:rsidRPr="004678A3" w:rsidRDefault="00064D7D" w:rsidP="004678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4D7D" w:rsidRDefault="00064D7D" w:rsidP="00F43BCB">
      <w:pPr>
        <w:spacing w:after="0" w:line="240" w:lineRule="auto"/>
      </w:pPr>
      <w:r>
        <w:separator/>
      </w:r>
    </w:p>
  </w:footnote>
  <w:footnote w:type="continuationSeparator" w:id="0">
    <w:p w:rsidR="00064D7D" w:rsidRDefault="00064D7D" w:rsidP="00F43B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4D7D" w:rsidRPr="006E124A" w:rsidRDefault="00064D7D" w:rsidP="006E124A">
    <w:pPr>
      <w:pStyle w:val="Header"/>
      <w:jc w:val="center"/>
      <w:rPr>
        <w:rFonts w:eastAsia="SimSun"/>
        <w:b/>
        <w:sz w:val="36"/>
        <w:szCs w:val="36"/>
      </w:rPr>
    </w:pPr>
    <w:r w:rsidRPr="006E124A">
      <w:rPr>
        <w:rFonts w:eastAsia="SimSun"/>
        <w:b/>
        <w:sz w:val="36"/>
        <w:szCs w:val="36"/>
      </w:rPr>
      <w:t>Medical Whistleblower Advocacy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2F9462A"/>
    <w:multiLevelType w:val="hybridMultilevel"/>
    <w:tmpl w:val="0172E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F902A7"/>
    <w:multiLevelType w:val="hybridMultilevel"/>
    <w:tmpl w:val="E646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54C49"/>
    <w:multiLevelType w:val="hybridMultilevel"/>
    <w:tmpl w:val="8938A0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nsid w:val="0D6E724D"/>
    <w:multiLevelType w:val="hybridMultilevel"/>
    <w:tmpl w:val="76E0EE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nsid w:val="11D2660B"/>
    <w:multiLevelType w:val="hybridMultilevel"/>
    <w:tmpl w:val="273C9F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nsid w:val="136129FF"/>
    <w:multiLevelType w:val="hybridMultilevel"/>
    <w:tmpl w:val="A942CACE"/>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DA1122"/>
    <w:multiLevelType w:val="hybridMultilevel"/>
    <w:tmpl w:val="0C9E8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7C67B8"/>
    <w:multiLevelType w:val="hybridMultilevel"/>
    <w:tmpl w:val="893C6EA8"/>
    <w:lvl w:ilvl="0" w:tplc="2FCCFF4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C71FCA"/>
    <w:multiLevelType w:val="hybridMultilevel"/>
    <w:tmpl w:val="77B8572A"/>
    <w:lvl w:ilvl="0" w:tplc="7B90CC8A">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FD90017"/>
    <w:multiLevelType w:val="hybridMultilevel"/>
    <w:tmpl w:val="350ED3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0A049FA"/>
    <w:multiLevelType w:val="hybridMultilevel"/>
    <w:tmpl w:val="A3AC962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nsid w:val="2BAB71A1"/>
    <w:multiLevelType w:val="hybridMultilevel"/>
    <w:tmpl w:val="13FC3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B563CF"/>
    <w:multiLevelType w:val="hybridMultilevel"/>
    <w:tmpl w:val="8D0CA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01164"/>
    <w:multiLevelType w:val="hybridMultilevel"/>
    <w:tmpl w:val="B47A5D48"/>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41D544E7"/>
    <w:multiLevelType w:val="multilevel"/>
    <w:tmpl w:val="040C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240450D"/>
    <w:multiLevelType w:val="hybridMultilevel"/>
    <w:tmpl w:val="8FEE28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42D81D75"/>
    <w:multiLevelType w:val="hybridMultilevel"/>
    <w:tmpl w:val="7EA2A1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315475D"/>
    <w:multiLevelType w:val="hybridMultilevel"/>
    <w:tmpl w:val="953485BA"/>
    <w:lvl w:ilvl="0" w:tplc="C7D867F4">
      <w:numFmt w:val="bullet"/>
      <w:lvlText w:val="•"/>
      <w:lvlJc w:val="left"/>
      <w:pPr>
        <w:ind w:left="1444" w:hanging="735"/>
      </w:pPr>
      <w:rPr>
        <w:rFonts w:ascii="Times New Roman" w:eastAsia="Arial Unicode MS"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nsid w:val="47567CBA"/>
    <w:multiLevelType w:val="hybridMultilevel"/>
    <w:tmpl w:val="79C4D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553243"/>
    <w:multiLevelType w:val="hybridMultilevel"/>
    <w:tmpl w:val="A51239C0"/>
    <w:lvl w:ilvl="0" w:tplc="118C93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4333A4"/>
    <w:multiLevelType w:val="hybridMultilevel"/>
    <w:tmpl w:val="CFD82B86"/>
    <w:lvl w:ilvl="0" w:tplc="04090001">
      <w:start w:val="1"/>
      <w:numFmt w:val="bullet"/>
      <w:lvlText w:val=""/>
      <w:lvlJc w:val="left"/>
      <w:pPr>
        <w:ind w:left="7560" w:hanging="360"/>
      </w:pPr>
      <w:rPr>
        <w:rFonts w:ascii="Symbol" w:hAnsi="Symbol"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abstractNum w:abstractNumId="22">
    <w:nsid w:val="52846A7C"/>
    <w:multiLevelType w:val="hybridMultilevel"/>
    <w:tmpl w:val="E3CEE6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55987656"/>
    <w:multiLevelType w:val="hybridMultilevel"/>
    <w:tmpl w:val="2FA89C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nsid w:val="55BF4819"/>
    <w:multiLevelType w:val="hybridMultilevel"/>
    <w:tmpl w:val="574EACC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nsid w:val="5E8D062B"/>
    <w:multiLevelType w:val="hybridMultilevel"/>
    <w:tmpl w:val="586ED7CA"/>
    <w:lvl w:ilvl="0" w:tplc="04090001">
      <w:start w:val="1"/>
      <w:numFmt w:val="bullet"/>
      <w:lvlText w:val=""/>
      <w:lvlJc w:val="left"/>
      <w:pPr>
        <w:ind w:left="720" w:hanging="360"/>
      </w:pPr>
      <w:rPr>
        <w:rFonts w:ascii="Symbol" w:hAnsi="Symbol" w:hint="default"/>
      </w:rPr>
    </w:lvl>
    <w:lvl w:ilvl="1" w:tplc="10701172">
      <w:numFmt w:val="bullet"/>
      <w:lvlText w:val="•"/>
      <w:lvlJc w:val="left"/>
      <w:pPr>
        <w:ind w:left="1815" w:hanging="735"/>
      </w:pPr>
      <w:rPr>
        <w:rFonts w:ascii="Times New Roman" w:eastAsia="Arial Unicode MS"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CA0072"/>
    <w:multiLevelType w:val="hybridMultilevel"/>
    <w:tmpl w:val="9B2C705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nsid w:val="60D8052A"/>
    <w:multiLevelType w:val="hybridMultilevel"/>
    <w:tmpl w:val="AF7C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2D83C9B"/>
    <w:multiLevelType w:val="hybridMultilevel"/>
    <w:tmpl w:val="AAB6A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5BA5094"/>
    <w:multiLevelType w:val="hybridMultilevel"/>
    <w:tmpl w:val="077A3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623F5B"/>
    <w:multiLevelType w:val="hybridMultilevel"/>
    <w:tmpl w:val="A5C2986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AB66BB0"/>
    <w:multiLevelType w:val="hybridMultilevel"/>
    <w:tmpl w:val="FC366E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nsid w:val="7E055BB8"/>
    <w:multiLevelType w:val="hybridMultilevel"/>
    <w:tmpl w:val="E21CEF4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nsid w:val="7EAE303B"/>
    <w:multiLevelType w:val="hybridMultilevel"/>
    <w:tmpl w:val="EB7A3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21"/>
  </w:num>
  <w:num w:numId="4">
    <w:abstractNumId w:val="6"/>
  </w:num>
  <w:num w:numId="5">
    <w:abstractNumId w:val="26"/>
  </w:num>
  <w:num w:numId="6">
    <w:abstractNumId w:val="7"/>
  </w:num>
  <w:num w:numId="7">
    <w:abstractNumId w:val="8"/>
  </w:num>
  <w:num w:numId="8">
    <w:abstractNumId w:val="22"/>
  </w:num>
  <w:num w:numId="9">
    <w:abstractNumId w:val="2"/>
  </w:num>
  <w:num w:numId="10">
    <w:abstractNumId w:val="28"/>
  </w:num>
  <w:num w:numId="11">
    <w:abstractNumId w:val="29"/>
  </w:num>
  <w:num w:numId="12">
    <w:abstractNumId w:val="20"/>
  </w:num>
  <w:num w:numId="13">
    <w:abstractNumId w:val="30"/>
  </w:num>
  <w:num w:numId="14">
    <w:abstractNumId w:val="19"/>
  </w:num>
  <w:num w:numId="15">
    <w:abstractNumId w:val="3"/>
  </w:num>
  <w:num w:numId="16">
    <w:abstractNumId w:val="13"/>
  </w:num>
  <w:num w:numId="17">
    <w:abstractNumId w:val="9"/>
  </w:num>
  <w:num w:numId="18">
    <w:abstractNumId w:val="1"/>
  </w:num>
  <w:num w:numId="19">
    <w:abstractNumId w:val="11"/>
  </w:num>
  <w:num w:numId="20">
    <w:abstractNumId w:val="32"/>
  </w:num>
  <w:num w:numId="21">
    <w:abstractNumId w:val="24"/>
  </w:num>
  <w:num w:numId="22">
    <w:abstractNumId w:val="14"/>
  </w:num>
  <w:num w:numId="23">
    <w:abstractNumId w:val="33"/>
  </w:num>
  <w:num w:numId="24">
    <w:abstractNumId w:val="31"/>
  </w:num>
  <w:num w:numId="25">
    <w:abstractNumId w:val="4"/>
  </w:num>
  <w:num w:numId="26">
    <w:abstractNumId w:val="17"/>
  </w:num>
  <w:num w:numId="27">
    <w:abstractNumId w:val="10"/>
  </w:num>
  <w:num w:numId="28">
    <w:abstractNumId w:val="5"/>
  </w:num>
  <w:num w:numId="29">
    <w:abstractNumId w:val="25"/>
  </w:num>
  <w:num w:numId="30">
    <w:abstractNumId w:val="15"/>
  </w:num>
  <w:num w:numId="31">
    <w:abstractNumId w:val="16"/>
  </w:num>
  <w:num w:numId="32">
    <w:abstractNumId w:val="18"/>
  </w:num>
  <w:num w:numId="33">
    <w:abstractNumId w:val="12"/>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409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BCB"/>
    <w:rsid w:val="000128BF"/>
    <w:rsid w:val="000336CD"/>
    <w:rsid w:val="00064D7D"/>
    <w:rsid w:val="00067604"/>
    <w:rsid w:val="000D0FEE"/>
    <w:rsid w:val="000D5B78"/>
    <w:rsid w:val="0011686E"/>
    <w:rsid w:val="00134E50"/>
    <w:rsid w:val="00177311"/>
    <w:rsid w:val="001A2E49"/>
    <w:rsid w:val="001A4FEE"/>
    <w:rsid w:val="001C1B28"/>
    <w:rsid w:val="00200D3C"/>
    <w:rsid w:val="00206465"/>
    <w:rsid w:val="00212E64"/>
    <w:rsid w:val="0026055F"/>
    <w:rsid w:val="00290DAE"/>
    <w:rsid w:val="002C7F1D"/>
    <w:rsid w:val="002F62E7"/>
    <w:rsid w:val="0031010D"/>
    <w:rsid w:val="003145A8"/>
    <w:rsid w:val="00357EA4"/>
    <w:rsid w:val="00367FEF"/>
    <w:rsid w:val="00370663"/>
    <w:rsid w:val="003722FF"/>
    <w:rsid w:val="003E3FA9"/>
    <w:rsid w:val="00403532"/>
    <w:rsid w:val="00413E00"/>
    <w:rsid w:val="00444084"/>
    <w:rsid w:val="00446357"/>
    <w:rsid w:val="00467152"/>
    <w:rsid w:val="004678A3"/>
    <w:rsid w:val="00494E60"/>
    <w:rsid w:val="004A5005"/>
    <w:rsid w:val="005055EE"/>
    <w:rsid w:val="005059BC"/>
    <w:rsid w:val="00552623"/>
    <w:rsid w:val="005614CF"/>
    <w:rsid w:val="00577114"/>
    <w:rsid w:val="005857B2"/>
    <w:rsid w:val="00585997"/>
    <w:rsid w:val="005F2D62"/>
    <w:rsid w:val="00613C4A"/>
    <w:rsid w:val="006225F6"/>
    <w:rsid w:val="00623F65"/>
    <w:rsid w:val="006414B8"/>
    <w:rsid w:val="00652DDC"/>
    <w:rsid w:val="00655E37"/>
    <w:rsid w:val="00663289"/>
    <w:rsid w:val="0067593D"/>
    <w:rsid w:val="00684687"/>
    <w:rsid w:val="006A53B7"/>
    <w:rsid w:val="006B2EFA"/>
    <w:rsid w:val="006E00D8"/>
    <w:rsid w:val="006E124A"/>
    <w:rsid w:val="006F55C0"/>
    <w:rsid w:val="00713A8E"/>
    <w:rsid w:val="0073766D"/>
    <w:rsid w:val="0074449E"/>
    <w:rsid w:val="007449C0"/>
    <w:rsid w:val="00752D89"/>
    <w:rsid w:val="00760E32"/>
    <w:rsid w:val="00764BB8"/>
    <w:rsid w:val="007910BB"/>
    <w:rsid w:val="007E3C33"/>
    <w:rsid w:val="0080612C"/>
    <w:rsid w:val="00806FFA"/>
    <w:rsid w:val="00814094"/>
    <w:rsid w:val="00821B1E"/>
    <w:rsid w:val="008319BF"/>
    <w:rsid w:val="00862DBA"/>
    <w:rsid w:val="00884D71"/>
    <w:rsid w:val="00887AAA"/>
    <w:rsid w:val="008A54C1"/>
    <w:rsid w:val="008E2574"/>
    <w:rsid w:val="009044EF"/>
    <w:rsid w:val="00907195"/>
    <w:rsid w:val="00925B75"/>
    <w:rsid w:val="00934F1F"/>
    <w:rsid w:val="0094798E"/>
    <w:rsid w:val="00970AAE"/>
    <w:rsid w:val="00972B27"/>
    <w:rsid w:val="009A3DA9"/>
    <w:rsid w:val="009E0285"/>
    <w:rsid w:val="009E1DFF"/>
    <w:rsid w:val="00A11117"/>
    <w:rsid w:val="00A14718"/>
    <w:rsid w:val="00A1567E"/>
    <w:rsid w:val="00A27AAE"/>
    <w:rsid w:val="00A62DD9"/>
    <w:rsid w:val="00AC64A2"/>
    <w:rsid w:val="00AC68E6"/>
    <w:rsid w:val="00AC6975"/>
    <w:rsid w:val="00AF068A"/>
    <w:rsid w:val="00AF50F3"/>
    <w:rsid w:val="00B023C2"/>
    <w:rsid w:val="00B228E7"/>
    <w:rsid w:val="00B22A3A"/>
    <w:rsid w:val="00B44621"/>
    <w:rsid w:val="00B60A6F"/>
    <w:rsid w:val="00B84207"/>
    <w:rsid w:val="00BA4583"/>
    <w:rsid w:val="00BB394B"/>
    <w:rsid w:val="00BC3C10"/>
    <w:rsid w:val="00BD7B6A"/>
    <w:rsid w:val="00BF0808"/>
    <w:rsid w:val="00BF0C51"/>
    <w:rsid w:val="00C411DA"/>
    <w:rsid w:val="00C76882"/>
    <w:rsid w:val="00C93A72"/>
    <w:rsid w:val="00CD29E3"/>
    <w:rsid w:val="00CD6065"/>
    <w:rsid w:val="00CE069C"/>
    <w:rsid w:val="00DD0666"/>
    <w:rsid w:val="00DE26C2"/>
    <w:rsid w:val="00DE58A5"/>
    <w:rsid w:val="00DE7994"/>
    <w:rsid w:val="00E360F1"/>
    <w:rsid w:val="00E428EF"/>
    <w:rsid w:val="00E44055"/>
    <w:rsid w:val="00E87154"/>
    <w:rsid w:val="00EB7624"/>
    <w:rsid w:val="00EF2D10"/>
    <w:rsid w:val="00F17501"/>
    <w:rsid w:val="00F4203A"/>
    <w:rsid w:val="00F43BCB"/>
    <w:rsid w:val="00F43C9A"/>
    <w:rsid w:val="00F54EA4"/>
    <w:rsid w:val="00F57B3C"/>
    <w:rsid w:val="00FC119A"/>
    <w:rsid w:val="00FD6847"/>
    <w:rsid w:val="00FD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3BCB"/>
    <w:pPr>
      <w:pBdr>
        <w:top w:val="single" w:sz="24" w:space="0" w:color="5B9BD5"/>
        <w:left w:val="single" w:sz="24" w:space="0" w:color="5B9BD5"/>
        <w:bottom w:val="single" w:sz="24" w:space="0" w:color="5B9BD5"/>
        <w:right w:val="single" w:sz="24" w:space="0" w:color="5B9BD5"/>
      </w:pBdr>
      <w:shd w:val="clear" w:color="auto" w:fill="5B9BD5"/>
      <w:spacing w:before="100" w:after="0" w:line="276" w:lineRule="auto"/>
      <w:outlineLvl w:val="0"/>
    </w:pPr>
    <w:rPr>
      <w:rFonts w:ascii="Calibri" w:eastAsia="Times New Roman" w:hAnsi="Calibri" w:cs="Times New Roman"/>
      <w:caps/>
      <w:color w:val="FFFFFF"/>
      <w:spacing w:val="15"/>
    </w:rPr>
  </w:style>
  <w:style w:type="paragraph" w:styleId="Heading2">
    <w:name w:val="heading 2"/>
    <w:basedOn w:val="Normal"/>
    <w:next w:val="Normal"/>
    <w:link w:val="Heading2Char"/>
    <w:uiPriority w:val="9"/>
    <w:unhideWhenUsed/>
    <w:qFormat/>
    <w:rsid w:val="00F43BCB"/>
    <w:pPr>
      <w:pBdr>
        <w:top w:val="single" w:sz="24" w:space="0" w:color="DEEAF6"/>
        <w:left w:val="single" w:sz="24" w:space="0" w:color="DEEAF6"/>
        <w:bottom w:val="single" w:sz="24" w:space="0" w:color="DEEAF6"/>
        <w:right w:val="single" w:sz="24" w:space="0" w:color="DEEAF6"/>
      </w:pBdr>
      <w:shd w:val="clear" w:color="auto" w:fill="DEEAF6"/>
      <w:spacing w:before="100" w:after="0" w:line="276" w:lineRule="auto"/>
      <w:outlineLvl w:val="1"/>
    </w:pPr>
    <w:rPr>
      <w:rFonts w:ascii="Calibri" w:eastAsia="Times New Roman" w:hAnsi="Calibri" w:cs="Times New Roman"/>
      <w:caps/>
      <w:spacing w:val="15"/>
      <w:sz w:val="20"/>
      <w:szCs w:val="20"/>
    </w:rPr>
  </w:style>
  <w:style w:type="paragraph" w:styleId="Heading3">
    <w:name w:val="heading 3"/>
    <w:basedOn w:val="Normal"/>
    <w:next w:val="Normal"/>
    <w:link w:val="Heading3Char"/>
    <w:uiPriority w:val="9"/>
    <w:unhideWhenUsed/>
    <w:qFormat/>
    <w:rsid w:val="00F43BCB"/>
    <w:pPr>
      <w:pBdr>
        <w:top w:val="single" w:sz="6" w:space="2" w:color="5B9BD5"/>
      </w:pBdr>
      <w:spacing w:before="300" w:after="0" w:line="276" w:lineRule="auto"/>
      <w:outlineLvl w:val="2"/>
    </w:pPr>
    <w:rPr>
      <w:rFonts w:ascii="Calibri" w:eastAsia="Times New Roman" w:hAnsi="Calibri" w:cs="Times New Roman"/>
      <w:caps/>
      <w:color w:val="1F4D78"/>
      <w:spacing w:val="15"/>
      <w:sz w:val="20"/>
      <w:szCs w:val="20"/>
    </w:rPr>
  </w:style>
  <w:style w:type="paragraph" w:styleId="Heading4">
    <w:name w:val="heading 4"/>
    <w:basedOn w:val="Normal"/>
    <w:next w:val="Normal"/>
    <w:link w:val="Heading4Char"/>
    <w:uiPriority w:val="9"/>
    <w:semiHidden/>
    <w:unhideWhenUsed/>
    <w:qFormat/>
    <w:rsid w:val="00F43BCB"/>
    <w:pPr>
      <w:pBdr>
        <w:top w:val="dotted" w:sz="6" w:space="2" w:color="5B9BD5"/>
      </w:pBdr>
      <w:spacing w:before="200" w:after="0" w:line="276" w:lineRule="auto"/>
      <w:outlineLvl w:val="3"/>
    </w:pPr>
    <w:rPr>
      <w:rFonts w:ascii="Calibri" w:eastAsia="Times New Roman" w:hAnsi="Calibri" w:cs="Times New Roman"/>
      <w:caps/>
      <w:color w:val="2E74B5"/>
      <w:spacing w:val="10"/>
      <w:sz w:val="20"/>
      <w:szCs w:val="20"/>
    </w:rPr>
  </w:style>
  <w:style w:type="paragraph" w:styleId="Heading5">
    <w:name w:val="heading 5"/>
    <w:basedOn w:val="Normal"/>
    <w:next w:val="Normal"/>
    <w:link w:val="Heading5Char"/>
    <w:uiPriority w:val="9"/>
    <w:semiHidden/>
    <w:unhideWhenUsed/>
    <w:qFormat/>
    <w:rsid w:val="00F43BCB"/>
    <w:pPr>
      <w:pBdr>
        <w:bottom w:val="single" w:sz="6" w:space="1" w:color="5B9BD5"/>
      </w:pBdr>
      <w:spacing w:before="200" w:after="0" w:line="276" w:lineRule="auto"/>
      <w:outlineLvl w:val="4"/>
    </w:pPr>
    <w:rPr>
      <w:rFonts w:ascii="Calibri" w:eastAsia="Times New Roman" w:hAnsi="Calibri" w:cs="Times New Roman"/>
      <w:caps/>
      <w:color w:val="2E74B5"/>
      <w:spacing w:val="10"/>
      <w:sz w:val="20"/>
      <w:szCs w:val="20"/>
    </w:rPr>
  </w:style>
  <w:style w:type="paragraph" w:styleId="Heading6">
    <w:name w:val="heading 6"/>
    <w:basedOn w:val="Normal"/>
    <w:next w:val="Normal"/>
    <w:link w:val="Heading6Char"/>
    <w:uiPriority w:val="9"/>
    <w:semiHidden/>
    <w:unhideWhenUsed/>
    <w:qFormat/>
    <w:rsid w:val="00F43BCB"/>
    <w:pPr>
      <w:pBdr>
        <w:bottom w:val="dotted" w:sz="6" w:space="1" w:color="5B9BD5"/>
      </w:pBdr>
      <w:spacing w:before="200" w:after="0" w:line="276" w:lineRule="auto"/>
      <w:outlineLvl w:val="5"/>
    </w:pPr>
    <w:rPr>
      <w:rFonts w:ascii="Calibri" w:eastAsia="Times New Roman" w:hAnsi="Calibri" w:cs="Times New Roman"/>
      <w:caps/>
      <w:color w:val="2E74B5"/>
      <w:spacing w:val="10"/>
      <w:sz w:val="20"/>
      <w:szCs w:val="20"/>
    </w:rPr>
  </w:style>
  <w:style w:type="paragraph" w:styleId="Heading7">
    <w:name w:val="heading 7"/>
    <w:basedOn w:val="Normal"/>
    <w:next w:val="Normal"/>
    <w:link w:val="Heading7Char"/>
    <w:uiPriority w:val="9"/>
    <w:semiHidden/>
    <w:unhideWhenUsed/>
    <w:qFormat/>
    <w:rsid w:val="00F43BCB"/>
    <w:pPr>
      <w:spacing w:before="200" w:after="0" w:line="276" w:lineRule="auto"/>
      <w:outlineLvl w:val="6"/>
    </w:pPr>
    <w:rPr>
      <w:rFonts w:ascii="Calibri" w:eastAsia="Times New Roman" w:hAnsi="Calibri" w:cs="Times New Roman"/>
      <w:caps/>
      <w:color w:val="2E74B5"/>
      <w:spacing w:val="10"/>
      <w:sz w:val="20"/>
      <w:szCs w:val="20"/>
    </w:rPr>
  </w:style>
  <w:style w:type="paragraph" w:styleId="Heading8">
    <w:name w:val="heading 8"/>
    <w:basedOn w:val="Normal"/>
    <w:next w:val="Normal"/>
    <w:link w:val="Heading8Char"/>
    <w:uiPriority w:val="9"/>
    <w:semiHidden/>
    <w:unhideWhenUsed/>
    <w:qFormat/>
    <w:rsid w:val="00F43BCB"/>
    <w:pPr>
      <w:spacing w:before="200" w:after="0" w:line="276" w:lineRule="auto"/>
      <w:outlineLvl w:val="7"/>
    </w:pPr>
    <w:rPr>
      <w:rFonts w:ascii="Calibri" w:eastAsia="Times New Roman" w:hAnsi="Calibri" w:cs="Times New Roman"/>
      <w:caps/>
      <w:spacing w:val="10"/>
      <w:sz w:val="18"/>
      <w:szCs w:val="18"/>
    </w:rPr>
  </w:style>
  <w:style w:type="paragraph" w:styleId="Heading9">
    <w:name w:val="heading 9"/>
    <w:basedOn w:val="Normal"/>
    <w:next w:val="Normal"/>
    <w:link w:val="Heading9Char"/>
    <w:uiPriority w:val="9"/>
    <w:semiHidden/>
    <w:unhideWhenUsed/>
    <w:qFormat/>
    <w:rsid w:val="00F43BCB"/>
    <w:pPr>
      <w:spacing w:before="200" w:after="0" w:line="276" w:lineRule="auto"/>
      <w:outlineLvl w:val="8"/>
    </w:pPr>
    <w:rPr>
      <w:rFonts w:ascii="Calibri" w:eastAsia="Times New Roman" w:hAnsi="Calibri" w:cs="Times New Roman"/>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BCB"/>
    <w:rPr>
      <w:rFonts w:ascii="Calibri" w:eastAsia="Times New Roman" w:hAnsi="Calibri" w:cs="Times New Roman"/>
      <w:caps/>
      <w:color w:val="FFFFFF"/>
      <w:spacing w:val="15"/>
      <w:shd w:val="clear" w:color="auto" w:fill="5B9BD5"/>
    </w:rPr>
  </w:style>
  <w:style w:type="character" w:customStyle="1" w:styleId="Heading2Char">
    <w:name w:val="Heading 2 Char"/>
    <w:basedOn w:val="DefaultParagraphFont"/>
    <w:link w:val="Heading2"/>
    <w:uiPriority w:val="9"/>
    <w:rsid w:val="00F43BCB"/>
    <w:rPr>
      <w:rFonts w:ascii="Calibri" w:eastAsia="Times New Roman" w:hAnsi="Calibri" w:cs="Times New Roman"/>
      <w:caps/>
      <w:spacing w:val="15"/>
      <w:sz w:val="20"/>
      <w:szCs w:val="20"/>
      <w:shd w:val="clear" w:color="auto" w:fill="DEEAF6"/>
    </w:rPr>
  </w:style>
  <w:style w:type="character" w:customStyle="1" w:styleId="Heading3Char">
    <w:name w:val="Heading 3 Char"/>
    <w:basedOn w:val="DefaultParagraphFont"/>
    <w:link w:val="Heading3"/>
    <w:uiPriority w:val="9"/>
    <w:rsid w:val="00F43BCB"/>
    <w:rPr>
      <w:rFonts w:ascii="Calibri" w:eastAsia="Times New Roman" w:hAnsi="Calibri" w:cs="Times New Roman"/>
      <w:caps/>
      <w:color w:val="1F4D78"/>
      <w:spacing w:val="15"/>
      <w:sz w:val="20"/>
      <w:szCs w:val="20"/>
    </w:rPr>
  </w:style>
  <w:style w:type="character" w:customStyle="1" w:styleId="Heading4Char">
    <w:name w:val="Heading 4 Char"/>
    <w:basedOn w:val="DefaultParagraphFont"/>
    <w:link w:val="Heading4"/>
    <w:uiPriority w:val="9"/>
    <w:semiHidden/>
    <w:rsid w:val="00F43BCB"/>
    <w:rPr>
      <w:rFonts w:ascii="Calibri" w:eastAsia="Times New Roman" w:hAnsi="Calibri" w:cs="Times New Roman"/>
      <w:caps/>
      <w:color w:val="2E74B5"/>
      <w:spacing w:val="10"/>
      <w:sz w:val="20"/>
      <w:szCs w:val="20"/>
    </w:rPr>
  </w:style>
  <w:style w:type="character" w:customStyle="1" w:styleId="Heading5Char">
    <w:name w:val="Heading 5 Char"/>
    <w:basedOn w:val="DefaultParagraphFont"/>
    <w:link w:val="Heading5"/>
    <w:uiPriority w:val="9"/>
    <w:semiHidden/>
    <w:rsid w:val="00F43BCB"/>
    <w:rPr>
      <w:rFonts w:ascii="Calibri" w:eastAsia="Times New Roman" w:hAnsi="Calibri" w:cs="Times New Roman"/>
      <w:caps/>
      <w:color w:val="2E74B5"/>
      <w:spacing w:val="10"/>
      <w:sz w:val="20"/>
      <w:szCs w:val="20"/>
    </w:rPr>
  </w:style>
  <w:style w:type="character" w:customStyle="1" w:styleId="Heading6Char">
    <w:name w:val="Heading 6 Char"/>
    <w:basedOn w:val="DefaultParagraphFont"/>
    <w:link w:val="Heading6"/>
    <w:uiPriority w:val="9"/>
    <w:semiHidden/>
    <w:rsid w:val="00F43BCB"/>
    <w:rPr>
      <w:rFonts w:ascii="Calibri" w:eastAsia="Times New Roman" w:hAnsi="Calibri" w:cs="Times New Roman"/>
      <w:caps/>
      <w:color w:val="2E74B5"/>
      <w:spacing w:val="10"/>
      <w:sz w:val="20"/>
      <w:szCs w:val="20"/>
    </w:rPr>
  </w:style>
  <w:style w:type="character" w:customStyle="1" w:styleId="Heading7Char">
    <w:name w:val="Heading 7 Char"/>
    <w:basedOn w:val="DefaultParagraphFont"/>
    <w:link w:val="Heading7"/>
    <w:uiPriority w:val="9"/>
    <w:semiHidden/>
    <w:rsid w:val="00F43BCB"/>
    <w:rPr>
      <w:rFonts w:ascii="Calibri" w:eastAsia="Times New Roman" w:hAnsi="Calibri" w:cs="Times New Roman"/>
      <w:caps/>
      <w:color w:val="2E74B5"/>
      <w:spacing w:val="10"/>
      <w:sz w:val="20"/>
      <w:szCs w:val="20"/>
    </w:rPr>
  </w:style>
  <w:style w:type="character" w:customStyle="1" w:styleId="Heading8Char">
    <w:name w:val="Heading 8 Char"/>
    <w:basedOn w:val="DefaultParagraphFont"/>
    <w:link w:val="Heading8"/>
    <w:uiPriority w:val="9"/>
    <w:semiHidden/>
    <w:rsid w:val="00F43BCB"/>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
    <w:semiHidden/>
    <w:rsid w:val="00F43BCB"/>
    <w:rPr>
      <w:rFonts w:ascii="Calibri" w:eastAsia="Times New Roman" w:hAnsi="Calibri" w:cs="Times New Roman"/>
      <w:i/>
      <w:iCs/>
      <w:caps/>
      <w:spacing w:val="10"/>
      <w:sz w:val="18"/>
      <w:szCs w:val="18"/>
    </w:rPr>
  </w:style>
  <w:style w:type="numbering" w:customStyle="1" w:styleId="NoList1">
    <w:name w:val="No List1"/>
    <w:next w:val="NoList"/>
    <w:uiPriority w:val="99"/>
    <w:semiHidden/>
    <w:unhideWhenUsed/>
    <w:rsid w:val="00F43BCB"/>
  </w:style>
  <w:style w:type="character" w:customStyle="1" w:styleId="EndnoteReference1">
    <w:name w:val="Endnote Reference1"/>
    <w:rsid w:val="00F43BCB"/>
    <w:rPr>
      <w:vertAlign w:val="superscript"/>
    </w:rPr>
  </w:style>
  <w:style w:type="character" w:customStyle="1" w:styleId="EndnoteCharacters">
    <w:name w:val="Endnote Characters"/>
    <w:rsid w:val="00F43BCB"/>
  </w:style>
  <w:style w:type="character" w:styleId="EndnoteReference">
    <w:name w:val="endnote reference"/>
    <w:basedOn w:val="EndnoteReference1"/>
    <w:uiPriority w:val="99"/>
    <w:rsid w:val="00F43BCB"/>
    <w:rPr>
      <w:vertAlign w:val="superscript"/>
    </w:rPr>
  </w:style>
  <w:style w:type="character" w:customStyle="1" w:styleId="Bullets">
    <w:name w:val="Bullets"/>
    <w:rsid w:val="00F43BCB"/>
    <w:rPr>
      <w:rFonts w:ascii="OpenSymbol" w:eastAsia="OpenSymbol" w:hAnsi="OpenSymbol" w:cs="OpenSymbol"/>
    </w:rPr>
  </w:style>
  <w:style w:type="character" w:styleId="Hyperlink">
    <w:name w:val="Hyperlink"/>
    <w:uiPriority w:val="99"/>
    <w:rsid w:val="00F43BCB"/>
    <w:rPr>
      <w:color w:val="000080"/>
      <w:u w:val="single"/>
    </w:rPr>
  </w:style>
  <w:style w:type="character" w:styleId="Emphasis">
    <w:name w:val="Emphasis"/>
    <w:uiPriority w:val="20"/>
    <w:qFormat/>
    <w:rsid w:val="00F43BCB"/>
    <w:rPr>
      <w:caps/>
      <w:color w:val="1F4D78"/>
      <w:spacing w:val="5"/>
    </w:rPr>
  </w:style>
  <w:style w:type="character" w:customStyle="1" w:styleId="FootnoteCharacters">
    <w:name w:val="Footnote Characters"/>
    <w:rsid w:val="00F43BCB"/>
    <w:rPr>
      <w:vertAlign w:val="superscript"/>
    </w:rPr>
  </w:style>
  <w:style w:type="character" w:customStyle="1" w:styleId="WW-FootnoteCharacters">
    <w:name w:val="WW-Footnote Characters"/>
    <w:rsid w:val="00F43BCB"/>
  </w:style>
  <w:style w:type="character" w:styleId="FootnoteReference">
    <w:name w:val="footnote reference"/>
    <w:rsid w:val="00F43BCB"/>
    <w:rPr>
      <w:vertAlign w:val="superscript"/>
    </w:rPr>
  </w:style>
  <w:style w:type="paragraph" w:customStyle="1" w:styleId="Heading">
    <w:name w:val="Heading"/>
    <w:basedOn w:val="Normal"/>
    <w:next w:val="BodyText"/>
    <w:rsid w:val="00F43BCB"/>
    <w:pPr>
      <w:keepNext/>
      <w:spacing w:before="240" w:after="120" w:line="276" w:lineRule="auto"/>
    </w:pPr>
    <w:rPr>
      <w:rFonts w:ascii="Arial" w:eastAsia="Microsoft YaHei" w:hAnsi="Arial" w:cs="Mangal"/>
      <w:sz w:val="28"/>
      <w:szCs w:val="28"/>
    </w:rPr>
  </w:style>
  <w:style w:type="paragraph" w:styleId="BodyText">
    <w:name w:val="Body Text"/>
    <w:basedOn w:val="Normal"/>
    <w:link w:val="BodyTextChar"/>
    <w:rsid w:val="00F43BCB"/>
    <w:pPr>
      <w:spacing w:after="120" w:line="276" w:lineRule="auto"/>
    </w:pPr>
    <w:rPr>
      <w:rFonts w:ascii="Calibri" w:eastAsia="Times New Roman" w:hAnsi="Calibri" w:cs="Times New Roman"/>
      <w:sz w:val="20"/>
      <w:szCs w:val="20"/>
    </w:rPr>
  </w:style>
  <w:style w:type="character" w:customStyle="1" w:styleId="BodyTextChar">
    <w:name w:val="Body Text Char"/>
    <w:basedOn w:val="DefaultParagraphFont"/>
    <w:link w:val="BodyText"/>
    <w:rsid w:val="00F43BCB"/>
    <w:rPr>
      <w:rFonts w:ascii="Calibri" w:eastAsia="Times New Roman" w:hAnsi="Calibri" w:cs="Times New Roman"/>
      <w:sz w:val="20"/>
      <w:szCs w:val="20"/>
    </w:rPr>
  </w:style>
  <w:style w:type="paragraph" w:styleId="List">
    <w:name w:val="List"/>
    <w:basedOn w:val="BodyText"/>
    <w:rsid w:val="00F43BCB"/>
    <w:rPr>
      <w:rFonts w:cs="Mangal"/>
    </w:rPr>
  </w:style>
  <w:style w:type="paragraph" w:styleId="Caption">
    <w:name w:val="caption"/>
    <w:basedOn w:val="Normal"/>
    <w:next w:val="Normal"/>
    <w:uiPriority w:val="35"/>
    <w:unhideWhenUsed/>
    <w:qFormat/>
    <w:rsid w:val="00F43BCB"/>
    <w:pPr>
      <w:spacing w:before="100" w:after="200" w:line="276" w:lineRule="auto"/>
    </w:pPr>
    <w:rPr>
      <w:rFonts w:ascii="Calibri" w:eastAsia="Times New Roman" w:hAnsi="Calibri" w:cs="Times New Roman"/>
      <w:b/>
      <w:bCs/>
      <w:color w:val="2E74B5"/>
      <w:sz w:val="16"/>
      <w:szCs w:val="16"/>
    </w:rPr>
  </w:style>
  <w:style w:type="paragraph" w:customStyle="1" w:styleId="Index">
    <w:name w:val="Index"/>
    <w:basedOn w:val="Normal"/>
    <w:rsid w:val="00F43BCB"/>
    <w:pPr>
      <w:suppressLineNumbers/>
      <w:spacing w:before="100" w:after="200" w:line="276" w:lineRule="auto"/>
    </w:pPr>
    <w:rPr>
      <w:rFonts w:ascii="Calibri" w:eastAsia="Times New Roman" w:hAnsi="Calibri" w:cs="Mangal"/>
      <w:sz w:val="20"/>
      <w:szCs w:val="20"/>
    </w:rPr>
  </w:style>
  <w:style w:type="paragraph" w:styleId="EndnoteText">
    <w:name w:val="endnote text"/>
    <w:basedOn w:val="Normal"/>
    <w:link w:val="EndnoteTextChar"/>
    <w:uiPriority w:val="99"/>
    <w:rsid w:val="00F43BCB"/>
    <w:pPr>
      <w:suppressLineNumbers/>
      <w:spacing w:before="100" w:after="200" w:line="276" w:lineRule="auto"/>
      <w:ind w:left="283" w:hanging="283"/>
    </w:pPr>
    <w:rPr>
      <w:rFonts w:ascii="Calibri" w:eastAsia="Times New Roman" w:hAnsi="Calibri" w:cs="Times New Roman"/>
      <w:sz w:val="20"/>
      <w:szCs w:val="20"/>
    </w:rPr>
  </w:style>
  <w:style w:type="character" w:customStyle="1" w:styleId="EndnoteTextChar">
    <w:name w:val="Endnote Text Char"/>
    <w:basedOn w:val="DefaultParagraphFont"/>
    <w:link w:val="EndnoteText"/>
    <w:uiPriority w:val="99"/>
    <w:rsid w:val="00F43BCB"/>
    <w:rPr>
      <w:rFonts w:ascii="Calibri" w:eastAsia="Times New Roman" w:hAnsi="Calibri" w:cs="Times New Roman"/>
      <w:sz w:val="20"/>
      <w:szCs w:val="20"/>
    </w:rPr>
  </w:style>
  <w:style w:type="paragraph" w:customStyle="1" w:styleId="EndnoteText1">
    <w:name w:val="Endnote Text1"/>
    <w:basedOn w:val="Normal"/>
    <w:rsid w:val="00F43BCB"/>
    <w:pPr>
      <w:spacing w:after="0" w:line="100" w:lineRule="atLeast"/>
    </w:pPr>
    <w:rPr>
      <w:rFonts w:ascii="Calibri" w:eastAsia="Times New Roman" w:hAnsi="Calibri" w:cs="Times New Roman"/>
      <w:sz w:val="20"/>
      <w:szCs w:val="20"/>
    </w:rPr>
  </w:style>
  <w:style w:type="paragraph" w:styleId="Footer">
    <w:name w:val="footer"/>
    <w:basedOn w:val="Normal"/>
    <w:link w:val="FooterChar"/>
    <w:uiPriority w:val="99"/>
    <w:rsid w:val="00F43BCB"/>
    <w:pPr>
      <w:suppressLineNumbers/>
      <w:tabs>
        <w:tab w:val="center" w:pos="4986"/>
        <w:tab w:val="right" w:pos="9972"/>
      </w:tabs>
      <w:spacing w:before="100" w:after="200" w:line="276" w:lineRule="auto"/>
    </w:pPr>
    <w:rPr>
      <w:rFonts w:ascii="Calibri" w:eastAsia="Times New Roman" w:hAnsi="Calibri" w:cs="Times New Roman"/>
      <w:sz w:val="20"/>
      <w:szCs w:val="20"/>
    </w:rPr>
  </w:style>
  <w:style w:type="character" w:customStyle="1" w:styleId="FooterChar">
    <w:name w:val="Footer Char"/>
    <w:basedOn w:val="DefaultParagraphFont"/>
    <w:link w:val="Footer"/>
    <w:uiPriority w:val="99"/>
    <w:rsid w:val="00F43BCB"/>
    <w:rPr>
      <w:rFonts w:ascii="Calibri" w:eastAsia="Times New Roman" w:hAnsi="Calibri" w:cs="Times New Roman"/>
      <w:sz w:val="20"/>
      <w:szCs w:val="20"/>
    </w:rPr>
  </w:style>
  <w:style w:type="paragraph" w:styleId="BodyTextFirstIndent">
    <w:name w:val="Body Text First Indent"/>
    <w:basedOn w:val="BodyText"/>
    <w:link w:val="BodyTextFirstIndentChar"/>
    <w:rsid w:val="00F43BCB"/>
    <w:pPr>
      <w:ind w:firstLine="283"/>
    </w:pPr>
  </w:style>
  <w:style w:type="character" w:customStyle="1" w:styleId="BodyTextFirstIndentChar">
    <w:name w:val="Body Text First Indent Char"/>
    <w:basedOn w:val="BodyTextChar"/>
    <w:link w:val="BodyTextFirstIndent"/>
    <w:rsid w:val="00F43BCB"/>
    <w:rPr>
      <w:rFonts w:ascii="Calibri" w:eastAsia="Times New Roman" w:hAnsi="Calibri" w:cs="Times New Roman"/>
      <w:sz w:val="20"/>
      <w:szCs w:val="20"/>
    </w:rPr>
  </w:style>
  <w:style w:type="paragraph" w:styleId="Header">
    <w:name w:val="header"/>
    <w:basedOn w:val="Normal"/>
    <w:link w:val="HeaderChar"/>
    <w:uiPriority w:val="99"/>
    <w:rsid w:val="00F43BCB"/>
    <w:pPr>
      <w:suppressLineNumbers/>
      <w:tabs>
        <w:tab w:val="center" w:pos="4986"/>
        <w:tab w:val="right" w:pos="9972"/>
      </w:tabs>
      <w:spacing w:before="100" w:after="200" w:line="276" w:lineRule="auto"/>
    </w:pPr>
    <w:rPr>
      <w:rFonts w:ascii="Calibri" w:eastAsia="Times New Roman" w:hAnsi="Calibri" w:cs="Times New Roman"/>
      <w:sz w:val="20"/>
      <w:szCs w:val="20"/>
    </w:rPr>
  </w:style>
  <w:style w:type="character" w:customStyle="1" w:styleId="HeaderChar">
    <w:name w:val="Header Char"/>
    <w:basedOn w:val="DefaultParagraphFont"/>
    <w:link w:val="Header"/>
    <w:uiPriority w:val="99"/>
    <w:rsid w:val="00F43BCB"/>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F43BCB"/>
    <w:pPr>
      <w:spacing w:before="100" w:after="200" w:line="276" w:lineRule="auto"/>
    </w:pPr>
    <w:rPr>
      <w:rFonts w:ascii="Segoe UI" w:eastAsia="Times New Roman" w:hAnsi="Segoe UI" w:cs="Times New Roman"/>
      <w:sz w:val="18"/>
      <w:szCs w:val="16"/>
    </w:rPr>
  </w:style>
  <w:style w:type="character" w:customStyle="1" w:styleId="BalloonTextChar">
    <w:name w:val="Balloon Text Char"/>
    <w:basedOn w:val="DefaultParagraphFont"/>
    <w:link w:val="BalloonText"/>
    <w:uiPriority w:val="99"/>
    <w:semiHidden/>
    <w:rsid w:val="00F43BCB"/>
    <w:rPr>
      <w:rFonts w:ascii="Segoe UI" w:eastAsia="Times New Roman" w:hAnsi="Segoe UI" w:cs="Times New Roman"/>
      <w:sz w:val="18"/>
      <w:szCs w:val="16"/>
    </w:rPr>
  </w:style>
  <w:style w:type="paragraph" w:styleId="ListParagraph">
    <w:name w:val="List Paragraph"/>
    <w:basedOn w:val="Normal"/>
    <w:uiPriority w:val="34"/>
    <w:qFormat/>
    <w:rsid w:val="00F43BCB"/>
    <w:pPr>
      <w:spacing w:before="100" w:after="200" w:line="276" w:lineRule="auto"/>
      <w:ind w:left="720"/>
      <w:contextualSpacing/>
    </w:pPr>
    <w:rPr>
      <w:rFonts w:ascii="Calibri" w:eastAsia="Times New Roman" w:hAnsi="Calibri" w:cs="Times New Roman"/>
      <w:sz w:val="20"/>
      <w:szCs w:val="20"/>
    </w:rPr>
  </w:style>
  <w:style w:type="paragraph" w:customStyle="1" w:styleId="Default">
    <w:name w:val="Default"/>
    <w:rsid w:val="00F43BCB"/>
    <w:pPr>
      <w:autoSpaceDE w:val="0"/>
      <w:autoSpaceDN w:val="0"/>
      <w:adjustRightInd w:val="0"/>
      <w:spacing w:before="100" w:after="200" w:line="276" w:lineRule="auto"/>
    </w:pPr>
    <w:rPr>
      <w:rFonts w:ascii="Calibri" w:eastAsia="Calibri" w:hAnsi="Calibri" w:cs="Times New Roman"/>
      <w:color w:val="000000"/>
      <w:sz w:val="24"/>
      <w:szCs w:val="24"/>
    </w:rPr>
  </w:style>
  <w:style w:type="paragraph" w:customStyle="1" w:styleId="Standard">
    <w:name w:val="Standard"/>
    <w:rsid w:val="00F43BCB"/>
    <w:pPr>
      <w:widowControl w:val="0"/>
      <w:suppressAutoHyphens/>
      <w:autoSpaceDN w:val="0"/>
      <w:spacing w:before="100" w:after="200" w:line="276" w:lineRule="auto"/>
      <w:textAlignment w:val="baseline"/>
    </w:pPr>
    <w:rPr>
      <w:rFonts w:ascii="Calibri" w:eastAsia="Arial Unicode MS" w:hAnsi="Calibri" w:cs="Tahoma"/>
      <w:kern w:val="3"/>
      <w:sz w:val="24"/>
      <w:szCs w:val="24"/>
    </w:rPr>
  </w:style>
  <w:style w:type="paragraph" w:styleId="NormalWeb">
    <w:name w:val="Normal (Web)"/>
    <w:basedOn w:val="Normal"/>
    <w:uiPriority w:val="99"/>
    <w:unhideWhenUsed/>
    <w:rsid w:val="00F43BCB"/>
    <w:pPr>
      <w:spacing w:before="100" w:beforeAutospacing="1" w:after="100" w:afterAutospacing="1" w:line="276" w:lineRule="auto"/>
    </w:pPr>
    <w:rPr>
      <w:rFonts w:ascii="Calibri" w:eastAsia="Times New Roman" w:hAnsi="Calibri" w:cs="Times New Roman"/>
      <w:sz w:val="20"/>
      <w:szCs w:val="20"/>
    </w:rPr>
  </w:style>
  <w:style w:type="character" w:styleId="Strong">
    <w:name w:val="Strong"/>
    <w:uiPriority w:val="22"/>
    <w:qFormat/>
    <w:rsid w:val="00F43BCB"/>
    <w:rPr>
      <w:b/>
      <w:bCs/>
    </w:rPr>
  </w:style>
  <w:style w:type="paragraph" w:styleId="Title">
    <w:name w:val="Title"/>
    <w:basedOn w:val="Normal"/>
    <w:next w:val="Normal"/>
    <w:link w:val="TitleChar"/>
    <w:uiPriority w:val="10"/>
    <w:qFormat/>
    <w:rsid w:val="00F43BCB"/>
    <w:pPr>
      <w:spacing w:after="0" w:line="276" w:lineRule="auto"/>
    </w:pPr>
    <w:rPr>
      <w:rFonts w:ascii="Calibri Light" w:eastAsia="SimSun" w:hAnsi="Calibri Light" w:cs="Times New Roman"/>
      <w:caps/>
      <w:color w:val="5B9BD5"/>
      <w:spacing w:val="10"/>
      <w:sz w:val="52"/>
      <w:szCs w:val="52"/>
    </w:rPr>
  </w:style>
  <w:style w:type="character" w:customStyle="1" w:styleId="TitleChar">
    <w:name w:val="Title Char"/>
    <w:basedOn w:val="DefaultParagraphFont"/>
    <w:link w:val="Title"/>
    <w:uiPriority w:val="10"/>
    <w:rsid w:val="00F43BCB"/>
    <w:rPr>
      <w:rFonts w:ascii="Calibri Light" w:eastAsia="SimSun" w:hAnsi="Calibri Light" w:cs="Times New Roman"/>
      <w:caps/>
      <w:color w:val="5B9BD5"/>
      <w:spacing w:val="10"/>
      <w:sz w:val="52"/>
      <w:szCs w:val="52"/>
    </w:rPr>
  </w:style>
  <w:style w:type="paragraph" w:styleId="Subtitle">
    <w:name w:val="Subtitle"/>
    <w:basedOn w:val="Normal"/>
    <w:next w:val="Normal"/>
    <w:link w:val="SubtitleChar"/>
    <w:uiPriority w:val="11"/>
    <w:qFormat/>
    <w:rsid w:val="00F43BCB"/>
    <w:pPr>
      <w:spacing w:after="500" w:line="240" w:lineRule="auto"/>
    </w:pPr>
    <w:rPr>
      <w:rFonts w:ascii="Calibri" w:eastAsia="Times New Roman" w:hAnsi="Calibri" w:cs="Times New Roman"/>
      <w:caps/>
      <w:color w:val="595959"/>
      <w:spacing w:val="10"/>
      <w:sz w:val="21"/>
      <w:szCs w:val="21"/>
    </w:rPr>
  </w:style>
  <w:style w:type="character" w:customStyle="1" w:styleId="SubtitleChar">
    <w:name w:val="Subtitle Char"/>
    <w:basedOn w:val="DefaultParagraphFont"/>
    <w:link w:val="Subtitle"/>
    <w:uiPriority w:val="11"/>
    <w:rsid w:val="00F43BCB"/>
    <w:rPr>
      <w:rFonts w:ascii="Calibri" w:eastAsia="Times New Roman" w:hAnsi="Calibri" w:cs="Times New Roman"/>
      <w:caps/>
      <w:color w:val="595959"/>
      <w:spacing w:val="10"/>
      <w:sz w:val="21"/>
      <w:szCs w:val="21"/>
    </w:rPr>
  </w:style>
  <w:style w:type="paragraph" w:styleId="NoSpacing">
    <w:name w:val="No Spacing"/>
    <w:uiPriority w:val="1"/>
    <w:qFormat/>
    <w:rsid w:val="00F43BCB"/>
    <w:pPr>
      <w:spacing w:before="100" w:after="0" w:line="240" w:lineRule="auto"/>
    </w:pPr>
    <w:rPr>
      <w:rFonts w:ascii="Calibri" w:eastAsia="Times New Roman" w:hAnsi="Calibri" w:cs="Times New Roman"/>
      <w:sz w:val="20"/>
      <w:szCs w:val="20"/>
    </w:rPr>
  </w:style>
  <w:style w:type="paragraph" w:styleId="Quote">
    <w:name w:val="Quote"/>
    <w:basedOn w:val="Normal"/>
    <w:next w:val="Normal"/>
    <w:link w:val="QuoteChar"/>
    <w:uiPriority w:val="29"/>
    <w:qFormat/>
    <w:rsid w:val="00F43BCB"/>
    <w:pPr>
      <w:spacing w:before="100" w:after="200" w:line="276" w:lineRule="auto"/>
    </w:pPr>
    <w:rPr>
      <w:rFonts w:ascii="Calibri" w:eastAsia="Times New Roman" w:hAnsi="Calibri" w:cs="Times New Roman"/>
      <w:i/>
      <w:iCs/>
      <w:sz w:val="24"/>
      <w:szCs w:val="24"/>
    </w:rPr>
  </w:style>
  <w:style w:type="character" w:customStyle="1" w:styleId="QuoteChar">
    <w:name w:val="Quote Char"/>
    <w:basedOn w:val="DefaultParagraphFont"/>
    <w:link w:val="Quote"/>
    <w:uiPriority w:val="29"/>
    <w:rsid w:val="00F43BCB"/>
    <w:rPr>
      <w:rFonts w:ascii="Calibri" w:eastAsia="Times New Roman" w:hAnsi="Calibri" w:cs="Times New Roman"/>
      <w:i/>
      <w:iCs/>
      <w:sz w:val="24"/>
      <w:szCs w:val="24"/>
    </w:rPr>
  </w:style>
  <w:style w:type="paragraph" w:styleId="IntenseQuote">
    <w:name w:val="Intense Quote"/>
    <w:basedOn w:val="Normal"/>
    <w:next w:val="Normal"/>
    <w:link w:val="IntenseQuoteChar"/>
    <w:uiPriority w:val="30"/>
    <w:qFormat/>
    <w:rsid w:val="00F43BCB"/>
    <w:pPr>
      <w:spacing w:before="240" w:after="240" w:line="240" w:lineRule="auto"/>
      <w:ind w:left="1080" w:right="1080"/>
      <w:jc w:val="center"/>
    </w:pPr>
    <w:rPr>
      <w:rFonts w:ascii="Calibri" w:eastAsia="Times New Roman" w:hAnsi="Calibri" w:cs="Times New Roman"/>
      <w:color w:val="5B9BD5"/>
      <w:sz w:val="24"/>
      <w:szCs w:val="24"/>
    </w:rPr>
  </w:style>
  <w:style w:type="character" w:customStyle="1" w:styleId="IntenseQuoteChar">
    <w:name w:val="Intense Quote Char"/>
    <w:basedOn w:val="DefaultParagraphFont"/>
    <w:link w:val="IntenseQuote"/>
    <w:uiPriority w:val="30"/>
    <w:rsid w:val="00F43BCB"/>
    <w:rPr>
      <w:rFonts w:ascii="Calibri" w:eastAsia="Times New Roman" w:hAnsi="Calibri" w:cs="Times New Roman"/>
      <w:color w:val="5B9BD5"/>
      <w:sz w:val="24"/>
      <w:szCs w:val="24"/>
    </w:rPr>
  </w:style>
  <w:style w:type="character" w:styleId="SubtleEmphasis">
    <w:name w:val="Subtle Emphasis"/>
    <w:uiPriority w:val="19"/>
    <w:qFormat/>
    <w:rsid w:val="00F43BCB"/>
    <w:rPr>
      <w:i/>
      <w:iCs/>
      <w:color w:val="1F4D78"/>
    </w:rPr>
  </w:style>
  <w:style w:type="character" w:styleId="IntenseEmphasis">
    <w:name w:val="Intense Emphasis"/>
    <w:uiPriority w:val="21"/>
    <w:qFormat/>
    <w:rsid w:val="00F43BCB"/>
    <w:rPr>
      <w:b/>
      <w:bCs/>
      <w:caps/>
      <w:color w:val="1F4D78"/>
      <w:spacing w:val="10"/>
    </w:rPr>
  </w:style>
  <w:style w:type="character" w:styleId="SubtleReference">
    <w:name w:val="Subtle Reference"/>
    <w:uiPriority w:val="31"/>
    <w:qFormat/>
    <w:rsid w:val="00F43BCB"/>
    <w:rPr>
      <w:b/>
      <w:bCs/>
      <w:color w:val="5B9BD5"/>
    </w:rPr>
  </w:style>
  <w:style w:type="character" w:styleId="IntenseReference">
    <w:name w:val="Intense Reference"/>
    <w:uiPriority w:val="32"/>
    <w:qFormat/>
    <w:rsid w:val="00F43BCB"/>
    <w:rPr>
      <w:b/>
      <w:bCs/>
      <w:i/>
      <w:iCs/>
      <w:caps/>
      <w:color w:val="5B9BD5"/>
    </w:rPr>
  </w:style>
  <w:style w:type="character" w:styleId="BookTitle">
    <w:name w:val="Book Title"/>
    <w:uiPriority w:val="33"/>
    <w:qFormat/>
    <w:rsid w:val="00F43BCB"/>
    <w:rPr>
      <w:b/>
      <w:bCs/>
      <w:i/>
      <w:iCs/>
      <w:spacing w:val="0"/>
    </w:rPr>
  </w:style>
  <w:style w:type="paragraph" w:styleId="TOCHeading">
    <w:name w:val="TOC Heading"/>
    <w:basedOn w:val="Heading1"/>
    <w:next w:val="Normal"/>
    <w:uiPriority w:val="39"/>
    <w:unhideWhenUsed/>
    <w:qFormat/>
    <w:rsid w:val="00F43BCB"/>
    <w:pPr>
      <w:outlineLvl w:val="9"/>
    </w:pPr>
  </w:style>
  <w:style w:type="character" w:styleId="FollowedHyperlink">
    <w:name w:val="FollowedHyperlink"/>
    <w:uiPriority w:val="99"/>
    <w:semiHidden/>
    <w:unhideWhenUsed/>
    <w:rsid w:val="00F43BCB"/>
    <w:rPr>
      <w:color w:val="954F72"/>
      <w:u w:val="single"/>
    </w:rPr>
  </w:style>
  <w:style w:type="paragraph" w:styleId="TOC1">
    <w:name w:val="toc 1"/>
    <w:basedOn w:val="Normal"/>
    <w:next w:val="Normal"/>
    <w:autoRedefine/>
    <w:uiPriority w:val="39"/>
    <w:unhideWhenUsed/>
    <w:rsid w:val="002C7F1D"/>
    <w:pPr>
      <w:tabs>
        <w:tab w:val="right" w:leader="dot" w:pos="9962"/>
      </w:tabs>
      <w:spacing w:after="0" w:line="240" w:lineRule="auto"/>
      <w:contextualSpacing/>
    </w:pPr>
    <w:rPr>
      <w:rFonts w:ascii="Calibri" w:eastAsia="Times New Roman" w:hAnsi="Calibri" w:cs="Times New Roman"/>
      <w:b/>
      <w:noProof/>
      <w:spacing w:val="15"/>
      <w:sz w:val="18"/>
      <w:szCs w:val="18"/>
    </w:rPr>
  </w:style>
  <w:style w:type="paragraph" w:styleId="TOAHeading">
    <w:name w:val="toa heading"/>
    <w:basedOn w:val="Normal"/>
    <w:next w:val="Normal"/>
    <w:uiPriority w:val="99"/>
    <w:semiHidden/>
    <w:unhideWhenUsed/>
    <w:rsid w:val="00F43BCB"/>
    <w:pPr>
      <w:spacing w:before="120" w:after="200" w:line="276" w:lineRule="auto"/>
    </w:pPr>
    <w:rPr>
      <w:rFonts w:ascii="Calibri Light" w:eastAsia="Times New Roman" w:hAnsi="Calibri Light" w:cs="Times New Roman"/>
      <w:b/>
      <w:bCs/>
      <w:sz w:val="24"/>
      <w:szCs w:val="24"/>
    </w:rPr>
  </w:style>
  <w:style w:type="paragraph" w:styleId="TOC2">
    <w:name w:val="toc 2"/>
    <w:basedOn w:val="Normal"/>
    <w:next w:val="Normal"/>
    <w:autoRedefine/>
    <w:uiPriority w:val="39"/>
    <w:unhideWhenUsed/>
    <w:rsid w:val="002C7F1D"/>
    <w:pPr>
      <w:tabs>
        <w:tab w:val="right" w:leader="dot" w:pos="9962"/>
      </w:tabs>
      <w:spacing w:after="0" w:line="240" w:lineRule="auto"/>
      <w:ind w:left="202"/>
    </w:pPr>
    <w:rPr>
      <w:rFonts w:ascii="Calibri" w:eastAsia="Times New Roman" w:hAnsi="Calibri" w:cs="Times New Roman"/>
      <w:sz w:val="20"/>
      <w:szCs w:val="20"/>
    </w:rPr>
  </w:style>
  <w:style w:type="paragraph" w:styleId="TOC3">
    <w:name w:val="toc 3"/>
    <w:basedOn w:val="Normal"/>
    <w:next w:val="Normal"/>
    <w:autoRedefine/>
    <w:uiPriority w:val="39"/>
    <w:unhideWhenUsed/>
    <w:rsid w:val="00F43BCB"/>
    <w:pPr>
      <w:spacing w:before="100" w:after="200" w:line="276" w:lineRule="auto"/>
      <w:ind w:left="400"/>
    </w:pPr>
    <w:rPr>
      <w:rFonts w:ascii="Calibri" w:eastAsia="Times New Roman" w:hAnsi="Calibri" w:cs="Times New Roman"/>
      <w:sz w:val="20"/>
      <w:szCs w:val="20"/>
    </w:rPr>
  </w:style>
  <w:style w:type="paragraph" w:styleId="Revision">
    <w:name w:val="Revision"/>
    <w:hidden/>
    <w:uiPriority w:val="99"/>
    <w:semiHidden/>
    <w:rsid w:val="00F43BCB"/>
    <w:pPr>
      <w:spacing w:after="0" w:line="240" w:lineRule="auto"/>
    </w:pPr>
    <w:rPr>
      <w:rFonts w:ascii="Calibri" w:eastAsia="Times New Roman" w:hAnsi="Calibri" w:cs="Times New Roman"/>
      <w:sz w:val="20"/>
      <w:szCs w:val="20"/>
    </w:rPr>
  </w:style>
  <w:style w:type="character" w:styleId="CommentReference">
    <w:name w:val="annotation reference"/>
    <w:basedOn w:val="DefaultParagraphFont"/>
    <w:uiPriority w:val="99"/>
    <w:semiHidden/>
    <w:unhideWhenUsed/>
    <w:rsid w:val="00F43BCB"/>
    <w:rPr>
      <w:sz w:val="16"/>
      <w:szCs w:val="16"/>
    </w:rPr>
  </w:style>
  <w:style w:type="paragraph" w:styleId="CommentText">
    <w:name w:val="annotation text"/>
    <w:basedOn w:val="Normal"/>
    <w:link w:val="CommentTextChar"/>
    <w:uiPriority w:val="99"/>
    <w:semiHidden/>
    <w:unhideWhenUsed/>
    <w:rsid w:val="00F43BCB"/>
    <w:pPr>
      <w:spacing w:before="100" w:after="200"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F43BCB"/>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F43BCB"/>
    <w:rPr>
      <w:b/>
      <w:bCs/>
    </w:rPr>
  </w:style>
  <w:style w:type="character" w:customStyle="1" w:styleId="CommentSubjectChar">
    <w:name w:val="Comment Subject Char"/>
    <w:basedOn w:val="CommentTextChar"/>
    <w:link w:val="CommentSubject"/>
    <w:uiPriority w:val="99"/>
    <w:semiHidden/>
    <w:rsid w:val="00F43BCB"/>
    <w:rPr>
      <w:rFonts w:ascii="Calibri" w:eastAsia="Times New Roman" w:hAnsi="Calibri" w:cs="Times New Roman"/>
      <w:b/>
      <w:bCs/>
      <w:sz w:val="20"/>
      <w:szCs w:val="20"/>
    </w:rPr>
  </w:style>
  <w:style w:type="character" w:customStyle="1" w:styleId="offcite">
    <w:name w:val="offcite"/>
    <w:basedOn w:val="DefaultParagraphFont"/>
    <w:rsid w:val="006F5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210327">
      <w:bodyDiv w:val="1"/>
      <w:marLeft w:val="0"/>
      <w:marRight w:val="0"/>
      <w:marTop w:val="0"/>
      <w:marBottom w:val="0"/>
      <w:divBdr>
        <w:top w:val="none" w:sz="0" w:space="0" w:color="auto"/>
        <w:left w:val="none" w:sz="0" w:space="0" w:color="auto"/>
        <w:bottom w:val="none" w:sz="0" w:space="0" w:color="auto"/>
        <w:right w:val="none" w:sz="0" w:space="0" w:color="auto"/>
      </w:divBdr>
    </w:div>
    <w:div w:id="307588519">
      <w:bodyDiv w:val="1"/>
      <w:marLeft w:val="0"/>
      <w:marRight w:val="0"/>
      <w:marTop w:val="0"/>
      <w:marBottom w:val="0"/>
      <w:divBdr>
        <w:top w:val="none" w:sz="0" w:space="0" w:color="auto"/>
        <w:left w:val="none" w:sz="0" w:space="0" w:color="auto"/>
        <w:bottom w:val="none" w:sz="0" w:space="0" w:color="auto"/>
        <w:right w:val="none" w:sz="0" w:space="0" w:color="auto"/>
      </w:divBdr>
      <w:divsChild>
        <w:div w:id="1822455841">
          <w:marLeft w:val="0"/>
          <w:marRight w:val="0"/>
          <w:marTop w:val="0"/>
          <w:marBottom w:val="0"/>
          <w:divBdr>
            <w:top w:val="none" w:sz="0" w:space="0" w:color="auto"/>
            <w:left w:val="none" w:sz="0" w:space="0" w:color="auto"/>
            <w:bottom w:val="none" w:sz="0" w:space="0" w:color="auto"/>
            <w:right w:val="none" w:sz="0" w:space="0" w:color="auto"/>
          </w:divBdr>
        </w:div>
        <w:div w:id="1123771084">
          <w:marLeft w:val="0"/>
          <w:marRight w:val="0"/>
          <w:marTop w:val="0"/>
          <w:marBottom w:val="0"/>
          <w:divBdr>
            <w:top w:val="none" w:sz="0" w:space="0" w:color="auto"/>
            <w:left w:val="none" w:sz="0" w:space="0" w:color="auto"/>
            <w:bottom w:val="none" w:sz="0" w:space="0" w:color="auto"/>
            <w:right w:val="none" w:sz="0" w:space="0" w:color="auto"/>
          </w:divBdr>
        </w:div>
        <w:div w:id="1305962620">
          <w:marLeft w:val="0"/>
          <w:marRight w:val="0"/>
          <w:marTop w:val="0"/>
          <w:marBottom w:val="0"/>
          <w:divBdr>
            <w:top w:val="none" w:sz="0" w:space="0" w:color="auto"/>
            <w:left w:val="none" w:sz="0" w:space="0" w:color="auto"/>
            <w:bottom w:val="none" w:sz="0" w:space="0" w:color="auto"/>
            <w:right w:val="none" w:sz="0" w:space="0" w:color="auto"/>
          </w:divBdr>
        </w:div>
        <w:div w:id="196507069">
          <w:marLeft w:val="0"/>
          <w:marRight w:val="0"/>
          <w:marTop w:val="0"/>
          <w:marBottom w:val="0"/>
          <w:divBdr>
            <w:top w:val="none" w:sz="0" w:space="0" w:color="auto"/>
            <w:left w:val="none" w:sz="0" w:space="0" w:color="auto"/>
            <w:bottom w:val="none" w:sz="0" w:space="0" w:color="auto"/>
            <w:right w:val="none" w:sz="0" w:space="0" w:color="auto"/>
          </w:divBdr>
        </w:div>
        <w:div w:id="221452051">
          <w:marLeft w:val="0"/>
          <w:marRight w:val="0"/>
          <w:marTop w:val="0"/>
          <w:marBottom w:val="0"/>
          <w:divBdr>
            <w:top w:val="none" w:sz="0" w:space="0" w:color="auto"/>
            <w:left w:val="none" w:sz="0" w:space="0" w:color="auto"/>
            <w:bottom w:val="none" w:sz="0" w:space="0" w:color="auto"/>
            <w:right w:val="none" w:sz="0" w:space="0" w:color="auto"/>
          </w:divBdr>
        </w:div>
        <w:div w:id="1307198538">
          <w:marLeft w:val="0"/>
          <w:marRight w:val="0"/>
          <w:marTop w:val="0"/>
          <w:marBottom w:val="0"/>
          <w:divBdr>
            <w:top w:val="none" w:sz="0" w:space="0" w:color="auto"/>
            <w:left w:val="none" w:sz="0" w:space="0" w:color="auto"/>
            <w:bottom w:val="none" w:sz="0" w:space="0" w:color="auto"/>
            <w:right w:val="none" w:sz="0" w:space="0" w:color="auto"/>
          </w:divBdr>
        </w:div>
        <w:div w:id="1676375147">
          <w:marLeft w:val="0"/>
          <w:marRight w:val="0"/>
          <w:marTop w:val="0"/>
          <w:marBottom w:val="0"/>
          <w:divBdr>
            <w:top w:val="none" w:sz="0" w:space="0" w:color="auto"/>
            <w:left w:val="none" w:sz="0" w:space="0" w:color="auto"/>
            <w:bottom w:val="none" w:sz="0" w:space="0" w:color="auto"/>
            <w:right w:val="none" w:sz="0" w:space="0" w:color="auto"/>
          </w:divBdr>
        </w:div>
        <w:div w:id="1635864740">
          <w:marLeft w:val="0"/>
          <w:marRight w:val="0"/>
          <w:marTop w:val="0"/>
          <w:marBottom w:val="0"/>
          <w:divBdr>
            <w:top w:val="none" w:sz="0" w:space="0" w:color="auto"/>
            <w:left w:val="none" w:sz="0" w:space="0" w:color="auto"/>
            <w:bottom w:val="none" w:sz="0" w:space="0" w:color="auto"/>
            <w:right w:val="none" w:sz="0" w:space="0" w:color="auto"/>
          </w:divBdr>
        </w:div>
        <w:div w:id="1428892876">
          <w:marLeft w:val="0"/>
          <w:marRight w:val="0"/>
          <w:marTop w:val="0"/>
          <w:marBottom w:val="0"/>
          <w:divBdr>
            <w:top w:val="none" w:sz="0" w:space="0" w:color="auto"/>
            <w:left w:val="none" w:sz="0" w:space="0" w:color="auto"/>
            <w:bottom w:val="none" w:sz="0" w:space="0" w:color="auto"/>
            <w:right w:val="none" w:sz="0" w:space="0" w:color="auto"/>
          </w:divBdr>
        </w:div>
      </w:divsChild>
    </w:div>
    <w:div w:id="1604266056">
      <w:bodyDiv w:val="1"/>
      <w:marLeft w:val="0"/>
      <w:marRight w:val="0"/>
      <w:marTop w:val="0"/>
      <w:marBottom w:val="0"/>
      <w:divBdr>
        <w:top w:val="none" w:sz="0" w:space="0" w:color="auto"/>
        <w:left w:val="none" w:sz="0" w:space="0" w:color="auto"/>
        <w:bottom w:val="none" w:sz="0" w:space="0" w:color="auto"/>
        <w:right w:val="none" w:sz="0" w:space="0" w:color="auto"/>
      </w:divBdr>
      <w:divsChild>
        <w:div w:id="1815754699">
          <w:marLeft w:val="0"/>
          <w:marRight w:val="0"/>
          <w:marTop w:val="0"/>
          <w:marBottom w:val="0"/>
          <w:divBdr>
            <w:top w:val="none" w:sz="0" w:space="0" w:color="auto"/>
            <w:left w:val="none" w:sz="0" w:space="0" w:color="auto"/>
            <w:bottom w:val="none" w:sz="0" w:space="0" w:color="auto"/>
            <w:right w:val="none" w:sz="0" w:space="0" w:color="auto"/>
          </w:divBdr>
        </w:div>
        <w:div w:id="2060201814">
          <w:marLeft w:val="0"/>
          <w:marRight w:val="0"/>
          <w:marTop w:val="0"/>
          <w:marBottom w:val="0"/>
          <w:divBdr>
            <w:top w:val="none" w:sz="0" w:space="0" w:color="auto"/>
            <w:left w:val="none" w:sz="0" w:space="0" w:color="auto"/>
            <w:bottom w:val="none" w:sz="0" w:space="0" w:color="auto"/>
            <w:right w:val="none" w:sz="0" w:space="0" w:color="auto"/>
          </w:divBdr>
        </w:div>
        <w:div w:id="244455490">
          <w:marLeft w:val="0"/>
          <w:marRight w:val="0"/>
          <w:marTop w:val="0"/>
          <w:marBottom w:val="0"/>
          <w:divBdr>
            <w:top w:val="none" w:sz="0" w:space="0" w:color="auto"/>
            <w:left w:val="none" w:sz="0" w:space="0" w:color="auto"/>
            <w:bottom w:val="none" w:sz="0" w:space="0" w:color="auto"/>
            <w:right w:val="none" w:sz="0" w:space="0" w:color="auto"/>
          </w:divBdr>
        </w:div>
        <w:div w:id="507526884">
          <w:marLeft w:val="0"/>
          <w:marRight w:val="0"/>
          <w:marTop w:val="0"/>
          <w:marBottom w:val="0"/>
          <w:divBdr>
            <w:top w:val="none" w:sz="0" w:space="0" w:color="auto"/>
            <w:left w:val="none" w:sz="0" w:space="0" w:color="auto"/>
            <w:bottom w:val="none" w:sz="0" w:space="0" w:color="auto"/>
            <w:right w:val="none" w:sz="0" w:space="0" w:color="auto"/>
          </w:divBdr>
        </w:div>
        <w:div w:id="1025248030">
          <w:marLeft w:val="0"/>
          <w:marRight w:val="0"/>
          <w:marTop w:val="0"/>
          <w:marBottom w:val="0"/>
          <w:divBdr>
            <w:top w:val="none" w:sz="0" w:space="0" w:color="auto"/>
            <w:left w:val="none" w:sz="0" w:space="0" w:color="auto"/>
            <w:bottom w:val="none" w:sz="0" w:space="0" w:color="auto"/>
            <w:right w:val="none" w:sz="0" w:space="0" w:color="auto"/>
          </w:divBdr>
        </w:div>
        <w:div w:id="2026133686">
          <w:marLeft w:val="0"/>
          <w:marRight w:val="0"/>
          <w:marTop w:val="0"/>
          <w:marBottom w:val="0"/>
          <w:divBdr>
            <w:top w:val="none" w:sz="0" w:space="0" w:color="auto"/>
            <w:left w:val="none" w:sz="0" w:space="0" w:color="auto"/>
            <w:bottom w:val="none" w:sz="0" w:space="0" w:color="auto"/>
            <w:right w:val="none" w:sz="0" w:space="0" w:color="auto"/>
          </w:divBdr>
        </w:div>
      </w:divsChild>
    </w:div>
    <w:div w:id="1868564131">
      <w:bodyDiv w:val="1"/>
      <w:marLeft w:val="0"/>
      <w:marRight w:val="0"/>
      <w:marTop w:val="0"/>
      <w:marBottom w:val="0"/>
      <w:divBdr>
        <w:top w:val="none" w:sz="0" w:space="0" w:color="auto"/>
        <w:left w:val="none" w:sz="0" w:space="0" w:color="auto"/>
        <w:bottom w:val="none" w:sz="0" w:space="0" w:color="auto"/>
        <w:right w:val="none" w:sz="0" w:space="0" w:color="auto"/>
      </w:divBdr>
      <w:divsChild>
        <w:div w:id="2101683574">
          <w:marLeft w:val="0"/>
          <w:marRight w:val="0"/>
          <w:marTop w:val="0"/>
          <w:marBottom w:val="0"/>
          <w:divBdr>
            <w:top w:val="none" w:sz="0" w:space="0" w:color="auto"/>
            <w:left w:val="none" w:sz="0" w:space="0" w:color="auto"/>
            <w:bottom w:val="none" w:sz="0" w:space="0" w:color="auto"/>
            <w:right w:val="none" w:sz="0" w:space="0" w:color="auto"/>
          </w:divBdr>
        </w:div>
        <w:div w:id="738984126">
          <w:marLeft w:val="0"/>
          <w:marRight w:val="0"/>
          <w:marTop w:val="0"/>
          <w:marBottom w:val="0"/>
          <w:divBdr>
            <w:top w:val="none" w:sz="0" w:space="0" w:color="auto"/>
            <w:left w:val="none" w:sz="0" w:space="0" w:color="auto"/>
            <w:bottom w:val="none" w:sz="0" w:space="0" w:color="auto"/>
            <w:right w:val="none" w:sz="0" w:space="0" w:color="auto"/>
          </w:divBdr>
        </w:div>
        <w:div w:id="116265822">
          <w:marLeft w:val="0"/>
          <w:marRight w:val="0"/>
          <w:marTop w:val="0"/>
          <w:marBottom w:val="0"/>
          <w:divBdr>
            <w:top w:val="none" w:sz="0" w:space="0" w:color="auto"/>
            <w:left w:val="none" w:sz="0" w:space="0" w:color="auto"/>
            <w:bottom w:val="none" w:sz="0" w:space="0" w:color="auto"/>
            <w:right w:val="none" w:sz="0" w:space="0" w:color="auto"/>
          </w:divBdr>
        </w:div>
        <w:div w:id="22437367">
          <w:marLeft w:val="0"/>
          <w:marRight w:val="0"/>
          <w:marTop w:val="0"/>
          <w:marBottom w:val="0"/>
          <w:divBdr>
            <w:top w:val="none" w:sz="0" w:space="0" w:color="auto"/>
            <w:left w:val="none" w:sz="0" w:space="0" w:color="auto"/>
            <w:bottom w:val="none" w:sz="0" w:space="0" w:color="auto"/>
            <w:right w:val="none" w:sz="0" w:space="0" w:color="auto"/>
          </w:divBdr>
        </w:div>
        <w:div w:id="1776947030">
          <w:marLeft w:val="0"/>
          <w:marRight w:val="0"/>
          <w:marTop w:val="0"/>
          <w:marBottom w:val="0"/>
          <w:divBdr>
            <w:top w:val="none" w:sz="0" w:space="0" w:color="auto"/>
            <w:left w:val="none" w:sz="0" w:space="0" w:color="auto"/>
            <w:bottom w:val="none" w:sz="0" w:space="0" w:color="auto"/>
            <w:right w:val="none" w:sz="0" w:space="0" w:color="auto"/>
          </w:divBdr>
        </w:div>
        <w:div w:id="1916741352">
          <w:marLeft w:val="0"/>
          <w:marRight w:val="0"/>
          <w:marTop w:val="0"/>
          <w:marBottom w:val="0"/>
          <w:divBdr>
            <w:top w:val="none" w:sz="0" w:space="0" w:color="auto"/>
            <w:left w:val="none" w:sz="0" w:space="0" w:color="auto"/>
            <w:bottom w:val="none" w:sz="0" w:space="0" w:color="auto"/>
            <w:right w:val="none" w:sz="0" w:space="0" w:color="auto"/>
          </w:divBdr>
        </w:div>
        <w:div w:id="851803173">
          <w:marLeft w:val="0"/>
          <w:marRight w:val="0"/>
          <w:marTop w:val="0"/>
          <w:marBottom w:val="0"/>
          <w:divBdr>
            <w:top w:val="none" w:sz="0" w:space="0" w:color="auto"/>
            <w:left w:val="none" w:sz="0" w:space="0" w:color="auto"/>
            <w:bottom w:val="none" w:sz="0" w:space="0" w:color="auto"/>
            <w:right w:val="none" w:sz="0" w:space="0" w:color="auto"/>
          </w:divBdr>
        </w:div>
        <w:div w:id="1039553620">
          <w:marLeft w:val="0"/>
          <w:marRight w:val="0"/>
          <w:marTop w:val="0"/>
          <w:marBottom w:val="0"/>
          <w:divBdr>
            <w:top w:val="none" w:sz="0" w:space="0" w:color="auto"/>
            <w:left w:val="none" w:sz="0" w:space="0" w:color="auto"/>
            <w:bottom w:val="none" w:sz="0" w:space="0" w:color="auto"/>
            <w:right w:val="none" w:sz="0" w:space="0" w:color="auto"/>
          </w:divBdr>
        </w:div>
        <w:div w:id="931091222">
          <w:marLeft w:val="0"/>
          <w:marRight w:val="0"/>
          <w:marTop w:val="0"/>
          <w:marBottom w:val="0"/>
          <w:divBdr>
            <w:top w:val="none" w:sz="0" w:space="0" w:color="auto"/>
            <w:left w:val="none" w:sz="0" w:space="0" w:color="auto"/>
            <w:bottom w:val="none" w:sz="0" w:space="0" w:color="auto"/>
            <w:right w:val="none" w:sz="0" w:space="0" w:color="auto"/>
          </w:divBdr>
        </w:div>
        <w:div w:id="213857005">
          <w:marLeft w:val="0"/>
          <w:marRight w:val="0"/>
          <w:marTop w:val="0"/>
          <w:marBottom w:val="0"/>
          <w:divBdr>
            <w:top w:val="none" w:sz="0" w:space="0" w:color="auto"/>
            <w:left w:val="none" w:sz="0" w:space="0" w:color="auto"/>
            <w:bottom w:val="none" w:sz="0" w:space="0" w:color="auto"/>
            <w:right w:val="none" w:sz="0" w:space="0" w:color="auto"/>
          </w:divBdr>
        </w:div>
        <w:div w:id="896821004">
          <w:marLeft w:val="0"/>
          <w:marRight w:val="0"/>
          <w:marTop w:val="0"/>
          <w:marBottom w:val="0"/>
          <w:divBdr>
            <w:top w:val="none" w:sz="0" w:space="0" w:color="auto"/>
            <w:left w:val="none" w:sz="0" w:space="0" w:color="auto"/>
            <w:bottom w:val="none" w:sz="0" w:space="0" w:color="auto"/>
            <w:right w:val="none" w:sz="0" w:space="0" w:color="auto"/>
          </w:divBdr>
        </w:div>
        <w:div w:id="1458601777">
          <w:marLeft w:val="0"/>
          <w:marRight w:val="0"/>
          <w:marTop w:val="0"/>
          <w:marBottom w:val="0"/>
          <w:divBdr>
            <w:top w:val="none" w:sz="0" w:space="0" w:color="auto"/>
            <w:left w:val="none" w:sz="0" w:space="0" w:color="auto"/>
            <w:bottom w:val="none" w:sz="0" w:space="0" w:color="auto"/>
            <w:right w:val="none" w:sz="0" w:space="0" w:color="auto"/>
          </w:divBdr>
        </w:div>
        <w:div w:id="815027082">
          <w:marLeft w:val="0"/>
          <w:marRight w:val="0"/>
          <w:marTop w:val="0"/>
          <w:marBottom w:val="0"/>
          <w:divBdr>
            <w:top w:val="none" w:sz="0" w:space="0" w:color="auto"/>
            <w:left w:val="none" w:sz="0" w:space="0" w:color="auto"/>
            <w:bottom w:val="none" w:sz="0" w:space="0" w:color="auto"/>
            <w:right w:val="none" w:sz="0" w:space="0" w:color="auto"/>
          </w:divBdr>
        </w:div>
        <w:div w:id="72898763">
          <w:marLeft w:val="0"/>
          <w:marRight w:val="0"/>
          <w:marTop w:val="0"/>
          <w:marBottom w:val="0"/>
          <w:divBdr>
            <w:top w:val="none" w:sz="0" w:space="0" w:color="auto"/>
            <w:left w:val="none" w:sz="0" w:space="0" w:color="auto"/>
            <w:bottom w:val="none" w:sz="0" w:space="0" w:color="auto"/>
            <w:right w:val="none" w:sz="0" w:space="0" w:color="auto"/>
          </w:divBdr>
        </w:div>
        <w:div w:id="1944799437">
          <w:marLeft w:val="0"/>
          <w:marRight w:val="0"/>
          <w:marTop w:val="0"/>
          <w:marBottom w:val="0"/>
          <w:divBdr>
            <w:top w:val="none" w:sz="0" w:space="0" w:color="auto"/>
            <w:left w:val="none" w:sz="0" w:space="0" w:color="auto"/>
            <w:bottom w:val="none" w:sz="0" w:space="0" w:color="auto"/>
            <w:right w:val="none" w:sz="0" w:space="0" w:color="auto"/>
          </w:divBdr>
        </w:div>
        <w:div w:id="87818256">
          <w:marLeft w:val="0"/>
          <w:marRight w:val="0"/>
          <w:marTop w:val="0"/>
          <w:marBottom w:val="0"/>
          <w:divBdr>
            <w:top w:val="none" w:sz="0" w:space="0" w:color="auto"/>
            <w:left w:val="none" w:sz="0" w:space="0" w:color="auto"/>
            <w:bottom w:val="none" w:sz="0" w:space="0" w:color="auto"/>
            <w:right w:val="none" w:sz="0" w:space="0" w:color="auto"/>
          </w:divBdr>
        </w:div>
        <w:div w:id="1704401938">
          <w:marLeft w:val="0"/>
          <w:marRight w:val="0"/>
          <w:marTop w:val="0"/>
          <w:marBottom w:val="0"/>
          <w:divBdr>
            <w:top w:val="none" w:sz="0" w:space="0" w:color="auto"/>
            <w:left w:val="none" w:sz="0" w:space="0" w:color="auto"/>
            <w:bottom w:val="none" w:sz="0" w:space="0" w:color="auto"/>
            <w:right w:val="none" w:sz="0" w:space="0" w:color="auto"/>
          </w:divBdr>
        </w:div>
        <w:div w:id="1808355944">
          <w:marLeft w:val="0"/>
          <w:marRight w:val="0"/>
          <w:marTop w:val="0"/>
          <w:marBottom w:val="0"/>
          <w:divBdr>
            <w:top w:val="none" w:sz="0" w:space="0" w:color="auto"/>
            <w:left w:val="none" w:sz="0" w:space="0" w:color="auto"/>
            <w:bottom w:val="none" w:sz="0" w:space="0" w:color="auto"/>
            <w:right w:val="none" w:sz="0" w:space="0" w:color="auto"/>
          </w:divBdr>
        </w:div>
        <w:div w:id="2029019256">
          <w:marLeft w:val="0"/>
          <w:marRight w:val="0"/>
          <w:marTop w:val="0"/>
          <w:marBottom w:val="0"/>
          <w:divBdr>
            <w:top w:val="none" w:sz="0" w:space="0" w:color="auto"/>
            <w:left w:val="none" w:sz="0" w:space="0" w:color="auto"/>
            <w:bottom w:val="none" w:sz="0" w:space="0" w:color="auto"/>
            <w:right w:val="none" w:sz="0" w:space="0" w:color="auto"/>
          </w:divBdr>
        </w:div>
        <w:div w:id="23679332">
          <w:marLeft w:val="0"/>
          <w:marRight w:val="0"/>
          <w:marTop w:val="0"/>
          <w:marBottom w:val="0"/>
          <w:divBdr>
            <w:top w:val="none" w:sz="0" w:space="0" w:color="auto"/>
            <w:left w:val="none" w:sz="0" w:space="0" w:color="auto"/>
            <w:bottom w:val="none" w:sz="0" w:space="0" w:color="auto"/>
            <w:right w:val="none" w:sz="0" w:space="0" w:color="auto"/>
          </w:divBdr>
        </w:div>
        <w:div w:id="45302750">
          <w:marLeft w:val="0"/>
          <w:marRight w:val="0"/>
          <w:marTop w:val="0"/>
          <w:marBottom w:val="0"/>
          <w:divBdr>
            <w:top w:val="none" w:sz="0" w:space="0" w:color="auto"/>
            <w:left w:val="none" w:sz="0" w:space="0" w:color="auto"/>
            <w:bottom w:val="none" w:sz="0" w:space="0" w:color="auto"/>
            <w:right w:val="none" w:sz="0" w:space="0" w:color="auto"/>
          </w:divBdr>
        </w:div>
        <w:div w:id="811752909">
          <w:marLeft w:val="0"/>
          <w:marRight w:val="0"/>
          <w:marTop w:val="0"/>
          <w:marBottom w:val="0"/>
          <w:divBdr>
            <w:top w:val="none" w:sz="0" w:space="0" w:color="auto"/>
            <w:left w:val="none" w:sz="0" w:space="0" w:color="auto"/>
            <w:bottom w:val="none" w:sz="0" w:space="0" w:color="auto"/>
            <w:right w:val="none" w:sz="0" w:space="0" w:color="auto"/>
          </w:divBdr>
        </w:div>
        <w:div w:id="755782439">
          <w:marLeft w:val="0"/>
          <w:marRight w:val="0"/>
          <w:marTop w:val="0"/>
          <w:marBottom w:val="0"/>
          <w:divBdr>
            <w:top w:val="none" w:sz="0" w:space="0" w:color="auto"/>
            <w:left w:val="none" w:sz="0" w:space="0" w:color="auto"/>
            <w:bottom w:val="none" w:sz="0" w:space="0" w:color="auto"/>
            <w:right w:val="none" w:sz="0" w:space="0" w:color="auto"/>
          </w:divBdr>
        </w:div>
        <w:div w:id="478115799">
          <w:marLeft w:val="0"/>
          <w:marRight w:val="0"/>
          <w:marTop w:val="0"/>
          <w:marBottom w:val="0"/>
          <w:divBdr>
            <w:top w:val="none" w:sz="0" w:space="0" w:color="auto"/>
            <w:left w:val="none" w:sz="0" w:space="0" w:color="auto"/>
            <w:bottom w:val="none" w:sz="0" w:space="0" w:color="auto"/>
            <w:right w:val="none" w:sz="0" w:space="0" w:color="auto"/>
          </w:divBdr>
        </w:div>
        <w:div w:id="577639231">
          <w:marLeft w:val="0"/>
          <w:marRight w:val="0"/>
          <w:marTop w:val="0"/>
          <w:marBottom w:val="0"/>
          <w:divBdr>
            <w:top w:val="none" w:sz="0" w:space="0" w:color="auto"/>
            <w:left w:val="none" w:sz="0" w:space="0" w:color="auto"/>
            <w:bottom w:val="none" w:sz="0" w:space="0" w:color="auto"/>
            <w:right w:val="none" w:sz="0" w:space="0" w:color="auto"/>
          </w:divBdr>
        </w:div>
      </w:divsChild>
    </w:div>
    <w:div w:id="1937708171">
      <w:bodyDiv w:val="1"/>
      <w:marLeft w:val="0"/>
      <w:marRight w:val="0"/>
      <w:marTop w:val="0"/>
      <w:marBottom w:val="0"/>
      <w:divBdr>
        <w:top w:val="none" w:sz="0" w:space="0" w:color="auto"/>
        <w:left w:val="none" w:sz="0" w:space="0" w:color="auto"/>
        <w:bottom w:val="none" w:sz="0" w:space="0" w:color="auto"/>
        <w:right w:val="none" w:sz="0" w:space="0" w:color="auto"/>
      </w:divBdr>
    </w:div>
    <w:div w:id="1954559226">
      <w:bodyDiv w:val="1"/>
      <w:marLeft w:val="0"/>
      <w:marRight w:val="0"/>
      <w:marTop w:val="0"/>
      <w:marBottom w:val="0"/>
      <w:divBdr>
        <w:top w:val="none" w:sz="0" w:space="0" w:color="auto"/>
        <w:left w:val="none" w:sz="0" w:space="0" w:color="auto"/>
        <w:bottom w:val="none" w:sz="0" w:space="0" w:color="auto"/>
        <w:right w:val="none" w:sz="0" w:space="0" w:color="auto"/>
      </w:divBdr>
      <w:divsChild>
        <w:div w:id="1490709179">
          <w:marLeft w:val="0"/>
          <w:marRight w:val="0"/>
          <w:marTop w:val="0"/>
          <w:marBottom w:val="0"/>
          <w:divBdr>
            <w:top w:val="none" w:sz="0" w:space="0" w:color="auto"/>
            <w:left w:val="none" w:sz="0" w:space="0" w:color="auto"/>
            <w:bottom w:val="none" w:sz="0" w:space="0" w:color="auto"/>
            <w:right w:val="none" w:sz="0" w:space="0" w:color="auto"/>
          </w:divBdr>
        </w:div>
        <w:div w:id="1091514635">
          <w:marLeft w:val="0"/>
          <w:marRight w:val="0"/>
          <w:marTop w:val="0"/>
          <w:marBottom w:val="0"/>
          <w:divBdr>
            <w:top w:val="none" w:sz="0" w:space="0" w:color="auto"/>
            <w:left w:val="none" w:sz="0" w:space="0" w:color="auto"/>
            <w:bottom w:val="none" w:sz="0" w:space="0" w:color="auto"/>
            <w:right w:val="none" w:sz="0" w:space="0" w:color="auto"/>
          </w:divBdr>
        </w:div>
        <w:div w:id="2116705988">
          <w:marLeft w:val="0"/>
          <w:marRight w:val="0"/>
          <w:marTop w:val="0"/>
          <w:marBottom w:val="0"/>
          <w:divBdr>
            <w:top w:val="none" w:sz="0" w:space="0" w:color="auto"/>
            <w:left w:val="none" w:sz="0" w:space="0" w:color="auto"/>
            <w:bottom w:val="none" w:sz="0" w:space="0" w:color="auto"/>
            <w:right w:val="none" w:sz="0" w:space="0" w:color="auto"/>
          </w:divBdr>
        </w:div>
        <w:div w:id="534536808">
          <w:marLeft w:val="0"/>
          <w:marRight w:val="0"/>
          <w:marTop w:val="0"/>
          <w:marBottom w:val="0"/>
          <w:divBdr>
            <w:top w:val="none" w:sz="0" w:space="0" w:color="auto"/>
            <w:left w:val="none" w:sz="0" w:space="0" w:color="auto"/>
            <w:bottom w:val="none" w:sz="0" w:space="0" w:color="auto"/>
            <w:right w:val="none" w:sz="0" w:space="0" w:color="auto"/>
          </w:divBdr>
        </w:div>
        <w:div w:id="1177576659">
          <w:marLeft w:val="0"/>
          <w:marRight w:val="0"/>
          <w:marTop w:val="0"/>
          <w:marBottom w:val="0"/>
          <w:divBdr>
            <w:top w:val="none" w:sz="0" w:space="0" w:color="auto"/>
            <w:left w:val="none" w:sz="0" w:space="0" w:color="auto"/>
            <w:bottom w:val="none" w:sz="0" w:space="0" w:color="auto"/>
            <w:right w:val="none" w:sz="0" w:space="0" w:color="auto"/>
          </w:divBdr>
        </w:div>
        <w:div w:id="337080965">
          <w:marLeft w:val="0"/>
          <w:marRight w:val="0"/>
          <w:marTop w:val="0"/>
          <w:marBottom w:val="0"/>
          <w:divBdr>
            <w:top w:val="none" w:sz="0" w:space="0" w:color="auto"/>
            <w:left w:val="none" w:sz="0" w:space="0" w:color="auto"/>
            <w:bottom w:val="none" w:sz="0" w:space="0" w:color="auto"/>
            <w:right w:val="none" w:sz="0" w:space="0" w:color="auto"/>
          </w:divBdr>
        </w:div>
        <w:div w:id="2013145631">
          <w:marLeft w:val="0"/>
          <w:marRight w:val="0"/>
          <w:marTop w:val="0"/>
          <w:marBottom w:val="0"/>
          <w:divBdr>
            <w:top w:val="none" w:sz="0" w:space="0" w:color="auto"/>
            <w:left w:val="none" w:sz="0" w:space="0" w:color="auto"/>
            <w:bottom w:val="none" w:sz="0" w:space="0" w:color="auto"/>
            <w:right w:val="none" w:sz="0" w:space="0" w:color="auto"/>
          </w:divBdr>
        </w:div>
        <w:div w:id="2015372030">
          <w:marLeft w:val="0"/>
          <w:marRight w:val="0"/>
          <w:marTop w:val="0"/>
          <w:marBottom w:val="0"/>
          <w:divBdr>
            <w:top w:val="none" w:sz="0" w:space="0" w:color="auto"/>
            <w:left w:val="none" w:sz="0" w:space="0" w:color="auto"/>
            <w:bottom w:val="none" w:sz="0" w:space="0" w:color="auto"/>
            <w:right w:val="none" w:sz="0" w:space="0" w:color="auto"/>
          </w:divBdr>
        </w:div>
        <w:div w:id="169637547">
          <w:marLeft w:val="0"/>
          <w:marRight w:val="0"/>
          <w:marTop w:val="0"/>
          <w:marBottom w:val="0"/>
          <w:divBdr>
            <w:top w:val="none" w:sz="0" w:space="0" w:color="auto"/>
            <w:left w:val="none" w:sz="0" w:space="0" w:color="auto"/>
            <w:bottom w:val="none" w:sz="0" w:space="0" w:color="auto"/>
            <w:right w:val="none" w:sz="0" w:space="0" w:color="auto"/>
          </w:divBdr>
        </w:div>
        <w:div w:id="701327408">
          <w:marLeft w:val="0"/>
          <w:marRight w:val="0"/>
          <w:marTop w:val="0"/>
          <w:marBottom w:val="0"/>
          <w:divBdr>
            <w:top w:val="none" w:sz="0" w:space="0" w:color="auto"/>
            <w:left w:val="none" w:sz="0" w:space="0" w:color="auto"/>
            <w:bottom w:val="none" w:sz="0" w:space="0" w:color="auto"/>
            <w:right w:val="none" w:sz="0" w:space="0" w:color="auto"/>
          </w:divBdr>
        </w:div>
        <w:div w:id="444541000">
          <w:marLeft w:val="0"/>
          <w:marRight w:val="0"/>
          <w:marTop w:val="0"/>
          <w:marBottom w:val="0"/>
          <w:divBdr>
            <w:top w:val="none" w:sz="0" w:space="0" w:color="auto"/>
            <w:left w:val="none" w:sz="0" w:space="0" w:color="auto"/>
            <w:bottom w:val="none" w:sz="0" w:space="0" w:color="auto"/>
            <w:right w:val="none" w:sz="0" w:space="0" w:color="auto"/>
          </w:divBdr>
        </w:div>
        <w:div w:id="1541283277">
          <w:marLeft w:val="0"/>
          <w:marRight w:val="0"/>
          <w:marTop w:val="0"/>
          <w:marBottom w:val="0"/>
          <w:divBdr>
            <w:top w:val="none" w:sz="0" w:space="0" w:color="auto"/>
            <w:left w:val="none" w:sz="0" w:space="0" w:color="auto"/>
            <w:bottom w:val="none" w:sz="0" w:space="0" w:color="auto"/>
            <w:right w:val="none" w:sz="0" w:space="0" w:color="auto"/>
          </w:divBdr>
        </w:div>
        <w:div w:id="1109470554">
          <w:marLeft w:val="0"/>
          <w:marRight w:val="0"/>
          <w:marTop w:val="0"/>
          <w:marBottom w:val="0"/>
          <w:divBdr>
            <w:top w:val="none" w:sz="0" w:space="0" w:color="auto"/>
            <w:left w:val="none" w:sz="0" w:space="0" w:color="auto"/>
            <w:bottom w:val="none" w:sz="0" w:space="0" w:color="auto"/>
            <w:right w:val="none" w:sz="0" w:space="0" w:color="auto"/>
          </w:divBdr>
        </w:div>
        <w:div w:id="2093891517">
          <w:marLeft w:val="0"/>
          <w:marRight w:val="0"/>
          <w:marTop w:val="0"/>
          <w:marBottom w:val="0"/>
          <w:divBdr>
            <w:top w:val="none" w:sz="0" w:space="0" w:color="auto"/>
            <w:left w:val="none" w:sz="0" w:space="0" w:color="auto"/>
            <w:bottom w:val="none" w:sz="0" w:space="0" w:color="auto"/>
            <w:right w:val="none" w:sz="0" w:space="0" w:color="auto"/>
          </w:divBdr>
        </w:div>
        <w:div w:id="1667785362">
          <w:marLeft w:val="0"/>
          <w:marRight w:val="0"/>
          <w:marTop w:val="0"/>
          <w:marBottom w:val="0"/>
          <w:divBdr>
            <w:top w:val="none" w:sz="0" w:space="0" w:color="auto"/>
            <w:left w:val="none" w:sz="0" w:space="0" w:color="auto"/>
            <w:bottom w:val="none" w:sz="0" w:space="0" w:color="auto"/>
            <w:right w:val="none" w:sz="0" w:space="0" w:color="auto"/>
          </w:divBdr>
        </w:div>
        <w:div w:id="760950791">
          <w:marLeft w:val="0"/>
          <w:marRight w:val="0"/>
          <w:marTop w:val="0"/>
          <w:marBottom w:val="0"/>
          <w:divBdr>
            <w:top w:val="none" w:sz="0" w:space="0" w:color="auto"/>
            <w:left w:val="none" w:sz="0" w:space="0" w:color="auto"/>
            <w:bottom w:val="none" w:sz="0" w:space="0" w:color="auto"/>
            <w:right w:val="none" w:sz="0" w:space="0" w:color="auto"/>
          </w:divBdr>
        </w:div>
        <w:div w:id="50731453">
          <w:marLeft w:val="0"/>
          <w:marRight w:val="0"/>
          <w:marTop w:val="0"/>
          <w:marBottom w:val="0"/>
          <w:divBdr>
            <w:top w:val="none" w:sz="0" w:space="0" w:color="auto"/>
            <w:left w:val="none" w:sz="0" w:space="0" w:color="auto"/>
            <w:bottom w:val="none" w:sz="0" w:space="0" w:color="auto"/>
            <w:right w:val="none" w:sz="0" w:space="0" w:color="auto"/>
          </w:divBdr>
        </w:div>
        <w:div w:id="1797992758">
          <w:marLeft w:val="0"/>
          <w:marRight w:val="0"/>
          <w:marTop w:val="0"/>
          <w:marBottom w:val="0"/>
          <w:divBdr>
            <w:top w:val="none" w:sz="0" w:space="0" w:color="auto"/>
            <w:left w:val="none" w:sz="0" w:space="0" w:color="auto"/>
            <w:bottom w:val="none" w:sz="0" w:space="0" w:color="auto"/>
            <w:right w:val="none" w:sz="0" w:space="0" w:color="auto"/>
          </w:divBdr>
        </w:div>
        <w:div w:id="1915242680">
          <w:marLeft w:val="0"/>
          <w:marRight w:val="0"/>
          <w:marTop w:val="0"/>
          <w:marBottom w:val="0"/>
          <w:divBdr>
            <w:top w:val="none" w:sz="0" w:space="0" w:color="auto"/>
            <w:left w:val="none" w:sz="0" w:space="0" w:color="auto"/>
            <w:bottom w:val="none" w:sz="0" w:space="0" w:color="auto"/>
            <w:right w:val="none" w:sz="0" w:space="0" w:color="auto"/>
          </w:divBdr>
        </w:div>
        <w:div w:id="1421830781">
          <w:marLeft w:val="0"/>
          <w:marRight w:val="0"/>
          <w:marTop w:val="0"/>
          <w:marBottom w:val="0"/>
          <w:divBdr>
            <w:top w:val="none" w:sz="0" w:space="0" w:color="auto"/>
            <w:left w:val="none" w:sz="0" w:space="0" w:color="auto"/>
            <w:bottom w:val="none" w:sz="0" w:space="0" w:color="auto"/>
            <w:right w:val="none" w:sz="0" w:space="0" w:color="auto"/>
          </w:divBdr>
        </w:div>
        <w:div w:id="1531452656">
          <w:marLeft w:val="0"/>
          <w:marRight w:val="0"/>
          <w:marTop w:val="0"/>
          <w:marBottom w:val="0"/>
          <w:divBdr>
            <w:top w:val="none" w:sz="0" w:space="0" w:color="auto"/>
            <w:left w:val="none" w:sz="0" w:space="0" w:color="auto"/>
            <w:bottom w:val="none" w:sz="0" w:space="0" w:color="auto"/>
            <w:right w:val="none" w:sz="0" w:space="0" w:color="auto"/>
          </w:divBdr>
        </w:div>
        <w:div w:id="633414592">
          <w:marLeft w:val="0"/>
          <w:marRight w:val="0"/>
          <w:marTop w:val="0"/>
          <w:marBottom w:val="0"/>
          <w:divBdr>
            <w:top w:val="none" w:sz="0" w:space="0" w:color="auto"/>
            <w:left w:val="none" w:sz="0" w:space="0" w:color="auto"/>
            <w:bottom w:val="none" w:sz="0" w:space="0" w:color="auto"/>
            <w:right w:val="none" w:sz="0" w:space="0" w:color="auto"/>
          </w:divBdr>
        </w:div>
        <w:div w:id="200170534">
          <w:marLeft w:val="0"/>
          <w:marRight w:val="0"/>
          <w:marTop w:val="0"/>
          <w:marBottom w:val="0"/>
          <w:divBdr>
            <w:top w:val="none" w:sz="0" w:space="0" w:color="auto"/>
            <w:left w:val="none" w:sz="0" w:space="0" w:color="auto"/>
            <w:bottom w:val="none" w:sz="0" w:space="0" w:color="auto"/>
            <w:right w:val="none" w:sz="0" w:space="0" w:color="auto"/>
          </w:divBdr>
        </w:div>
        <w:div w:id="1017661103">
          <w:marLeft w:val="0"/>
          <w:marRight w:val="0"/>
          <w:marTop w:val="0"/>
          <w:marBottom w:val="0"/>
          <w:divBdr>
            <w:top w:val="none" w:sz="0" w:space="0" w:color="auto"/>
            <w:left w:val="none" w:sz="0" w:space="0" w:color="auto"/>
            <w:bottom w:val="none" w:sz="0" w:space="0" w:color="auto"/>
            <w:right w:val="none" w:sz="0" w:space="0" w:color="auto"/>
          </w:divBdr>
        </w:div>
        <w:div w:id="1080980849">
          <w:marLeft w:val="0"/>
          <w:marRight w:val="0"/>
          <w:marTop w:val="0"/>
          <w:marBottom w:val="0"/>
          <w:divBdr>
            <w:top w:val="none" w:sz="0" w:space="0" w:color="auto"/>
            <w:left w:val="none" w:sz="0" w:space="0" w:color="auto"/>
            <w:bottom w:val="none" w:sz="0" w:space="0" w:color="auto"/>
            <w:right w:val="none" w:sz="0" w:space="0" w:color="auto"/>
          </w:divBdr>
        </w:div>
        <w:div w:id="188299041">
          <w:marLeft w:val="0"/>
          <w:marRight w:val="0"/>
          <w:marTop w:val="0"/>
          <w:marBottom w:val="0"/>
          <w:divBdr>
            <w:top w:val="none" w:sz="0" w:space="0" w:color="auto"/>
            <w:left w:val="none" w:sz="0" w:space="0" w:color="auto"/>
            <w:bottom w:val="none" w:sz="0" w:space="0" w:color="auto"/>
            <w:right w:val="none" w:sz="0" w:space="0" w:color="auto"/>
          </w:divBdr>
        </w:div>
        <w:div w:id="2141222632">
          <w:marLeft w:val="0"/>
          <w:marRight w:val="0"/>
          <w:marTop w:val="0"/>
          <w:marBottom w:val="0"/>
          <w:divBdr>
            <w:top w:val="none" w:sz="0" w:space="0" w:color="auto"/>
            <w:left w:val="none" w:sz="0" w:space="0" w:color="auto"/>
            <w:bottom w:val="none" w:sz="0" w:space="0" w:color="auto"/>
            <w:right w:val="none" w:sz="0" w:space="0" w:color="auto"/>
          </w:divBdr>
        </w:div>
        <w:div w:id="1163742084">
          <w:marLeft w:val="0"/>
          <w:marRight w:val="0"/>
          <w:marTop w:val="0"/>
          <w:marBottom w:val="0"/>
          <w:divBdr>
            <w:top w:val="none" w:sz="0" w:space="0" w:color="auto"/>
            <w:left w:val="none" w:sz="0" w:space="0" w:color="auto"/>
            <w:bottom w:val="none" w:sz="0" w:space="0" w:color="auto"/>
            <w:right w:val="none" w:sz="0" w:space="0" w:color="auto"/>
          </w:divBdr>
        </w:div>
        <w:div w:id="616567093">
          <w:marLeft w:val="0"/>
          <w:marRight w:val="0"/>
          <w:marTop w:val="0"/>
          <w:marBottom w:val="0"/>
          <w:divBdr>
            <w:top w:val="none" w:sz="0" w:space="0" w:color="auto"/>
            <w:left w:val="none" w:sz="0" w:space="0" w:color="auto"/>
            <w:bottom w:val="none" w:sz="0" w:space="0" w:color="auto"/>
            <w:right w:val="none" w:sz="0" w:space="0" w:color="auto"/>
          </w:divBdr>
        </w:div>
        <w:div w:id="533542417">
          <w:marLeft w:val="0"/>
          <w:marRight w:val="0"/>
          <w:marTop w:val="0"/>
          <w:marBottom w:val="0"/>
          <w:divBdr>
            <w:top w:val="none" w:sz="0" w:space="0" w:color="auto"/>
            <w:left w:val="none" w:sz="0" w:space="0" w:color="auto"/>
            <w:bottom w:val="none" w:sz="0" w:space="0" w:color="auto"/>
            <w:right w:val="none" w:sz="0" w:space="0" w:color="auto"/>
          </w:divBdr>
        </w:div>
        <w:div w:id="1381588066">
          <w:marLeft w:val="0"/>
          <w:marRight w:val="0"/>
          <w:marTop w:val="0"/>
          <w:marBottom w:val="0"/>
          <w:divBdr>
            <w:top w:val="none" w:sz="0" w:space="0" w:color="auto"/>
            <w:left w:val="none" w:sz="0" w:space="0" w:color="auto"/>
            <w:bottom w:val="none" w:sz="0" w:space="0" w:color="auto"/>
            <w:right w:val="none" w:sz="0" w:space="0" w:color="auto"/>
          </w:divBdr>
        </w:div>
        <w:div w:id="1164585717">
          <w:marLeft w:val="0"/>
          <w:marRight w:val="0"/>
          <w:marTop w:val="0"/>
          <w:marBottom w:val="0"/>
          <w:divBdr>
            <w:top w:val="none" w:sz="0" w:space="0" w:color="auto"/>
            <w:left w:val="none" w:sz="0" w:space="0" w:color="auto"/>
            <w:bottom w:val="none" w:sz="0" w:space="0" w:color="auto"/>
            <w:right w:val="none" w:sz="0" w:space="0" w:color="auto"/>
          </w:divBdr>
        </w:div>
        <w:div w:id="2113161546">
          <w:marLeft w:val="0"/>
          <w:marRight w:val="0"/>
          <w:marTop w:val="0"/>
          <w:marBottom w:val="0"/>
          <w:divBdr>
            <w:top w:val="none" w:sz="0" w:space="0" w:color="auto"/>
            <w:left w:val="none" w:sz="0" w:space="0" w:color="auto"/>
            <w:bottom w:val="none" w:sz="0" w:space="0" w:color="auto"/>
            <w:right w:val="none" w:sz="0" w:space="0" w:color="auto"/>
          </w:divBdr>
        </w:div>
        <w:div w:id="1116561169">
          <w:marLeft w:val="0"/>
          <w:marRight w:val="0"/>
          <w:marTop w:val="0"/>
          <w:marBottom w:val="0"/>
          <w:divBdr>
            <w:top w:val="none" w:sz="0" w:space="0" w:color="auto"/>
            <w:left w:val="none" w:sz="0" w:space="0" w:color="auto"/>
            <w:bottom w:val="none" w:sz="0" w:space="0" w:color="auto"/>
            <w:right w:val="none" w:sz="0" w:space="0" w:color="auto"/>
          </w:divBdr>
        </w:div>
        <w:div w:id="1137920741">
          <w:marLeft w:val="0"/>
          <w:marRight w:val="0"/>
          <w:marTop w:val="0"/>
          <w:marBottom w:val="0"/>
          <w:divBdr>
            <w:top w:val="none" w:sz="0" w:space="0" w:color="auto"/>
            <w:left w:val="none" w:sz="0" w:space="0" w:color="auto"/>
            <w:bottom w:val="none" w:sz="0" w:space="0" w:color="auto"/>
            <w:right w:val="none" w:sz="0" w:space="0" w:color="auto"/>
          </w:divBdr>
        </w:div>
        <w:div w:id="1504051989">
          <w:marLeft w:val="0"/>
          <w:marRight w:val="0"/>
          <w:marTop w:val="0"/>
          <w:marBottom w:val="0"/>
          <w:divBdr>
            <w:top w:val="none" w:sz="0" w:space="0" w:color="auto"/>
            <w:left w:val="none" w:sz="0" w:space="0" w:color="auto"/>
            <w:bottom w:val="none" w:sz="0" w:space="0" w:color="auto"/>
            <w:right w:val="none" w:sz="0" w:space="0" w:color="auto"/>
          </w:divBdr>
        </w:div>
        <w:div w:id="1422292204">
          <w:marLeft w:val="0"/>
          <w:marRight w:val="0"/>
          <w:marTop w:val="0"/>
          <w:marBottom w:val="0"/>
          <w:divBdr>
            <w:top w:val="none" w:sz="0" w:space="0" w:color="auto"/>
            <w:left w:val="none" w:sz="0" w:space="0" w:color="auto"/>
            <w:bottom w:val="none" w:sz="0" w:space="0" w:color="auto"/>
            <w:right w:val="none" w:sz="0" w:space="0" w:color="auto"/>
          </w:divBdr>
        </w:div>
        <w:div w:id="557858127">
          <w:marLeft w:val="0"/>
          <w:marRight w:val="0"/>
          <w:marTop w:val="0"/>
          <w:marBottom w:val="0"/>
          <w:divBdr>
            <w:top w:val="none" w:sz="0" w:space="0" w:color="auto"/>
            <w:left w:val="none" w:sz="0" w:space="0" w:color="auto"/>
            <w:bottom w:val="none" w:sz="0" w:space="0" w:color="auto"/>
            <w:right w:val="none" w:sz="0" w:space="0" w:color="auto"/>
          </w:divBdr>
        </w:div>
        <w:div w:id="317198714">
          <w:marLeft w:val="0"/>
          <w:marRight w:val="0"/>
          <w:marTop w:val="0"/>
          <w:marBottom w:val="0"/>
          <w:divBdr>
            <w:top w:val="none" w:sz="0" w:space="0" w:color="auto"/>
            <w:left w:val="none" w:sz="0" w:space="0" w:color="auto"/>
            <w:bottom w:val="none" w:sz="0" w:space="0" w:color="auto"/>
            <w:right w:val="none" w:sz="0" w:space="0" w:color="auto"/>
          </w:divBdr>
        </w:div>
        <w:div w:id="101146654">
          <w:marLeft w:val="0"/>
          <w:marRight w:val="0"/>
          <w:marTop w:val="0"/>
          <w:marBottom w:val="0"/>
          <w:divBdr>
            <w:top w:val="none" w:sz="0" w:space="0" w:color="auto"/>
            <w:left w:val="none" w:sz="0" w:space="0" w:color="auto"/>
            <w:bottom w:val="none" w:sz="0" w:space="0" w:color="auto"/>
            <w:right w:val="none" w:sz="0" w:space="0" w:color="auto"/>
          </w:divBdr>
        </w:div>
        <w:div w:id="188035547">
          <w:marLeft w:val="0"/>
          <w:marRight w:val="0"/>
          <w:marTop w:val="0"/>
          <w:marBottom w:val="0"/>
          <w:divBdr>
            <w:top w:val="none" w:sz="0" w:space="0" w:color="auto"/>
            <w:left w:val="none" w:sz="0" w:space="0" w:color="auto"/>
            <w:bottom w:val="none" w:sz="0" w:space="0" w:color="auto"/>
            <w:right w:val="none" w:sz="0" w:space="0" w:color="auto"/>
          </w:divBdr>
        </w:div>
        <w:div w:id="1002590959">
          <w:marLeft w:val="0"/>
          <w:marRight w:val="0"/>
          <w:marTop w:val="0"/>
          <w:marBottom w:val="0"/>
          <w:divBdr>
            <w:top w:val="none" w:sz="0" w:space="0" w:color="auto"/>
            <w:left w:val="none" w:sz="0" w:space="0" w:color="auto"/>
            <w:bottom w:val="none" w:sz="0" w:space="0" w:color="auto"/>
            <w:right w:val="none" w:sz="0" w:space="0" w:color="auto"/>
          </w:divBdr>
        </w:div>
        <w:div w:id="1059981908">
          <w:marLeft w:val="0"/>
          <w:marRight w:val="0"/>
          <w:marTop w:val="0"/>
          <w:marBottom w:val="0"/>
          <w:divBdr>
            <w:top w:val="none" w:sz="0" w:space="0" w:color="auto"/>
            <w:left w:val="none" w:sz="0" w:space="0" w:color="auto"/>
            <w:bottom w:val="none" w:sz="0" w:space="0" w:color="auto"/>
            <w:right w:val="none" w:sz="0" w:space="0" w:color="auto"/>
          </w:divBdr>
        </w:div>
        <w:div w:id="1168325411">
          <w:marLeft w:val="0"/>
          <w:marRight w:val="0"/>
          <w:marTop w:val="0"/>
          <w:marBottom w:val="0"/>
          <w:divBdr>
            <w:top w:val="none" w:sz="0" w:space="0" w:color="auto"/>
            <w:left w:val="none" w:sz="0" w:space="0" w:color="auto"/>
            <w:bottom w:val="none" w:sz="0" w:space="0" w:color="auto"/>
            <w:right w:val="none" w:sz="0" w:space="0" w:color="auto"/>
          </w:divBdr>
        </w:div>
        <w:div w:id="1132821730">
          <w:marLeft w:val="0"/>
          <w:marRight w:val="0"/>
          <w:marTop w:val="0"/>
          <w:marBottom w:val="0"/>
          <w:divBdr>
            <w:top w:val="none" w:sz="0" w:space="0" w:color="auto"/>
            <w:left w:val="none" w:sz="0" w:space="0" w:color="auto"/>
            <w:bottom w:val="none" w:sz="0" w:space="0" w:color="auto"/>
            <w:right w:val="none" w:sz="0" w:space="0" w:color="auto"/>
          </w:divBdr>
        </w:div>
        <w:div w:id="708456898">
          <w:marLeft w:val="0"/>
          <w:marRight w:val="0"/>
          <w:marTop w:val="0"/>
          <w:marBottom w:val="0"/>
          <w:divBdr>
            <w:top w:val="none" w:sz="0" w:space="0" w:color="auto"/>
            <w:left w:val="none" w:sz="0" w:space="0" w:color="auto"/>
            <w:bottom w:val="none" w:sz="0" w:space="0" w:color="auto"/>
            <w:right w:val="none" w:sz="0" w:space="0" w:color="auto"/>
          </w:divBdr>
        </w:div>
        <w:div w:id="2031763253">
          <w:marLeft w:val="0"/>
          <w:marRight w:val="0"/>
          <w:marTop w:val="0"/>
          <w:marBottom w:val="0"/>
          <w:divBdr>
            <w:top w:val="none" w:sz="0" w:space="0" w:color="auto"/>
            <w:left w:val="none" w:sz="0" w:space="0" w:color="auto"/>
            <w:bottom w:val="none" w:sz="0" w:space="0" w:color="auto"/>
            <w:right w:val="none" w:sz="0" w:space="0" w:color="auto"/>
          </w:divBdr>
        </w:div>
        <w:div w:id="2131049518">
          <w:marLeft w:val="0"/>
          <w:marRight w:val="0"/>
          <w:marTop w:val="0"/>
          <w:marBottom w:val="0"/>
          <w:divBdr>
            <w:top w:val="none" w:sz="0" w:space="0" w:color="auto"/>
            <w:left w:val="none" w:sz="0" w:space="0" w:color="auto"/>
            <w:bottom w:val="none" w:sz="0" w:space="0" w:color="auto"/>
            <w:right w:val="none" w:sz="0" w:space="0" w:color="auto"/>
          </w:divBdr>
        </w:div>
        <w:div w:id="1193958443">
          <w:marLeft w:val="0"/>
          <w:marRight w:val="0"/>
          <w:marTop w:val="0"/>
          <w:marBottom w:val="0"/>
          <w:divBdr>
            <w:top w:val="none" w:sz="0" w:space="0" w:color="auto"/>
            <w:left w:val="none" w:sz="0" w:space="0" w:color="auto"/>
            <w:bottom w:val="none" w:sz="0" w:space="0" w:color="auto"/>
            <w:right w:val="none" w:sz="0" w:space="0" w:color="auto"/>
          </w:divBdr>
        </w:div>
        <w:div w:id="315307247">
          <w:marLeft w:val="0"/>
          <w:marRight w:val="0"/>
          <w:marTop w:val="0"/>
          <w:marBottom w:val="0"/>
          <w:divBdr>
            <w:top w:val="none" w:sz="0" w:space="0" w:color="auto"/>
            <w:left w:val="none" w:sz="0" w:space="0" w:color="auto"/>
            <w:bottom w:val="none" w:sz="0" w:space="0" w:color="auto"/>
            <w:right w:val="none" w:sz="0" w:space="0" w:color="auto"/>
          </w:divBdr>
        </w:div>
        <w:div w:id="1022364321">
          <w:marLeft w:val="0"/>
          <w:marRight w:val="0"/>
          <w:marTop w:val="0"/>
          <w:marBottom w:val="0"/>
          <w:divBdr>
            <w:top w:val="none" w:sz="0" w:space="0" w:color="auto"/>
            <w:left w:val="none" w:sz="0" w:space="0" w:color="auto"/>
            <w:bottom w:val="none" w:sz="0" w:space="0" w:color="auto"/>
            <w:right w:val="none" w:sz="0" w:space="0" w:color="auto"/>
          </w:divBdr>
        </w:div>
        <w:div w:id="1080835475">
          <w:marLeft w:val="0"/>
          <w:marRight w:val="0"/>
          <w:marTop w:val="0"/>
          <w:marBottom w:val="0"/>
          <w:divBdr>
            <w:top w:val="none" w:sz="0" w:space="0" w:color="auto"/>
            <w:left w:val="none" w:sz="0" w:space="0" w:color="auto"/>
            <w:bottom w:val="none" w:sz="0" w:space="0" w:color="auto"/>
            <w:right w:val="none" w:sz="0" w:space="0" w:color="auto"/>
          </w:divBdr>
        </w:div>
        <w:div w:id="1024138391">
          <w:marLeft w:val="0"/>
          <w:marRight w:val="0"/>
          <w:marTop w:val="0"/>
          <w:marBottom w:val="0"/>
          <w:divBdr>
            <w:top w:val="none" w:sz="0" w:space="0" w:color="auto"/>
            <w:left w:val="none" w:sz="0" w:space="0" w:color="auto"/>
            <w:bottom w:val="none" w:sz="0" w:space="0" w:color="auto"/>
            <w:right w:val="none" w:sz="0" w:space="0" w:color="auto"/>
          </w:divBdr>
        </w:div>
        <w:div w:id="1766145629">
          <w:marLeft w:val="0"/>
          <w:marRight w:val="0"/>
          <w:marTop w:val="0"/>
          <w:marBottom w:val="0"/>
          <w:divBdr>
            <w:top w:val="none" w:sz="0" w:space="0" w:color="auto"/>
            <w:left w:val="none" w:sz="0" w:space="0" w:color="auto"/>
            <w:bottom w:val="none" w:sz="0" w:space="0" w:color="auto"/>
            <w:right w:val="none" w:sz="0" w:space="0" w:color="auto"/>
          </w:divBdr>
        </w:div>
        <w:div w:id="105320168">
          <w:marLeft w:val="0"/>
          <w:marRight w:val="0"/>
          <w:marTop w:val="0"/>
          <w:marBottom w:val="0"/>
          <w:divBdr>
            <w:top w:val="none" w:sz="0" w:space="0" w:color="auto"/>
            <w:left w:val="none" w:sz="0" w:space="0" w:color="auto"/>
            <w:bottom w:val="none" w:sz="0" w:space="0" w:color="auto"/>
            <w:right w:val="none" w:sz="0" w:space="0" w:color="auto"/>
          </w:divBdr>
        </w:div>
        <w:div w:id="1611743579">
          <w:marLeft w:val="0"/>
          <w:marRight w:val="0"/>
          <w:marTop w:val="0"/>
          <w:marBottom w:val="0"/>
          <w:divBdr>
            <w:top w:val="none" w:sz="0" w:space="0" w:color="auto"/>
            <w:left w:val="none" w:sz="0" w:space="0" w:color="auto"/>
            <w:bottom w:val="none" w:sz="0" w:space="0" w:color="auto"/>
            <w:right w:val="none" w:sz="0" w:space="0" w:color="auto"/>
          </w:divBdr>
        </w:div>
        <w:div w:id="1571039985">
          <w:marLeft w:val="0"/>
          <w:marRight w:val="0"/>
          <w:marTop w:val="0"/>
          <w:marBottom w:val="0"/>
          <w:divBdr>
            <w:top w:val="none" w:sz="0" w:space="0" w:color="auto"/>
            <w:left w:val="none" w:sz="0" w:space="0" w:color="auto"/>
            <w:bottom w:val="none" w:sz="0" w:space="0" w:color="auto"/>
            <w:right w:val="none" w:sz="0" w:space="0" w:color="auto"/>
          </w:divBdr>
        </w:div>
        <w:div w:id="1644578836">
          <w:marLeft w:val="0"/>
          <w:marRight w:val="0"/>
          <w:marTop w:val="0"/>
          <w:marBottom w:val="0"/>
          <w:divBdr>
            <w:top w:val="none" w:sz="0" w:space="0" w:color="auto"/>
            <w:left w:val="none" w:sz="0" w:space="0" w:color="auto"/>
            <w:bottom w:val="none" w:sz="0" w:space="0" w:color="auto"/>
            <w:right w:val="none" w:sz="0" w:space="0" w:color="auto"/>
          </w:divBdr>
        </w:div>
        <w:div w:id="988823001">
          <w:marLeft w:val="0"/>
          <w:marRight w:val="0"/>
          <w:marTop w:val="0"/>
          <w:marBottom w:val="0"/>
          <w:divBdr>
            <w:top w:val="none" w:sz="0" w:space="0" w:color="auto"/>
            <w:left w:val="none" w:sz="0" w:space="0" w:color="auto"/>
            <w:bottom w:val="none" w:sz="0" w:space="0" w:color="auto"/>
            <w:right w:val="none" w:sz="0" w:space="0" w:color="auto"/>
          </w:divBdr>
        </w:div>
        <w:div w:id="1136410299">
          <w:marLeft w:val="0"/>
          <w:marRight w:val="0"/>
          <w:marTop w:val="0"/>
          <w:marBottom w:val="0"/>
          <w:divBdr>
            <w:top w:val="none" w:sz="0" w:space="0" w:color="auto"/>
            <w:left w:val="none" w:sz="0" w:space="0" w:color="auto"/>
            <w:bottom w:val="none" w:sz="0" w:space="0" w:color="auto"/>
            <w:right w:val="none" w:sz="0" w:space="0" w:color="auto"/>
          </w:divBdr>
        </w:div>
        <w:div w:id="504593407">
          <w:marLeft w:val="0"/>
          <w:marRight w:val="0"/>
          <w:marTop w:val="0"/>
          <w:marBottom w:val="0"/>
          <w:divBdr>
            <w:top w:val="none" w:sz="0" w:space="0" w:color="auto"/>
            <w:left w:val="none" w:sz="0" w:space="0" w:color="auto"/>
            <w:bottom w:val="none" w:sz="0" w:space="0" w:color="auto"/>
            <w:right w:val="none" w:sz="0" w:space="0" w:color="auto"/>
          </w:divBdr>
        </w:div>
        <w:div w:id="382561314">
          <w:marLeft w:val="0"/>
          <w:marRight w:val="0"/>
          <w:marTop w:val="0"/>
          <w:marBottom w:val="0"/>
          <w:divBdr>
            <w:top w:val="none" w:sz="0" w:space="0" w:color="auto"/>
            <w:left w:val="none" w:sz="0" w:space="0" w:color="auto"/>
            <w:bottom w:val="none" w:sz="0" w:space="0" w:color="auto"/>
            <w:right w:val="none" w:sz="0" w:space="0" w:color="auto"/>
          </w:divBdr>
        </w:div>
        <w:div w:id="240527137">
          <w:marLeft w:val="0"/>
          <w:marRight w:val="0"/>
          <w:marTop w:val="0"/>
          <w:marBottom w:val="0"/>
          <w:divBdr>
            <w:top w:val="none" w:sz="0" w:space="0" w:color="auto"/>
            <w:left w:val="none" w:sz="0" w:space="0" w:color="auto"/>
            <w:bottom w:val="none" w:sz="0" w:space="0" w:color="auto"/>
            <w:right w:val="none" w:sz="0" w:space="0" w:color="auto"/>
          </w:divBdr>
        </w:div>
        <w:div w:id="929512158">
          <w:marLeft w:val="0"/>
          <w:marRight w:val="0"/>
          <w:marTop w:val="0"/>
          <w:marBottom w:val="0"/>
          <w:divBdr>
            <w:top w:val="none" w:sz="0" w:space="0" w:color="auto"/>
            <w:left w:val="none" w:sz="0" w:space="0" w:color="auto"/>
            <w:bottom w:val="none" w:sz="0" w:space="0" w:color="auto"/>
            <w:right w:val="none" w:sz="0" w:space="0" w:color="auto"/>
          </w:divBdr>
        </w:div>
        <w:div w:id="1696881215">
          <w:marLeft w:val="0"/>
          <w:marRight w:val="0"/>
          <w:marTop w:val="0"/>
          <w:marBottom w:val="0"/>
          <w:divBdr>
            <w:top w:val="none" w:sz="0" w:space="0" w:color="auto"/>
            <w:left w:val="none" w:sz="0" w:space="0" w:color="auto"/>
            <w:bottom w:val="none" w:sz="0" w:space="0" w:color="auto"/>
            <w:right w:val="none" w:sz="0" w:space="0" w:color="auto"/>
          </w:divBdr>
        </w:div>
        <w:div w:id="854348787">
          <w:marLeft w:val="0"/>
          <w:marRight w:val="0"/>
          <w:marTop w:val="0"/>
          <w:marBottom w:val="0"/>
          <w:divBdr>
            <w:top w:val="none" w:sz="0" w:space="0" w:color="auto"/>
            <w:left w:val="none" w:sz="0" w:space="0" w:color="auto"/>
            <w:bottom w:val="none" w:sz="0" w:space="0" w:color="auto"/>
            <w:right w:val="none" w:sz="0" w:space="0" w:color="auto"/>
          </w:divBdr>
        </w:div>
        <w:div w:id="957764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edicalwhistleblowernetwork.jigsy.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endnotes.xml.rels><?xml version="1.0" encoding="UTF-8" standalone="yes"?>
<Relationships xmlns="http://schemas.openxmlformats.org/package/2006/relationships"><Relationship Id="rId3" Type="http://schemas.openxmlformats.org/officeDocument/2006/relationships/hyperlink" Target="http://www.amazon.com/Selling-DSM-Rhetoric-Psychiatry-Problems/dp/0202304329/ref=sr_1_1?s=books&amp;ie=UTF8&amp;qid=1364340968&amp;sr=1-1&amp;keywords=the+selling+of+DSM" TargetMode="External"/><Relationship Id="rId2" Type="http://schemas.openxmlformats.org/officeDocument/2006/relationships/hyperlink" Target="http://www.psychologytoday.com/blog/dsm5-in-distress/201210/dsm-5-field-trials-discredit-apa" TargetMode="External"/><Relationship Id="rId1" Type="http://schemas.openxmlformats.org/officeDocument/2006/relationships/hyperlink" Target="http://www.healyprozac.com/PD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D9B8D8-EFD5-4C7D-BE0C-C842FE13162F}"/>
</file>

<file path=customXml/itemProps2.xml><?xml version="1.0" encoding="utf-8"?>
<ds:datastoreItem xmlns:ds="http://schemas.openxmlformats.org/officeDocument/2006/customXml" ds:itemID="{4603A851-5932-491B-B98C-EA519E19B09C}"/>
</file>

<file path=customXml/itemProps3.xml><?xml version="1.0" encoding="utf-8"?>
<ds:datastoreItem xmlns:ds="http://schemas.openxmlformats.org/officeDocument/2006/customXml" ds:itemID="{3443C8DD-B924-40D1-A793-0657EFFE8271}"/>
</file>

<file path=customXml/itemProps4.xml><?xml version="1.0" encoding="utf-8"?>
<ds:datastoreItem xmlns:ds="http://schemas.openxmlformats.org/officeDocument/2006/customXml" ds:itemID="{27587769-B19C-4D8F-A98B-05A55BB5DB32}"/>
</file>

<file path=docProps/app.xml><?xml version="1.0" encoding="utf-8"?>
<Properties xmlns="http://schemas.openxmlformats.org/officeDocument/2006/extended-properties" xmlns:vt="http://schemas.openxmlformats.org/officeDocument/2006/docPropsVTypes">
  <Template>Normal</Template>
  <TotalTime>0</TotalTime>
  <Pages>48</Pages>
  <Words>16432</Words>
  <Characters>93663</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2015-03-17T18:26:00Z</dcterms:created>
  <dcterms:modified xsi:type="dcterms:W3CDTF">2015-03-17T18:26:00Z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