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227F" w:rsidRDefault="0072227F">
      <w:bookmarkStart w:id="0" w:name="_GoBack"/>
      <w:bookmarkEnd w:id="0"/>
    </w:p>
    <w:tbl>
      <w:tblPr>
        <w:tblpPr w:leftFromText="180" w:rightFromText="180" w:vertAnchor="page" w:horzAnchor="page" w:tblpX="1016" w:tblpY="721"/>
        <w:tblW w:w="973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5064"/>
        <w:gridCol w:w="297"/>
        <w:gridCol w:w="4377"/>
      </w:tblGrid>
      <w:tr w:rsidR="00734ADF" w:rsidRPr="008033F0" w:rsidTr="009402AC">
        <w:trPr>
          <w:trHeight w:val="990"/>
        </w:trPr>
        <w:tc>
          <w:tcPr>
            <w:tcW w:w="5064" w:type="dxa"/>
            <w:tcBorders>
              <w:top w:val="single" w:sz="4" w:space="0" w:color="00000A"/>
              <w:left w:val="single" w:sz="4" w:space="0" w:color="00000A"/>
              <w:bottom w:val="single" w:sz="4" w:space="0" w:color="00000A"/>
              <w:right w:val="single" w:sz="4" w:space="0" w:color="00000A"/>
            </w:tcBorders>
            <w:shd w:val="clear" w:color="auto" w:fill="00538F"/>
            <w:tcMar>
              <w:left w:w="108" w:type="dxa"/>
            </w:tcMar>
          </w:tcPr>
          <w:p w:rsidR="0072227F" w:rsidRDefault="0072227F" w:rsidP="0072227F">
            <w:pPr>
              <w:pBdr>
                <w:top w:val="nil"/>
                <w:left w:val="nil"/>
                <w:bottom w:val="nil"/>
                <w:right w:val="nil"/>
              </w:pBdr>
              <w:jc w:val="center"/>
              <w:rPr>
                <w:rFonts w:asciiTheme="majorHAnsi" w:hAnsiTheme="majorHAnsi"/>
                <w:b/>
                <w:color w:val="FFFFFF"/>
                <w:sz w:val="28"/>
                <w:szCs w:val="28"/>
              </w:rPr>
            </w:pPr>
          </w:p>
          <w:p w:rsidR="00734ADF" w:rsidRDefault="00734ADF" w:rsidP="0072227F">
            <w:pPr>
              <w:pBdr>
                <w:top w:val="nil"/>
                <w:left w:val="nil"/>
                <w:bottom w:val="nil"/>
                <w:right w:val="nil"/>
              </w:pBdr>
              <w:jc w:val="center"/>
              <w:rPr>
                <w:rFonts w:asciiTheme="majorHAnsi" w:hAnsiTheme="majorHAnsi"/>
                <w:b/>
                <w:color w:val="FFFFFF"/>
                <w:sz w:val="28"/>
                <w:szCs w:val="28"/>
              </w:rPr>
            </w:pPr>
            <w:r w:rsidRPr="008033F0">
              <w:rPr>
                <w:rFonts w:asciiTheme="majorHAnsi" w:hAnsiTheme="majorHAnsi"/>
                <w:b/>
                <w:color w:val="FFFFFF"/>
                <w:sz w:val="28"/>
                <w:szCs w:val="28"/>
              </w:rPr>
              <w:t>United States of America</w:t>
            </w:r>
          </w:p>
          <w:p w:rsidR="0072227F" w:rsidRPr="008033F0" w:rsidRDefault="0072227F" w:rsidP="0072227F">
            <w:pPr>
              <w:pBdr>
                <w:top w:val="nil"/>
                <w:left w:val="nil"/>
                <w:bottom w:val="nil"/>
                <w:right w:val="nil"/>
              </w:pBdr>
              <w:jc w:val="center"/>
              <w:rPr>
                <w:rFonts w:asciiTheme="majorHAnsi" w:hAnsiTheme="majorHAnsi"/>
                <w:b/>
                <w:color w:val="FFFFFF"/>
                <w:sz w:val="28"/>
                <w:szCs w:val="28"/>
              </w:rPr>
            </w:pPr>
          </w:p>
          <w:p w:rsidR="00734ADF" w:rsidRPr="008033F0" w:rsidRDefault="00734ADF" w:rsidP="0072227F">
            <w:pPr>
              <w:pBdr>
                <w:top w:val="nil"/>
                <w:left w:val="nil"/>
                <w:bottom w:val="nil"/>
                <w:right w:val="nil"/>
              </w:pBdr>
              <w:jc w:val="center"/>
              <w:rPr>
                <w:rFonts w:asciiTheme="majorHAnsi" w:hAnsiTheme="majorHAnsi"/>
                <w:b/>
                <w:color w:val="FFFFFF"/>
                <w:sz w:val="28"/>
                <w:szCs w:val="28"/>
              </w:rPr>
            </w:pPr>
            <w:r w:rsidRPr="008033F0">
              <w:rPr>
                <w:rFonts w:asciiTheme="majorHAnsi" w:hAnsiTheme="majorHAnsi"/>
                <w:b/>
                <w:color w:val="FFFFFF"/>
                <w:sz w:val="28"/>
                <w:szCs w:val="28"/>
              </w:rPr>
              <w:t>NGO assessment of actions government has taken on issue since review</w:t>
            </w:r>
          </w:p>
        </w:tc>
        <w:tc>
          <w:tcPr>
            <w:tcW w:w="29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734ADF" w:rsidRPr="008033F0" w:rsidRDefault="00734ADF" w:rsidP="00734ADF">
            <w:pPr>
              <w:pBdr>
                <w:top w:val="nil"/>
                <w:left w:val="nil"/>
                <w:bottom w:val="nil"/>
                <w:right w:val="nil"/>
              </w:pBdr>
              <w:rPr>
                <w:rFonts w:asciiTheme="majorHAnsi" w:hAnsiTheme="majorHAnsi"/>
                <w:sz w:val="28"/>
                <w:szCs w:val="28"/>
              </w:rPr>
            </w:pPr>
            <w:bookmarkStart w:id="1" w:name="__UnoMark__140_1993286424"/>
            <w:bookmarkStart w:id="2" w:name="__UnoMark__139_1993286424"/>
            <w:bookmarkEnd w:id="1"/>
            <w:bookmarkEnd w:id="2"/>
          </w:p>
        </w:tc>
        <w:tc>
          <w:tcPr>
            <w:tcW w:w="4377" w:type="dxa"/>
            <w:tcBorders>
              <w:top w:val="single" w:sz="4" w:space="0" w:color="00000A"/>
              <w:left w:val="single" w:sz="4" w:space="0" w:color="00000A"/>
              <w:bottom w:val="single" w:sz="4" w:space="0" w:color="00000A"/>
              <w:right w:val="single" w:sz="4" w:space="0" w:color="00000A"/>
            </w:tcBorders>
            <w:shd w:val="clear" w:color="auto" w:fill="7F7F7F"/>
            <w:tcMar>
              <w:left w:w="108" w:type="dxa"/>
            </w:tcMar>
            <w:vAlign w:val="center"/>
          </w:tcPr>
          <w:p w:rsidR="00734ADF" w:rsidRPr="0072227F" w:rsidRDefault="00734ADF" w:rsidP="00734ADF">
            <w:pPr>
              <w:pBdr>
                <w:top w:val="nil"/>
                <w:left w:val="nil"/>
                <w:bottom w:val="nil"/>
                <w:right w:val="nil"/>
              </w:pBdr>
              <w:rPr>
                <w:rFonts w:asciiTheme="majorHAnsi" w:hAnsiTheme="majorHAnsi"/>
                <w:color w:val="FFFFFF"/>
                <w:sz w:val="24"/>
                <w:szCs w:val="24"/>
              </w:rPr>
            </w:pPr>
            <w:bookmarkStart w:id="3" w:name="__UnoMark__141_1993286424"/>
            <w:bookmarkEnd w:id="3"/>
            <w:r w:rsidRPr="0072227F">
              <w:rPr>
                <w:rFonts w:asciiTheme="majorHAnsi" w:hAnsiTheme="majorHAnsi"/>
                <w:color w:val="FFFFFF"/>
                <w:sz w:val="24"/>
                <w:szCs w:val="24"/>
              </w:rPr>
              <w:t>CCPR/C/USA/CO/4</w:t>
            </w:r>
          </w:p>
          <w:p w:rsidR="00734ADF" w:rsidRPr="0072227F" w:rsidRDefault="00734ADF" w:rsidP="00734ADF">
            <w:pPr>
              <w:pBdr>
                <w:top w:val="nil"/>
                <w:left w:val="nil"/>
                <w:bottom w:val="nil"/>
                <w:right w:val="nil"/>
              </w:pBdr>
              <w:rPr>
                <w:rFonts w:asciiTheme="majorHAnsi" w:hAnsiTheme="majorHAnsi"/>
                <w:color w:val="FFFFFF"/>
                <w:sz w:val="24"/>
                <w:szCs w:val="24"/>
              </w:rPr>
            </w:pPr>
            <w:r w:rsidRPr="0072227F">
              <w:rPr>
                <w:rFonts w:asciiTheme="majorHAnsi" w:hAnsiTheme="majorHAnsi"/>
                <w:color w:val="FFFFFF"/>
                <w:sz w:val="24"/>
                <w:szCs w:val="24"/>
              </w:rPr>
              <w:t>March 26, 2014 (adoption of the Concluding Observations)</w:t>
            </w:r>
          </w:p>
          <w:p w:rsidR="00734ADF" w:rsidRPr="0072227F" w:rsidRDefault="00734ADF" w:rsidP="00734ADF">
            <w:pPr>
              <w:pBdr>
                <w:top w:val="nil"/>
                <w:left w:val="nil"/>
                <w:bottom w:val="nil"/>
                <w:right w:val="nil"/>
              </w:pBdr>
              <w:rPr>
                <w:rFonts w:asciiTheme="majorHAnsi" w:hAnsiTheme="majorHAnsi"/>
                <w:color w:val="FFFFFF"/>
                <w:sz w:val="24"/>
                <w:szCs w:val="24"/>
              </w:rPr>
            </w:pPr>
            <w:r w:rsidRPr="0072227F">
              <w:rPr>
                <w:rFonts w:asciiTheme="majorHAnsi" w:hAnsiTheme="majorHAnsi"/>
                <w:color w:val="FFFFFF"/>
                <w:sz w:val="24"/>
                <w:szCs w:val="24"/>
              </w:rPr>
              <w:t>March 26, 2015 (Deadline for the State follow-up report)</w:t>
            </w:r>
          </w:p>
          <w:p w:rsidR="00734ADF" w:rsidRPr="0072227F" w:rsidRDefault="00734ADF" w:rsidP="00734ADF">
            <w:pPr>
              <w:pBdr>
                <w:top w:val="nil"/>
                <w:left w:val="nil"/>
                <w:bottom w:val="nil"/>
                <w:right w:val="nil"/>
              </w:pBdr>
              <w:rPr>
                <w:rFonts w:asciiTheme="majorHAnsi" w:hAnsiTheme="majorHAnsi"/>
                <w:color w:val="FFFFFF"/>
                <w:sz w:val="24"/>
                <w:szCs w:val="24"/>
              </w:rPr>
            </w:pPr>
          </w:p>
          <w:p w:rsidR="00734ADF" w:rsidRPr="008033F0" w:rsidRDefault="00734ADF" w:rsidP="00734ADF">
            <w:pPr>
              <w:pBdr>
                <w:top w:val="nil"/>
                <w:left w:val="nil"/>
                <w:bottom w:val="nil"/>
                <w:right w:val="nil"/>
              </w:pBdr>
              <w:rPr>
                <w:rFonts w:asciiTheme="majorHAnsi" w:hAnsiTheme="majorHAnsi"/>
                <w:color w:val="FFFFFF"/>
                <w:sz w:val="28"/>
                <w:szCs w:val="28"/>
              </w:rPr>
            </w:pPr>
            <w:r w:rsidRPr="0072227F">
              <w:rPr>
                <w:rFonts w:asciiTheme="majorHAnsi" w:hAnsiTheme="majorHAnsi"/>
                <w:color w:val="FFFFFF"/>
                <w:sz w:val="24"/>
                <w:szCs w:val="24"/>
              </w:rPr>
              <w:t>Current Status: Report filed 1 April 2015</w:t>
            </w:r>
          </w:p>
        </w:tc>
      </w:tr>
    </w:tbl>
    <w:p w:rsidR="00127FDD" w:rsidRPr="008033F0" w:rsidRDefault="00127FDD">
      <w:pPr>
        <w:rPr>
          <w:rFonts w:asciiTheme="majorHAnsi" w:hAnsiTheme="majorHAnsi"/>
          <w:sz w:val="28"/>
          <w:szCs w:val="28"/>
        </w:rPr>
      </w:pPr>
    </w:p>
    <w:p w:rsidR="002D0E07" w:rsidRPr="008033F0" w:rsidRDefault="002D0E07">
      <w:pPr>
        <w:rPr>
          <w:rFonts w:asciiTheme="majorHAnsi" w:hAnsiTheme="majorHAnsi"/>
          <w:sz w:val="28"/>
          <w:szCs w:val="28"/>
        </w:rPr>
      </w:pPr>
    </w:p>
    <w:p w:rsidR="00734ADF" w:rsidRPr="008033F0" w:rsidRDefault="00734ADF" w:rsidP="003E39CA">
      <w:pPr>
        <w:jc w:val="center"/>
        <w:rPr>
          <w:rFonts w:asciiTheme="majorHAnsi" w:hAnsiTheme="majorHAnsi"/>
          <w:b/>
          <w:sz w:val="28"/>
          <w:szCs w:val="28"/>
        </w:rPr>
      </w:pPr>
    </w:p>
    <w:p w:rsidR="00734ADF" w:rsidRPr="008033F0" w:rsidRDefault="00734ADF" w:rsidP="003E39CA">
      <w:pPr>
        <w:jc w:val="center"/>
        <w:rPr>
          <w:rFonts w:asciiTheme="majorHAnsi" w:hAnsiTheme="majorHAnsi"/>
          <w:b/>
          <w:sz w:val="28"/>
          <w:szCs w:val="28"/>
        </w:rPr>
      </w:pPr>
      <w:r w:rsidRPr="008033F0">
        <w:rPr>
          <w:rFonts w:asciiTheme="majorHAnsi" w:hAnsiTheme="majorHAnsi"/>
          <w:b/>
          <w:sz w:val="28"/>
          <w:szCs w:val="28"/>
        </w:rPr>
        <w:t xml:space="preserve">Follow-up Recommendation Report of </w:t>
      </w:r>
    </w:p>
    <w:p w:rsidR="009402AC" w:rsidRPr="008033F0" w:rsidRDefault="00232515" w:rsidP="003E39CA">
      <w:pPr>
        <w:jc w:val="center"/>
        <w:rPr>
          <w:rFonts w:asciiTheme="majorHAnsi" w:hAnsiTheme="majorHAnsi"/>
          <w:b/>
          <w:sz w:val="28"/>
          <w:szCs w:val="28"/>
        </w:rPr>
      </w:pPr>
      <w:r w:rsidRPr="008033F0">
        <w:rPr>
          <w:rFonts w:asciiTheme="majorHAnsi" w:hAnsiTheme="majorHAnsi"/>
          <w:b/>
          <w:sz w:val="28"/>
          <w:szCs w:val="28"/>
        </w:rPr>
        <w:t xml:space="preserve">Attorneys for Guantánamo </w:t>
      </w:r>
      <w:r w:rsidR="00CA3AD9">
        <w:rPr>
          <w:rFonts w:asciiTheme="majorHAnsi" w:hAnsiTheme="majorHAnsi"/>
          <w:b/>
          <w:sz w:val="28"/>
          <w:szCs w:val="28"/>
        </w:rPr>
        <w:t xml:space="preserve">Bay </w:t>
      </w:r>
      <w:r w:rsidRPr="008033F0">
        <w:rPr>
          <w:rFonts w:asciiTheme="majorHAnsi" w:hAnsiTheme="majorHAnsi"/>
          <w:b/>
          <w:sz w:val="28"/>
          <w:szCs w:val="28"/>
        </w:rPr>
        <w:t>prisoners</w:t>
      </w:r>
      <w:r w:rsidR="00EB05A4" w:rsidRPr="008033F0">
        <w:rPr>
          <w:rStyle w:val="EndnoteReference"/>
          <w:rFonts w:asciiTheme="majorHAnsi" w:hAnsiTheme="majorHAnsi" w:cstheme="majorBidi"/>
          <w:sz w:val="28"/>
          <w:szCs w:val="28"/>
        </w:rPr>
        <w:endnoteReference w:id="1"/>
      </w:r>
      <w:r w:rsidR="00EB05A4" w:rsidRPr="008033F0">
        <w:rPr>
          <w:rFonts w:asciiTheme="majorHAnsi" w:hAnsiTheme="majorHAnsi"/>
          <w:b/>
          <w:sz w:val="28"/>
          <w:szCs w:val="28"/>
        </w:rPr>
        <w:t xml:space="preserve"> </w:t>
      </w:r>
    </w:p>
    <w:p w:rsidR="003E39CA" w:rsidRPr="008033F0" w:rsidRDefault="00232515" w:rsidP="003E39CA">
      <w:pPr>
        <w:jc w:val="center"/>
        <w:rPr>
          <w:rFonts w:asciiTheme="majorHAnsi" w:hAnsiTheme="majorHAnsi"/>
          <w:b/>
          <w:sz w:val="28"/>
          <w:szCs w:val="28"/>
        </w:rPr>
      </w:pPr>
      <w:r w:rsidRPr="008033F0">
        <w:rPr>
          <w:rFonts w:asciiTheme="majorHAnsi" w:hAnsiTheme="majorHAnsi"/>
          <w:b/>
          <w:sz w:val="28"/>
          <w:szCs w:val="28"/>
        </w:rPr>
        <w:t xml:space="preserve">Ammar al Baluchi and </w:t>
      </w:r>
      <w:r w:rsidR="00C101DB" w:rsidRPr="008033F0">
        <w:rPr>
          <w:rFonts w:asciiTheme="majorHAnsi" w:hAnsiTheme="majorHAnsi"/>
          <w:b/>
          <w:sz w:val="28"/>
          <w:szCs w:val="28"/>
        </w:rPr>
        <w:t>Khalid Shaikh Mohammad</w:t>
      </w:r>
    </w:p>
    <w:p w:rsidR="00C101DB" w:rsidRPr="008033F0" w:rsidRDefault="00C101DB" w:rsidP="003E39CA">
      <w:pPr>
        <w:jc w:val="center"/>
        <w:rPr>
          <w:rFonts w:asciiTheme="majorHAnsi" w:hAnsiTheme="majorHAnsi"/>
          <w:b/>
          <w:sz w:val="28"/>
          <w:szCs w:val="28"/>
        </w:rPr>
      </w:pPr>
    </w:p>
    <w:p w:rsidR="00C101DB" w:rsidRPr="008033F0" w:rsidRDefault="00C101DB" w:rsidP="003E39CA">
      <w:pPr>
        <w:jc w:val="center"/>
        <w:rPr>
          <w:rFonts w:asciiTheme="majorHAnsi" w:hAnsiTheme="majorHAnsi"/>
          <w:bCs/>
          <w:sz w:val="28"/>
          <w:szCs w:val="28"/>
        </w:rPr>
      </w:pPr>
      <w:r w:rsidRPr="008033F0">
        <w:rPr>
          <w:rFonts w:asciiTheme="majorHAnsi" w:hAnsiTheme="majorHAnsi"/>
          <w:bCs/>
          <w:sz w:val="28"/>
          <w:szCs w:val="28"/>
        </w:rPr>
        <w:t>For Ammar al Baluchi:</w:t>
      </w:r>
    </w:p>
    <w:p w:rsidR="00C101DB" w:rsidRPr="008033F0" w:rsidRDefault="00C101DB" w:rsidP="003E39CA">
      <w:pPr>
        <w:jc w:val="center"/>
        <w:rPr>
          <w:rFonts w:asciiTheme="majorHAnsi" w:hAnsiTheme="majorHAnsi"/>
          <w:bCs/>
          <w:sz w:val="28"/>
          <w:szCs w:val="28"/>
        </w:rPr>
      </w:pPr>
      <w:r w:rsidRPr="008033F0">
        <w:rPr>
          <w:rFonts w:asciiTheme="majorHAnsi" w:hAnsiTheme="majorHAnsi"/>
          <w:bCs/>
          <w:sz w:val="28"/>
          <w:szCs w:val="28"/>
        </w:rPr>
        <w:t>James G. Connell, III</w:t>
      </w:r>
    </w:p>
    <w:p w:rsidR="00C101DB" w:rsidRPr="008033F0" w:rsidRDefault="00297F82" w:rsidP="003E39CA">
      <w:pPr>
        <w:jc w:val="center"/>
        <w:rPr>
          <w:rFonts w:asciiTheme="majorHAnsi" w:hAnsiTheme="majorHAnsi"/>
          <w:bCs/>
          <w:sz w:val="28"/>
          <w:szCs w:val="28"/>
        </w:rPr>
      </w:pPr>
      <w:hyperlink r:id="rId9" w:history="1">
        <w:r w:rsidR="00C101DB" w:rsidRPr="008033F0">
          <w:rPr>
            <w:rStyle w:val="Hyperlink"/>
            <w:rFonts w:asciiTheme="majorHAnsi" w:hAnsiTheme="majorHAnsi"/>
            <w:bCs/>
            <w:sz w:val="28"/>
            <w:szCs w:val="28"/>
          </w:rPr>
          <w:t>jconnell@connell-law.com</w:t>
        </w:r>
      </w:hyperlink>
    </w:p>
    <w:p w:rsidR="00C101DB" w:rsidRPr="008033F0" w:rsidRDefault="00C101DB" w:rsidP="003E39CA">
      <w:pPr>
        <w:jc w:val="center"/>
        <w:rPr>
          <w:rFonts w:asciiTheme="majorHAnsi" w:hAnsiTheme="majorHAnsi"/>
          <w:bCs/>
          <w:sz w:val="28"/>
          <w:szCs w:val="28"/>
        </w:rPr>
      </w:pPr>
      <w:r w:rsidRPr="008033F0">
        <w:rPr>
          <w:rFonts w:asciiTheme="majorHAnsi" w:hAnsiTheme="majorHAnsi"/>
          <w:bCs/>
          <w:sz w:val="28"/>
          <w:szCs w:val="28"/>
        </w:rPr>
        <w:t>+1 (703) 623-8410</w:t>
      </w:r>
    </w:p>
    <w:p w:rsidR="00C101DB" w:rsidRPr="008033F0" w:rsidRDefault="00C101DB" w:rsidP="003E39CA">
      <w:pPr>
        <w:jc w:val="center"/>
        <w:rPr>
          <w:rFonts w:asciiTheme="majorHAnsi" w:hAnsiTheme="majorHAnsi"/>
          <w:bCs/>
          <w:sz w:val="28"/>
          <w:szCs w:val="28"/>
        </w:rPr>
      </w:pPr>
    </w:p>
    <w:p w:rsidR="00C101DB" w:rsidRPr="008033F0" w:rsidRDefault="00C101DB" w:rsidP="003E39CA">
      <w:pPr>
        <w:jc w:val="center"/>
        <w:rPr>
          <w:rFonts w:asciiTheme="majorHAnsi" w:hAnsiTheme="majorHAnsi"/>
          <w:bCs/>
          <w:sz w:val="28"/>
          <w:szCs w:val="28"/>
        </w:rPr>
      </w:pPr>
      <w:r w:rsidRPr="008033F0">
        <w:rPr>
          <w:rFonts w:asciiTheme="majorHAnsi" w:hAnsiTheme="majorHAnsi"/>
          <w:bCs/>
          <w:sz w:val="28"/>
          <w:szCs w:val="28"/>
        </w:rPr>
        <w:t>For Khalid Shaikh Mohammad</w:t>
      </w:r>
      <w:r w:rsidR="00E5417A" w:rsidRPr="008033F0">
        <w:rPr>
          <w:rFonts w:asciiTheme="majorHAnsi" w:hAnsiTheme="majorHAnsi"/>
          <w:bCs/>
          <w:sz w:val="28"/>
          <w:szCs w:val="28"/>
        </w:rPr>
        <w:t>:</w:t>
      </w:r>
    </w:p>
    <w:p w:rsidR="00C101DB" w:rsidRPr="008033F0" w:rsidRDefault="003B5315" w:rsidP="003E39CA">
      <w:pPr>
        <w:jc w:val="center"/>
        <w:rPr>
          <w:rFonts w:asciiTheme="majorHAnsi" w:hAnsiTheme="majorHAnsi"/>
          <w:bCs/>
          <w:sz w:val="28"/>
          <w:szCs w:val="28"/>
        </w:rPr>
      </w:pPr>
      <w:r w:rsidRPr="008033F0">
        <w:rPr>
          <w:rFonts w:asciiTheme="majorHAnsi" w:hAnsiTheme="majorHAnsi"/>
          <w:bCs/>
          <w:sz w:val="28"/>
          <w:szCs w:val="28"/>
        </w:rPr>
        <w:t>David Nevin</w:t>
      </w:r>
    </w:p>
    <w:p w:rsidR="003B5315" w:rsidRPr="008033F0" w:rsidRDefault="00297F82" w:rsidP="003E39CA">
      <w:pPr>
        <w:jc w:val="center"/>
        <w:rPr>
          <w:rFonts w:asciiTheme="majorHAnsi" w:hAnsiTheme="majorHAnsi"/>
          <w:bCs/>
          <w:sz w:val="28"/>
          <w:szCs w:val="28"/>
        </w:rPr>
      </w:pPr>
      <w:hyperlink r:id="rId10" w:history="1">
        <w:r w:rsidR="003B5315" w:rsidRPr="008033F0">
          <w:rPr>
            <w:rStyle w:val="Hyperlink"/>
            <w:rFonts w:asciiTheme="majorHAnsi" w:hAnsiTheme="majorHAnsi"/>
            <w:bCs/>
            <w:sz w:val="28"/>
            <w:szCs w:val="28"/>
          </w:rPr>
          <w:t>dnevin@nbmlaw.com</w:t>
        </w:r>
      </w:hyperlink>
    </w:p>
    <w:p w:rsidR="003B5315" w:rsidRPr="008033F0" w:rsidRDefault="003B5315" w:rsidP="003E39CA">
      <w:pPr>
        <w:jc w:val="center"/>
        <w:rPr>
          <w:rFonts w:asciiTheme="majorHAnsi" w:hAnsiTheme="majorHAnsi"/>
          <w:bCs/>
          <w:sz w:val="28"/>
          <w:szCs w:val="28"/>
        </w:rPr>
      </w:pPr>
      <w:r w:rsidRPr="008033F0">
        <w:rPr>
          <w:rFonts w:asciiTheme="majorHAnsi" w:hAnsiTheme="majorHAnsi"/>
          <w:bCs/>
          <w:sz w:val="28"/>
          <w:szCs w:val="28"/>
        </w:rPr>
        <w:t>+1 (208) 343-1000</w:t>
      </w:r>
    </w:p>
    <w:p w:rsidR="00734ADF" w:rsidRPr="008033F0" w:rsidRDefault="00734ADF" w:rsidP="003E39CA">
      <w:pPr>
        <w:jc w:val="center"/>
        <w:rPr>
          <w:rFonts w:asciiTheme="majorHAnsi" w:hAnsiTheme="majorHAnsi"/>
          <w:b/>
          <w:sz w:val="28"/>
          <w:szCs w:val="28"/>
        </w:rPr>
      </w:pPr>
    </w:p>
    <w:p w:rsidR="00940409" w:rsidRPr="008033F0" w:rsidRDefault="003B5315" w:rsidP="003B5315">
      <w:pPr>
        <w:pStyle w:val="ListParagraph"/>
        <w:ind w:left="360"/>
        <w:jc w:val="center"/>
        <w:rPr>
          <w:rFonts w:asciiTheme="majorHAnsi" w:hAnsiTheme="majorHAnsi"/>
          <w:b/>
          <w:sz w:val="28"/>
          <w:szCs w:val="28"/>
        </w:rPr>
      </w:pPr>
      <w:r w:rsidRPr="008033F0">
        <w:rPr>
          <w:rFonts w:asciiTheme="majorHAnsi" w:hAnsiTheme="majorHAnsi"/>
          <w:b/>
          <w:sz w:val="28"/>
          <w:szCs w:val="28"/>
        </w:rPr>
        <w:t>Issue 3, Recommendation 2 (fair trial gua</w:t>
      </w:r>
      <w:r w:rsidR="00734ADF" w:rsidRPr="008033F0">
        <w:rPr>
          <w:rFonts w:asciiTheme="majorHAnsi" w:hAnsiTheme="majorHAnsi"/>
          <w:b/>
          <w:sz w:val="28"/>
          <w:szCs w:val="28"/>
        </w:rPr>
        <w:t>rant</w:t>
      </w:r>
      <w:r w:rsidRPr="008033F0">
        <w:rPr>
          <w:rFonts w:asciiTheme="majorHAnsi" w:hAnsiTheme="majorHAnsi"/>
          <w:b/>
          <w:sz w:val="28"/>
          <w:szCs w:val="28"/>
        </w:rPr>
        <w:t>ees).</w:t>
      </w:r>
    </w:p>
    <w:p w:rsidR="00734ADF" w:rsidRPr="008033F0" w:rsidRDefault="00734ADF" w:rsidP="003B5315">
      <w:pPr>
        <w:pStyle w:val="ListParagraph"/>
        <w:ind w:left="360"/>
        <w:jc w:val="center"/>
        <w:rPr>
          <w:rFonts w:asciiTheme="majorHAnsi" w:hAnsiTheme="majorHAnsi"/>
          <w:b/>
          <w:sz w:val="28"/>
          <w:szCs w:val="28"/>
        </w:rPr>
      </w:pPr>
    </w:p>
    <w:p w:rsidR="00734ADF" w:rsidRPr="008033F0" w:rsidRDefault="00734ADF" w:rsidP="003B5315">
      <w:pPr>
        <w:pStyle w:val="ListParagraph"/>
        <w:ind w:left="360"/>
        <w:jc w:val="center"/>
        <w:rPr>
          <w:rFonts w:asciiTheme="majorHAnsi" w:hAnsiTheme="majorHAnsi"/>
          <w:b/>
          <w:sz w:val="28"/>
          <w:szCs w:val="28"/>
        </w:rPr>
      </w:pPr>
      <w:r w:rsidRPr="008033F0">
        <w:rPr>
          <w:rFonts w:asciiTheme="majorHAnsi" w:hAnsiTheme="majorHAnsi"/>
          <w:b/>
          <w:sz w:val="28"/>
          <w:szCs w:val="28"/>
        </w:rPr>
        <w:t>Grade: C1</w:t>
      </w:r>
    </w:p>
    <w:p w:rsidR="00734ADF" w:rsidRPr="008033F0" w:rsidRDefault="00734ADF" w:rsidP="003B5315">
      <w:pPr>
        <w:pStyle w:val="ListParagraph"/>
        <w:ind w:left="360"/>
        <w:jc w:val="center"/>
        <w:rPr>
          <w:rFonts w:asciiTheme="majorHAnsi" w:hAnsiTheme="majorHAnsi"/>
          <w:b/>
          <w:sz w:val="28"/>
          <w:szCs w:val="28"/>
        </w:rPr>
      </w:pPr>
    </w:p>
    <w:p w:rsidR="00734ADF" w:rsidRPr="008033F0" w:rsidRDefault="00734ADF" w:rsidP="009402AC">
      <w:pPr>
        <w:pStyle w:val="ListParagraph"/>
        <w:ind w:left="0"/>
        <w:jc w:val="center"/>
        <w:rPr>
          <w:rFonts w:asciiTheme="majorHAnsi" w:hAnsiTheme="majorHAnsi"/>
          <w:sz w:val="28"/>
          <w:szCs w:val="28"/>
        </w:rPr>
      </w:pPr>
      <w:r w:rsidRPr="008033F0">
        <w:rPr>
          <w:rFonts w:asciiTheme="majorHAnsi" w:hAnsiTheme="majorHAnsi"/>
          <w:sz w:val="28"/>
          <w:szCs w:val="28"/>
        </w:rPr>
        <w:t xml:space="preserve">The State party continues to seek execution of six prisoners at </w:t>
      </w:r>
      <w:r w:rsidR="00CA3AD9">
        <w:rPr>
          <w:rFonts w:asciiTheme="majorHAnsi" w:hAnsiTheme="majorHAnsi"/>
          <w:sz w:val="28"/>
          <w:szCs w:val="28"/>
        </w:rPr>
        <w:t>Guantánamo</w:t>
      </w:r>
      <w:r w:rsidRPr="008033F0">
        <w:rPr>
          <w:rFonts w:asciiTheme="majorHAnsi" w:hAnsiTheme="majorHAnsi"/>
          <w:sz w:val="28"/>
          <w:szCs w:val="28"/>
        </w:rPr>
        <w:t xml:space="preserve"> Bay through military commissions which do not afford article 14 fair trial guarantees.</w:t>
      </w:r>
    </w:p>
    <w:p w:rsidR="009402AC" w:rsidRPr="008033F0" w:rsidRDefault="009402AC" w:rsidP="009402AC">
      <w:pPr>
        <w:pStyle w:val="ListParagraph"/>
        <w:ind w:left="0"/>
        <w:jc w:val="center"/>
        <w:rPr>
          <w:rFonts w:asciiTheme="majorHAnsi" w:hAnsiTheme="majorHAnsi"/>
          <w:sz w:val="28"/>
          <w:szCs w:val="28"/>
        </w:rPr>
      </w:pPr>
    </w:p>
    <w:p w:rsidR="00665B12" w:rsidRPr="008033F0" w:rsidRDefault="00434054" w:rsidP="009402AC">
      <w:pPr>
        <w:jc w:val="center"/>
        <w:rPr>
          <w:rFonts w:asciiTheme="majorHAnsi" w:hAnsiTheme="majorHAnsi"/>
          <w:i/>
          <w:sz w:val="28"/>
          <w:szCs w:val="28"/>
        </w:rPr>
      </w:pPr>
      <w:r>
        <w:rPr>
          <w:rFonts w:asciiTheme="majorHAnsi" w:hAnsiTheme="majorHAnsi"/>
          <w:i/>
          <w:sz w:val="28"/>
          <w:szCs w:val="28"/>
        </w:rPr>
        <w:t>As of</w:t>
      </w:r>
      <w:r w:rsidR="003B5315" w:rsidRPr="008033F0">
        <w:rPr>
          <w:rFonts w:asciiTheme="majorHAnsi" w:hAnsiTheme="majorHAnsi"/>
          <w:i/>
          <w:sz w:val="28"/>
          <w:szCs w:val="28"/>
        </w:rPr>
        <w:t xml:space="preserve"> 1 May</w:t>
      </w:r>
      <w:r w:rsidR="001D1A68" w:rsidRPr="008033F0">
        <w:rPr>
          <w:rFonts w:asciiTheme="majorHAnsi" w:hAnsiTheme="majorHAnsi"/>
          <w:i/>
          <w:sz w:val="28"/>
          <w:szCs w:val="28"/>
        </w:rPr>
        <w:t xml:space="preserve"> 2015</w:t>
      </w:r>
    </w:p>
    <w:p w:rsidR="003B5315" w:rsidRPr="008033F0" w:rsidRDefault="003B5315" w:rsidP="003B5315">
      <w:pPr>
        <w:jc w:val="center"/>
        <w:rPr>
          <w:rFonts w:asciiTheme="majorHAnsi" w:hAnsiTheme="majorHAnsi"/>
          <w:i/>
          <w:sz w:val="28"/>
          <w:szCs w:val="28"/>
        </w:rPr>
      </w:pPr>
    </w:p>
    <w:p w:rsidR="00734ADF" w:rsidRPr="008033F0" w:rsidRDefault="00734ADF">
      <w:pPr>
        <w:suppressAutoHyphens w:val="0"/>
        <w:rPr>
          <w:rFonts w:asciiTheme="majorHAnsi" w:hAnsiTheme="majorHAnsi"/>
          <w:sz w:val="28"/>
          <w:szCs w:val="28"/>
        </w:rPr>
      </w:pPr>
      <w:r w:rsidRPr="008033F0">
        <w:rPr>
          <w:rFonts w:asciiTheme="majorHAnsi" w:hAnsiTheme="majorHAnsi"/>
          <w:sz w:val="28"/>
          <w:szCs w:val="28"/>
        </w:rPr>
        <w:br w:type="page"/>
      </w:r>
    </w:p>
    <w:p w:rsidR="00212562" w:rsidRPr="008033F0" w:rsidRDefault="008033F0" w:rsidP="008033F0">
      <w:pPr>
        <w:jc w:val="center"/>
        <w:rPr>
          <w:rFonts w:asciiTheme="majorHAnsi" w:hAnsiTheme="majorHAnsi"/>
          <w:b/>
          <w:sz w:val="44"/>
          <w:szCs w:val="44"/>
          <w:highlight w:val="darkCyan"/>
        </w:rPr>
      </w:pPr>
      <w:r w:rsidRPr="008033F0">
        <w:rPr>
          <w:rFonts w:asciiTheme="majorHAnsi" w:hAnsiTheme="majorHAnsi"/>
          <w:b/>
          <w:sz w:val="44"/>
          <w:szCs w:val="44"/>
        </w:rPr>
        <w:lastRenderedPageBreak/>
        <w:t>Committee Recommendation</w:t>
      </w:r>
    </w:p>
    <w:p w:rsidR="009402AC" w:rsidRDefault="009402AC" w:rsidP="00791ED7">
      <w:pPr>
        <w:jc w:val="both"/>
        <w:rPr>
          <w:rFonts w:asciiTheme="majorHAnsi" w:hAnsiTheme="majorHAnsi"/>
          <w:b/>
          <w:color w:val="FFFFFF" w:themeColor="background1"/>
          <w:sz w:val="28"/>
          <w:szCs w:val="28"/>
          <w:highlight w:val="darkCyan"/>
        </w:rPr>
      </w:pPr>
    </w:p>
    <w:p w:rsidR="00CA3AD9" w:rsidRPr="008033F0" w:rsidRDefault="00CA3AD9" w:rsidP="00791ED7">
      <w:pPr>
        <w:jc w:val="both"/>
        <w:rPr>
          <w:rFonts w:asciiTheme="majorHAnsi" w:hAnsiTheme="majorHAnsi"/>
          <w:b/>
          <w:color w:val="FFFFFF" w:themeColor="background1"/>
          <w:sz w:val="28"/>
          <w:szCs w:val="28"/>
          <w:highlight w:val="darkCyan"/>
        </w:rPr>
      </w:pPr>
    </w:p>
    <w:p w:rsidR="00212562" w:rsidRPr="008033F0" w:rsidRDefault="0072227F" w:rsidP="00791ED7">
      <w:pPr>
        <w:jc w:val="both"/>
        <w:rPr>
          <w:rFonts w:asciiTheme="majorHAnsi" w:hAnsiTheme="majorHAnsi"/>
          <w:sz w:val="28"/>
          <w:szCs w:val="28"/>
        </w:rPr>
      </w:pPr>
      <w:r w:rsidRPr="0072227F">
        <w:rPr>
          <w:rFonts w:asciiTheme="majorHAnsi" w:hAnsiTheme="majorHAnsi"/>
          <w:b/>
          <w:sz w:val="28"/>
          <w:szCs w:val="28"/>
        </w:rPr>
        <w:t>Issue 3:</w:t>
      </w:r>
      <w:r>
        <w:rPr>
          <w:rFonts w:asciiTheme="majorHAnsi" w:hAnsiTheme="majorHAnsi"/>
          <w:bCs/>
          <w:sz w:val="28"/>
          <w:szCs w:val="28"/>
        </w:rPr>
        <w:t xml:space="preserve"> </w:t>
      </w:r>
      <w:r w:rsidR="00212562" w:rsidRPr="008033F0">
        <w:rPr>
          <w:rFonts w:asciiTheme="majorHAnsi" w:hAnsiTheme="majorHAnsi"/>
          <w:b/>
          <w:sz w:val="28"/>
          <w:szCs w:val="28"/>
        </w:rPr>
        <w:t xml:space="preserve">Paragraph 21 (Detainees at </w:t>
      </w:r>
      <w:r w:rsidR="00CA3AD9">
        <w:rPr>
          <w:rFonts w:asciiTheme="majorHAnsi" w:hAnsiTheme="majorHAnsi"/>
          <w:b/>
          <w:sz w:val="28"/>
          <w:szCs w:val="28"/>
        </w:rPr>
        <w:t>Guantánamo</w:t>
      </w:r>
      <w:r w:rsidR="00212562" w:rsidRPr="008033F0">
        <w:rPr>
          <w:rFonts w:asciiTheme="majorHAnsi" w:hAnsiTheme="majorHAnsi"/>
          <w:b/>
          <w:sz w:val="28"/>
          <w:szCs w:val="28"/>
        </w:rPr>
        <w:t xml:space="preserve"> Bay):</w:t>
      </w:r>
      <w:r w:rsidR="00212562" w:rsidRPr="008033F0">
        <w:rPr>
          <w:rFonts w:asciiTheme="majorHAnsi" w:hAnsiTheme="majorHAnsi"/>
          <w:sz w:val="28"/>
          <w:szCs w:val="28"/>
        </w:rPr>
        <w:t xml:space="preserve"> “While noting the President’s commitment to closing the Guantánamo Bay facility and the appointment of Special Envoys at the United States Departments of State and of Defense to continue to pursue the transfer of designated detainees, the Committee regrets that no timeline for closure of the facility has been provided. The Committee is also concerned that detainees held in Guantánamo Bay and in military facilities in Afghanistan are not dealt with through the ordinary criminal justice system after a protracted period of over a decade, in some cases (arts. 7, 9, 10 and 14).”</w:t>
      </w:r>
    </w:p>
    <w:p w:rsidR="009402AC" w:rsidRPr="008033F0" w:rsidRDefault="009402AC" w:rsidP="00791ED7">
      <w:pPr>
        <w:jc w:val="both"/>
        <w:rPr>
          <w:rFonts w:asciiTheme="majorHAnsi" w:hAnsiTheme="majorHAnsi"/>
          <w:sz w:val="28"/>
          <w:szCs w:val="28"/>
        </w:rPr>
      </w:pPr>
    </w:p>
    <w:p w:rsidR="009402AC" w:rsidRPr="008033F0" w:rsidRDefault="009402AC" w:rsidP="00791ED7">
      <w:pPr>
        <w:jc w:val="both"/>
        <w:rPr>
          <w:rFonts w:asciiTheme="majorHAnsi" w:hAnsiTheme="majorHAnsi"/>
          <w:sz w:val="28"/>
          <w:szCs w:val="28"/>
        </w:rPr>
      </w:pPr>
    </w:p>
    <w:p w:rsidR="00212562" w:rsidRPr="008033F0" w:rsidRDefault="00212562" w:rsidP="00791ED7">
      <w:pPr>
        <w:jc w:val="both"/>
        <w:rPr>
          <w:rFonts w:asciiTheme="majorHAnsi" w:hAnsiTheme="majorHAnsi"/>
          <w:sz w:val="28"/>
          <w:szCs w:val="28"/>
        </w:rPr>
      </w:pPr>
    </w:p>
    <w:tbl>
      <w:tblPr>
        <w:tblStyle w:val="TableGrid"/>
        <w:tblW w:w="9108" w:type="dxa"/>
        <w:tblLayout w:type="fixed"/>
        <w:tblLook w:val="04A0" w:firstRow="1" w:lastRow="0" w:firstColumn="1" w:lastColumn="0" w:noHBand="0" w:noVBand="1"/>
      </w:tblPr>
      <w:tblGrid>
        <w:gridCol w:w="2376"/>
        <w:gridCol w:w="6732"/>
      </w:tblGrid>
      <w:tr w:rsidR="00212562" w:rsidRPr="008033F0" w:rsidTr="009402AC">
        <w:tc>
          <w:tcPr>
            <w:tcW w:w="2376" w:type="dxa"/>
            <w:tcBorders>
              <w:top w:val="single" w:sz="18" w:space="0" w:color="auto"/>
              <w:left w:val="single" w:sz="4" w:space="0" w:color="auto"/>
              <w:bottom w:val="single" w:sz="4" w:space="0" w:color="auto"/>
            </w:tcBorders>
            <w:shd w:val="clear" w:color="auto" w:fill="E0E0E0"/>
            <w:vAlign w:val="center"/>
          </w:tcPr>
          <w:p w:rsidR="00212562" w:rsidRPr="008033F0" w:rsidRDefault="00212562" w:rsidP="008033F0">
            <w:pPr>
              <w:spacing w:before="60" w:after="60"/>
              <w:ind w:right="-23"/>
              <w:jc w:val="center"/>
              <w:rPr>
                <w:rFonts w:asciiTheme="majorHAnsi" w:hAnsiTheme="majorHAnsi"/>
                <w:b/>
                <w:sz w:val="28"/>
                <w:szCs w:val="28"/>
              </w:rPr>
            </w:pPr>
            <w:r w:rsidRPr="008033F0">
              <w:rPr>
                <w:rFonts w:asciiTheme="majorHAnsi" w:hAnsiTheme="majorHAnsi"/>
                <w:b/>
                <w:sz w:val="28"/>
                <w:szCs w:val="28"/>
              </w:rPr>
              <w:t>Recommendation by the Committee</w:t>
            </w:r>
          </w:p>
        </w:tc>
        <w:tc>
          <w:tcPr>
            <w:tcW w:w="6732" w:type="dxa"/>
            <w:tcBorders>
              <w:top w:val="single" w:sz="18" w:space="0" w:color="auto"/>
              <w:bottom w:val="single" w:sz="4" w:space="0" w:color="auto"/>
              <w:right w:val="single" w:sz="4" w:space="0" w:color="auto"/>
            </w:tcBorders>
            <w:shd w:val="clear" w:color="auto" w:fill="E0E0E0"/>
            <w:vAlign w:val="center"/>
          </w:tcPr>
          <w:p w:rsidR="00212562" w:rsidRPr="008033F0" w:rsidRDefault="00212562" w:rsidP="00212562">
            <w:pPr>
              <w:spacing w:before="60" w:after="60"/>
              <w:ind w:right="-23"/>
              <w:jc w:val="both"/>
              <w:rPr>
                <w:rFonts w:asciiTheme="majorHAnsi" w:hAnsiTheme="majorHAnsi"/>
                <w:i/>
                <w:sz w:val="28"/>
                <w:szCs w:val="28"/>
              </w:rPr>
            </w:pPr>
            <w:r w:rsidRPr="008033F0">
              <w:rPr>
                <w:rFonts w:asciiTheme="majorHAnsi" w:hAnsiTheme="majorHAnsi"/>
                <w:i/>
                <w:sz w:val="28"/>
                <w:szCs w:val="28"/>
              </w:rPr>
              <w:t>(The State party) should . . . ensure that any criminal cases against detainees held in Guantánamo . . . are dealt with through the criminal justice system rather than military commissions, and that those detainees are afforded the fair trial guarantees enshrined in article 14 of the Covenant.</w:t>
            </w:r>
          </w:p>
        </w:tc>
      </w:tr>
    </w:tbl>
    <w:p w:rsidR="00212562" w:rsidRPr="008033F0" w:rsidRDefault="00212562" w:rsidP="00791ED7">
      <w:pPr>
        <w:jc w:val="both"/>
        <w:rPr>
          <w:rFonts w:asciiTheme="majorHAnsi" w:hAnsiTheme="majorHAnsi"/>
          <w:sz w:val="28"/>
          <w:szCs w:val="28"/>
        </w:rPr>
      </w:pPr>
    </w:p>
    <w:p w:rsidR="00EB05A4" w:rsidRPr="008033F0" w:rsidRDefault="009402AC">
      <w:pPr>
        <w:suppressAutoHyphens w:val="0"/>
        <w:rPr>
          <w:rFonts w:asciiTheme="majorHAnsi" w:hAnsiTheme="majorHAnsi"/>
          <w:sz w:val="28"/>
          <w:szCs w:val="28"/>
        </w:rPr>
      </w:pPr>
      <w:r w:rsidRPr="008033F0">
        <w:rPr>
          <w:rFonts w:asciiTheme="majorHAnsi" w:hAnsiTheme="majorHAnsi"/>
          <w:sz w:val="28"/>
          <w:szCs w:val="28"/>
        </w:rPr>
        <w:br w:type="page"/>
      </w:r>
    </w:p>
    <w:p w:rsidR="00E5417A" w:rsidRPr="008033F0" w:rsidRDefault="00E5417A">
      <w:pPr>
        <w:suppressAutoHyphens w:val="0"/>
        <w:rPr>
          <w:rFonts w:asciiTheme="majorHAnsi" w:hAnsiTheme="majorHAnsi"/>
          <w:sz w:val="28"/>
          <w:szCs w:val="28"/>
        </w:rPr>
        <w:sectPr w:rsidR="00E5417A" w:rsidRPr="008033F0" w:rsidSect="009402AC">
          <w:headerReference w:type="default" r:id="rId11"/>
          <w:footerReference w:type="default" r:id="rId12"/>
          <w:endnotePr>
            <w:numFmt w:val="chicago"/>
          </w:endnotePr>
          <w:pgSz w:w="11900" w:h="16840"/>
          <w:pgMar w:top="1440" w:right="1440" w:bottom="1440" w:left="1440" w:header="173" w:footer="288" w:gutter="0"/>
          <w:cols w:space="708"/>
          <w:titlePg/>
          <w:docGrid w:linePitch="360"/>
        </w:sectPr>
      </w:pPr>
    </w:p>
    <w:p w:rsidR="003D1B68" w:rsidRPr="00C25414" w:rsidRDefault="003D1B68" w:rsidP="003D1B68">
      <w:pPr>
        <w:jc w:val="center"/>
        <w:rPr>
          <w:rFonts w:asciiTheme="majorHAnsi" w:hAnsiTheme="majorHAnsi"/>
          <w:b/>
          <w:bCs/>
          <w:color w:val="FFFFFF" w:themeColor="background1"/>
          <w:sz w:val="48"/>
          <w:szCs w:val="48"/>
          <w:highlight w:val="darkCyan"/>
        </w:rPr>
      </w:pPr>
      <w:r w:rsidRPr="00C25414">
        <w:rPr>
          <w:rFonts w:asciiTheme="majorHAnsi" w:hAnsiTheme="majorHAnsi"/>
          <w:b/>
          <w:bCs/>
          <w:sz w:val="48"/>
          <w:szCs w:val="48"/>
        </w:rPr>
        <w:lastRenderedPageBreak/>
        <w:t xml:space="preserve">The State party continues to seek execution of six prisoners at </w:t>
      </w:r>
      <w:r w:rsidR="00CA3AD9">
        <w:rPr>
          <w:rFonts w:asciiTheme="majorHAnsi" w:hAnsiTheme="majorHAnsi"/>
          <w:b/>
          <w:bCs/>
          <w:sz w:val="48"/>
          <w:szCs w:val="48"/>
        </w:rPr>
        <w:t>Guantánamo</w:t>
      </w:r>
      <w:r w:rsidRPr="00C25414">
        <w:rPr>
          <w:rFonts w:asciiTheme="majorHAnsi" w:hAnsiTheme="majorHAnsi"/>
          <w:b/>
          <w:bCs/>
          <w:sz w:val="48"/>
          <w:szCs w:val="48"/>
        </w:rPr>
        <w:t xml:space="preserve"> Bay through military commissions which do not afford article 14 fair trial guarantees.</w:t>
      </w:r>
    </w:p>
    <w:p w:rsidR="003D1B68" w:rsidRPr="008033F0" w:rsidRDefault="003D1B68" w:rsidP="00DA275C">
      <w:pPr>
        <w:jc w:val="both"/>
        <w:rPr>
          <w:rFonts w:asciiTheme="majorHAnsi" w:hAnsiTheme="majorHAnsi"/>
          <w:sz w:val="28"/>
          <w:szCs w:val="28"/>
        </w:rPr>
      </w:pPr>
    </w:p>
    <w:p w:rsidR="00791ED7" w:rsidRPr="008033F0" w:rsidRDefault="00212562" w:rsidP="00DA275C">
      <w:pPr>
        <w:jc w:val="both"/>
        <w:rPr>
          <w:rFonts w:asciiTheme="majorHAnsi" w:hAnsiTheme="majorHAnsi"/>
          <w:sz w:val="28"/>
          <w:szCs w:val="28"/>
        </w:rPr>
      </w:pPr>
      <w:r w:rsidRPr="008033F0">
        <w:rPr>
          <w:rFonts w:asciiTheme="majorHAnsi" w:hAnsiTheme="majorHAnsi"/>
          <w:sz w:val="28"/>
          <w:szCs w:val="28"/>
        </w:rPr>
        <w:t xml:space="preserve">Military commissions continue at </w:t>
      </w:r>
      <w:r w:rsidR="00CA3AD9">
        <w:rPr>
          <w:rFonts w:asciiTheme="majorHAnsi" w:hAnsiTheme="majorHAnsi"/>
          <w:sz w:val="28"/>
          <w:szCs w:val="28"/>
        </w:rPr>
        <w:t>Guantánamo</w:t>
      </w:r>
      <w:r w:rsidRPr="008033F0">
        <w:rPr>
          <w:rFonts w:asciiTheme="majorHAnsi" w:hAnsiTheme="majorHAnsi"/>
          <w:sz w:val="28"/>
          <w:szCs w:val="28"/>
        </w:rPr>
        <w:t xml:space="preserve">, with the goal of executing at least six men the United States has subjected to torture and other cruel, inhuman and degrading treatment.  The State party acknowledges, </w:t>
      </w:r>
      <w:r w:rsidR="00DA275C" w:rsidRPr="008033F0">
        <w:rPr>
          <w:rFonts w:asciiTheme="majorHAnsi" w:hAnsiTheme="majorHAnsi"/>
          <w:sz w:val="28"/>
          <w:szCs w:val="28"/>
        </w:rPr>
        <w:t>“There are no current plans to end prosecutions by military commissions.”</w:t>
      </w:r>
      <w:r w:rsidR="00DA275C" w:rsidRPr="008033F0">
        <w:rPr>
          <w:rStyle w:val="FootnoteReference"/>
          <w:rFonts w:asciiTheme="majorHAnsi" w:hAnsiTheme="majorHAnsi"/>
          <w:sz w:val="28"/>
          <w:szCs w:val="28"/>
        </w:rPr>
        <w:t xml:space="preserve"> </w:t>
      </w:r>
      <w:r w:rsidR="00DA275C" w:rsidRPr="008033F0">
        <w:rPr>
          <w:rStyle w:val="FootnoteReference"/>
          <w:rFonts w:asciiTheme="majorHAnsi" w:hAnsiTheme="majorHAnsi"/>
          <w:sz w:val="28"/>
          <w:szCs w:val="28"/>
        </w:rPr>
        <w:footnoteReference w:id="1"/>
      </w:r>
      <w:r w:rsidR="00DA275C" w:rsidRPr="008033F0">
        <w:rPr>
          <w:rFonts w:asciiTheme="majorHAnsi" w:hAnsiTheme="majorHAnsi"/>
          <w:sz w:val="28"/>
          <w:szCs w:val="28"/>
        </w:rPr>
        <w:t xml:space="preserve">  The State p</w:t>
      </w:r>
      <w:r w:rsidR="00791ED7" w:rsidRPr="008033F0">
        <w:rPr>
          <w:rFonts w:asciiTheme="majorHAnsi" w:hAnsiTheme="majorHAnsi"/>
          <w:sz w:val="28"/>
          <w:szCs w:val="28"/>
        </w:rPr>
        <w:t xml:space="preserve">arty </w:t>
      </w:r>
      <w:r w:rsidR="00DA275C" w:rsidRPr="008033F0">
        <w:rPr>
          <w:rFonts w:asciiTheme="majorHAnsi" w:hAnsiTheme="majorHAnsi"/>
          <w:sz w:val="28"/>
          <w:szCs w:val="28"/>
        </w:rPr>
        <w:t>seek</w:t>
      </w:r>
      <w:r w:rsidR="005C6345">
        <w:rPr>
          <w:rFonts w:asciiTheme="majorHAnsi" w:hAnsiTheme="majorHAnsi"/>
          <w:sz w:val="28"/>
          <w:szCs w:val="28"/>
        </w:rPr>
        <w:t>s</w:t>
      </w:r>
      <w:r w:rsidR="00DA275C" w:rsidRPr="008033F0">
        <w:rPr>
          <w:rFonts w:asciiTheme="majorHAnsi" w:hAnsiTheme="majorHAnsi"/>
          <w:sz w:val="28"/>
          <w:szCs w:val="28"/>
        </w:rPr>
        <w:t xml:space="preserve"> to justify its non-compliance with the Committee’s recommendation with the claim that</w:t>
      </w:r>
      <w:r w:rsidR="00791ED7" w:rsidRPr="008033F0">
        <w:rPr>
          <w:rFonts w:asciiTheme="majorHAnsi" w:hAnsiTheme="majorHAnsi"/>
          <w:sz w:val="28"/>
          <w:szCs w:val="28"/>
        </w:rPr>
        <w:t xml:space="preserve"> “all current military commission proceedings at </w:t>
      </w:r>
      <w:r w:rsidR="00CA3AD9">
        <w:rPr>
          <w:rFonts w:asciiTheme="majorHAnsi" w:hAnsiTheme="majorHAnsi"/>
          <w:sz w:val="28"/>
          <w:szCs w:val="28"/>
        </w:rPr>
        <w:t>Guantánamo</w:t>
      </w:r>
      <w:r w:rsidR="00791ED7" w:rsidRPr="008033F0">
        <w:rPr>
          <w:rFonts w:asciiTheme="majorHAnsi" w:hAnsiTheme="majorHAnsi"/>
          <w:sz w:val="28"/>
          <w:szCs w:val="28"/>
        </w:rPr>
        <w:t xml:space="preserve"> incorporate fundamental procedural guarantees that meet or exceed the fair trial safeguards required by Common Article 3 and other applicable law, and are further consistent with those in Additional Protocol II of the 1949 Geneva Conventions.”</w:t>
      </w:r>
      <w:r w:rsidR="00791ED7" w:rsidRPr="008033F0">
        <w:rPr>
          <w:rStyle w:val="FootnoteReference"/>
          <w:rFonts w:asciiTheme="majorHAnsi" w:hAnsiTheme="majorHAnsi"/>
          <w:sz w:val="28"/>
          <w:szCs w:val="28"/>
        </w:rPr>
        <w:footnoteReference w:id="2"/>
      </w:r>
      <w:r w:rsidR="00791ED7" w:rsidRPr="008033F0">
        <w:rPr>
          <w:rFonts w:asciiTheme="majorHAnsi" w:hAnsiTheme="majorHAnsi"/>
          <w:sz w:val="28"/>
          <w:szCs w:val="28"/>
        </w:rPr>
        <w:t xml:space="preserve">  </w:t>
      </w:r>
    </w:p>
    <w:p w:rsidR="00212562" w:rsidRPr="008033F0" w:rsidRDefault="00212562" w:rsidP="00791ED7">
      <w:pPr>
        <w:jc w:val="both"/>
        <w:rPr>
          <w:rFonts w:asciiTheme="majorHAnsi" w:hAnsiTheme="majorHAnsi"/>
          <w:sz w:val="28"/>
          <w:szCs w:val="28"/>
        </w:rPr>
      </w:pPr>
    </w:p>
    <w:p w:rsidR="00791ED7" w:rsidRPr="008033F0" w:rsidRDefault="009D7286" w:rsidP="00791ED7">
      <w:pPr>
        <w:jc w:val="both"/>
        <w:rPr>
          <w:rFonts w:asciiTheme="majorHAnsi" w:hAnsiTheme="majorHAnsi"/>
          <w:sz w:val="28"/>
          <w:szCs w:val="28"/>
        </w:rPr>
      </w:pPr>
      <w:r w:rsidRPr="008033F0">
        <w:rPr>
          <w:rFonts w:asciiTheme="majorHAnsi" w:hAnsiTheme="majorHAnsi"/>
          <w:sz w:val="28"/>
          <w:szCs w:val="28"/>
        </w:rPr>
        <w:t>The State p</w:t>
      </w:r>
      <w:r w:rsidR="00791ED7" w:rsidRPr="008033F0">
        <w:rPr>
          <w:rFonts w:asciiTheme="majorHAnsi" w:hAnsiTheme="majorHAnsi"/>
          <w:sz w:val="28"/>
          <w:szCs w:val="28"/>
        </w:rPr>
        <w:t>arty’s claim is not accurate.  T</w:t>
      </w:r>
      <w:r w:rsidRPr="008033F0">
        <w:rPr>
          <w:rFonts w:asciiTheme="majorHAnsi" w:hAnsiTheme="majorHAnsi"/>
          <w:sz w:val="28"/>
          <w:szCs w:val="28"/>
        </w:rPr>
        <w:t>he State p</w:t>
      </w:r>
      <w:r w:rsidR="00791ED7" w:rsidRPr="008033F0">
        <w:rPr>
          <w:rFonts w:asciiTheme="majorHAnsi" w:hAnsiTheme="majorHAnsi"/>
          <w:sz w:val="28"/>
          <w:szCs w:val="28"/>
        </w:rPr>
        <w:t xml:space="preserve">arty violates the guarantee of humane treatment at </w:t>
      </w:r>
      <w:r w:rsidR="00CA3AD9">
        <w:rPr>
          <w:rFonts w:asciiTheme="majorHAnsi" w:hAnsiTheme="majorHAnsi"/>
          <w:sz w:val="28"/>
          <w:szCs w:val="28"/>
        </w:rPr>
        <w:t>Guantánamo</w:t>
      </w:r>
      <w:r w:rsidR="00791ED7" w:rsidRPr="008033F0">
        <w:rPr>
          <w:rFonts w:asciiTheme="majorHAnsi" w:hAnsiTheme="majorHAnsi"/>
          <w:sz w:val="28"/>
          <w:szCs w:val="28"/>
        </w:rPr>
        <w:t xml:space="preserve"> Bay, and the military commissions violate multiple fair trial guarantees, including an independent tribunal, equality of arms, and the principle of legality.</w:t>
      </w:r>
    </w:p>
    <w:p w:rsidR="00212562" w:rsidRPr="008033F0" w:rsidRDefault="00212562" w:rsidP="00791ED7">
      <w:pPr>
        <w:jc w:val="both"/>
        <w:rPr>
          <w:rFonts w:asciiTheme="majorHAnsi" w:hAnsiTheme="majorHAnsi"/>
          <w:sz w:val="28"/>
          <w:szCs w:val="28"/>
        </w:rPr>
      </w:pPr>
    </w:p>
    <w:p w:rsidR="00791ED7" w:rsidRPr="008033F0" w:rsidRDefault="00DA275C" w:rsidP="00D96678">
      <w:pPr>
        <w:jc w:val="both"/>
        <w:rPr>
          <w:rFonts w:asciiTheme="majorHAnsi" w:hAnsiTheme="majorHAnsi"/>
          <w:sz w:val="28"/>
          <w:szCs w:val="28"/>
        </w:rPr>
      </w:pPr>
      <w:r w:rsidRPr="008033F0">
        <w:rPr>
          <w:rFonts w:asciiTheme="majorHAnsi" w:hAnsiTheme="majorHAnsi"/>
          <w:sz w:val="28"/>
          <w:szCs w:val="28"/>
        </w:rPr>
        <w:t>The State party’s</w:t>
      </w:r>
      <w:r w:rsidR="00791ED7" w:rsidRPr="008033F0">
        <w:rPr>
          <w:rFonts w:asciiTheme="majorHAnsi" w:hAnsiTheme="majorHAnsi"/>
          <w:sz w:val="28"/>
          <w:szCs w:val="28"/>
        </w:rPr>
        <w:t xml:space="preserve"> military commissions intentionally target men for harsher treatment based on their religion and nationality.</w:t>
      </w:r>
      <w:r w:rsidR="00791ED7" w:rsidRPr="008033F0">
        <w:rPr>
          <w:rStyle w:val="FootnoteReference"/>
          <w:rFonts w:asciiTheme="majorHAnsi" w:hAnsiTheme="majorHAnsi"/>
          <w:sz w:val="28"/>
          <w:szCs w:val="28"/>
        </w:rPr>
        <w:footnoteReference w:id="3"/>
      </w:r>
      <w:r w:rsidRPr="008033F0">
        <w:rPr>
          <w:rFonts w:asciiTheme="majorHAnsi" w:hAnsiTheme="majorHAnsi"/>
          <w:sz w:val="28"/>
          <w:szCs w:val="28"/>
        </w:rPr>
        <w:t xml:space="preserve">  While the State p</w:t>
      </w:r>
      <w:r w:rsidR="00791ED7" w:rsidRPr="008033F0">
        <w:rPr>
          <w:rFonts w:asciiTheme="majorHAnsi" w:hAnsiTheme="majorHAnsi"/>
          <w:sz w:val="28"/>
          <w:szCs w:val="28"/>
        </w:rPr>
        <w:t xml:space="preserve">arty prosecutes men and women of all religions and nationalities in its state, federal, territorial, and tribal courts, </w:t>
      </w:r>
      <w:r w:rsidR="00D96678" w:rsidRPr="008033F0">
        <w:rPr>
          <w:rFonts w:asciiTheme="majorHAnsi" w:hAnsiTheme="majorHAnsi"/>
          <w:sz w:val="28"/>
          <w:szCs w:val="28"/>
        </w:rPr>
        <w:t xml:space="preserve">as well as courts-martial, </w:t>
      </w:r>
      <w:r w:rsidR="00791ED7" w:rsidRPr="008033F0">
        <w:rPr>
          <w:rFonts w:asciiTheme="majorHAnsi" w:hAnsiTheme="majorHAnsi"/>
          <w:sz w:val="28"/>
          <w:szCs w:val="28"/>
        </w:rPr>
        <w:t xml:space="preserve">it reserves military commissions for followers of Islam who do not hold American citizenship.  The State party has never prosecuted any Christian, Jew, Buddhist, Sikh, Hindu, Jain, Zoroastrian, Rastafarian, or atheist in a </w:t>
      </w:r>
      <w:r w:rsidR="00CA3AD9">
        <w:rPr>
          <w:rFonts w:asciiTheme="majorHAnsi" w:hAnsiTheme="majorHAnsi"/>
          <w:sz w:val="28"/>
          <w:szCs w:val="28"/>
        </w:rPr>
        <w:t>Guantánamo</w:t>
      </w:r>
      <w:r w:rsidR="00791ED7" w:rsidRPr="008033F0">
        <w:rPr>
          <w:rFonts w:asciiTheme="majorHAnsi" w:hAnsiTheme="majorHAnsi"/>
          <w:sz w:val="28"/>
          <w:szCs w:val="28"/>
        </w:rPr>
        <w:t xml:space="preserve"> Bay </w:t>
      </w:r>
      <w:r w:rsidRPr="008033F0">
        <w:rPr>
          <w:rFonts w:asciiTheme="majorHAnsi" w:hAnsiTheme="majorHAnsi"/>
          <w:sz w:val="28"/>
          <w:szCs w:val="28"/>
        </w:rPr>
        <w:t>military commission; the State p</w:t>
      </w:r>
      <w:r w:rsidR="00791ED7" w:rsidRPr="008033F0">
        <w:rPr>
          <w:rFonts w:asciiTheme="majorHAnsi" w:hAnsiTheme="majorHAnsi"/>
          <w:sz w:val="28"/>
          <w:szCs w:val="28"/>
        </w:rPr>
        <w:t>arty reserves that indignity for Muslims.</w:t>
      </w:r>
    </w:p>
    <w:p w:rsidR="00791ED7" w:rsidRPr="00C25414" w:rsidRDefault="00791ED7" w:rsidP="005149FE">
      <w:pPr>
        <w:jc w:val="center"/>
        <w:rPr>
          <w:rFonts w:asciiTheme="majorHAnsi" w:hAnsiTheme="majorHAnsi"/>
          <w:b/>
          <w:bCs/>
          <w:i/>
          <w:iCs/>
          <w:sz w:val="44"/>
          <w:szCs w:val="44"/>
        </w:rPr>
      </w:pPr>
      <w:r w:rsidRPr="00C25414">
        <w:rPr>
          <w:rFonts w:asciiTheme="majorHAnsi" w:hAnsiTheme="majorHAnsi"/>
          <w:b/>
          <w:bCs/>
          <w:i/>
          <w:iCs/>
          <w:sz w:val="44"/>
          <w:szCs w:val="44"/>
        </w:rPr>
        <w:lastRenderedPageBreak/>
        <w:t>Cruel, inhuman and degrading treatmen</w:t>
      </w:r>
      <w:r w:rsidR="005149FE" w:rsidRPr="00C25414">
        <w:rPr>
          <w:rFonts w:asciiTheme="majorHAnsi" w:hAnsiTheme="majorHAnsi"/>
          <w:b/>
          <w:bCs/>
          <w:i/>
          <w:iCs/>
          <w:sz w:val="44"/>
          <w:szCs w:val="44"/>
        </w:rPr>
        <w:t>t</w:t>
      </w:r>
    </w:p>
    <w:p w:rsidR="009D7286" w:rsidRPr="008033F0" w:rsidRDefault="009D7286" w:rsidP="00791ED7">
      <w:pPr>
        <w:jc w:val="center"/>
        <w:rPr>
          <w:rFonts w:asciiTheme="majorHAnsi" w:hAnsiTheme="majorHAnsi"/>
          <w:i/>
          <w:iCs/>
          <w:sz w:val="28"/>
          <w:szCs w:val="28"/>
        </w:rPr>
      </w:pPr>
    </w:p>
    <w:p w:rsidR="00791ED7" w:rsidRPr="008033F0" w:rsidRDefault="009402AC" w:rsidP="00B90816">
      <w:pPr>
        <w:jc w:val="both"/>
        <w:rPr>
          <w:rFonts w:asciiTheme="majorHAnsi" w:hAnsiTheme="majorHAnsi"/>
          <w:sz w:val="28"/>
          <w:szCs w:val="28"/>
        </w:rPr>
      </w:pPr>
      <w:r w:rsidRPr="008033F0">
        <w:rPr>
          <w:rFonts w:asciiTheme="majorHAnsi" w:hAnsiTheme="majorHAnsi"/>
          <w:sz w:val="28"/>
          <w:szCs w:val="28"/>
        </w:rPr>
        <w:t>The State p</w:t>
      </w:r>
      <w:r w:rsidR="00791ED7" w:rsidRPr="008033F0">
        <w:rPr>
          <w:rFonts w:asciiTheme="majorHAnsi" w:hAnsiTheme="majorHAnsi"/>
          <w:sz w:val="28"/>
          <w:szCs w:val="28"/>
        </w:rPr>
        <w:t xml:space="preserve">arty imprisons men at </w:t>
      </w:r>
      <w:r w:rsidR="00CA3AD9">
        <w:rPr>
          <w:rFonts w:asciiTheme="majorHAnsi" w:hAnsiTheme="majorHAnsi"/>
          <w:sz w:val="28"/>
          <w:szCs w:val="28"/>
        </w:rPr>
        <w:t>Guantánamo</w:t>
      </w:r>
      <w:r w:rsidR="00791ED7" w:rsidRPr="008033F0">
        <w:rPr>
          <w:rFonts w:asciiTheme="majorHAnsi" w:hAnsiTheme="majorHAnsi"/>
          <w:sz w:val="28"/>
          <w:szCs w:val="28"/>
        </w:rPr>
        <w:t xml:space="preserve"> Bay, especial</w:t>
      </w:r>
      <w:r w:rsidRPr="008033F0">
        <w:rPr>
          <w:rFonts w:asciiTheme="majorHAnsi" w:hAnsiTheme="majorHAnsi"/>
          <w:sz w:val="28"/>
          <w:szCs w:val="28"/>
        </w:rPr>
        <w:t>ly those detained by the State p</w:t>
      </w:r>
      <w:r w:rsidR="00791ED7" w:rsidRPr="008033F0">
        <w:rPr>
          <w:rFonts w:asciiTheme="majorHAnsi" w:hAnsiTheme="majorHAnsi"/>
          <w:sz w:val="28"/>
          <w:szCs w:val="28"/>
        </w:rPr>
        <w:t>arty’s Central Intelligence Agency, in a manner inconsistent with ICCPR standards.</w:t>
      </w:r>
      <w:r w:rsidR="00791ED7" w:rsidRPr="008033F0">
        <w:rPr>
          <w:rStyle w:val="FootnoteReference"/>
          <w:rFonts w:asciiTheme="majorHAnsi" w:hAnsiTheme="majorHAnsi"/>
          <w:sz w:val="28"/>
          <w:szCs w:val="28"/>
        </w:rPr>
        <w:footnoteReference w:id="4"/>
      </w:r>
      <w:r w:rsidR="00791ED7" w:rsidRPr="008033F0">
        <w:rPr>
          <w:rFonts w:asciiTheme="majorHAnsi" w:hAnsiTheme="majorHAnsi"/>
          <w:sz w:val="28"/>
          <w:szCs w:val="28"/>
        </w:rPr>
        <w:t xml:space="preserve">  </w:t>
      </w:r>
      <w:r w:rsidR="009D7286" w:rsidRPr="008033F0">
        <w:rPr>
          <w:rFonts w:asciiTheme="majorHAnsi" w:hAnsiTheme="majorHAnsi"/>
          <w:sz w:val="28"/>
          <w:szCs w:val="28"/>
        </w:rPr>
        <w:t>Between 2002</w:t>
      </w:r>
      <w:r w:rsidR="00791ED7" w:rsidRPr="008033F0">
        <w:rPr>
          <w:rFonts w:asciiTheme="majorHAnsi" w:hAnsiTheme="majorHAnsi"/>
          <w:sz w:val="28"/>
          <w:szCs w:val="28"/>
        </w:rPr>
        <w:t xml:space="preserve"> and 2006, the State Party held the six men it now seeks to execute in secret torture centers.  Among other forms of torture and other cruel, inhuman, and degrading treatment, </w:t>
      </w:r>
      <w:r w:rsidR="00B90816" w:rsidRPr="008033F0">
        <w:rPr>
          <w:rFonts w:asciiTheme="majorHAnsi" w:hAnsiTheme="majorHAnsi"/>
          <w:sz w:val="28"/>
          <w:szCs w:val="28"/>
        </w:rPr>
        <w:t>authorized agents of the State p</w:t>
      </w:r>
      <w:r w:rsidR="00791ED7" w:rsidRPr="008033F0">
        <w:rPr>
          <w:rFonts w:asciiTheme="majorHAnsi" w:hAnsiTheme="majorHAnsi"/>
          <w:sz w:val="28"/>
          <w:szCs w:val="28"/>
        </w:rPr>
        <w:t>arty drowned, raped, and mock-executed various secret prisoners.</w:t>
      </w:r>
      <w:r w:rsidR="00B90816" w:rsidRPr="008033F0">
        <w:rPr>
          <w:rStyle w:val="FootnoteReference"/>
          <w:rFonts w:asciiTheme="majorHAnsi" w:hAnsiTheme="majorHAnsi"/>
          <w:sz w:val="28"/>
          <w:szCs w:val="28"/>
        </w:rPr>
        <w:t xml:space="preserve"> </w:t>
      </w:r>
      <w:r w:rsidR="00B90816" w:rsidRPr="008033F0">
        <w:rPr>
          <w:rStyle w:val="FootnoteReference"/>
          <w:rFonts w:asciiTheme="majorHAnsi" w:hAnsiTheme="majorHAnsi"/>
          <w:sz w:val="28"/>
          <w:szCs w:val="28"/>
        </w:rPr>
        <w:footnoteReference w:id="5"/>
      </w:r>
      <w:r w:rsidR="00B90816" w:rsidRPr="008033F0">
        <w:rPr>
          <w:rFonts w:asciiTheme="majorHAnsi" w:hAnsiTheme="majorHAnsi"/>
          <w:sz w:val="28"/>
          <w:szCs w:val="28"/>
        </w:rPr>
        <w:t xml:space="preserve">  In 2006, the State p</w:t>
      </w:r>
      <w:r w:rsidR="00791ED7" w:rsidRPr="008033F0">
        <w:rPr>
          <w:rFonts w:asciiTheme="majorHAnsi" w:hAnsiTheme="majorHAnsi"/>
          <w:sz w:val="28"/>
          <w:szCs w:val="28"/>
        </w:rPr>
        <w:t xml:space="preserve">arty transferred the men it seeks to execute from CIA secret detention to </w:t>
      </w:r>
      <w:r w:rsidR="00CA3AD9">
        <w:rPr>
          <w:rFonts w:asciiTheme="majorHAnsi" w:hAnsiTheme="majorHAnsi"/>
          <w:sz w:val="28"/>
          <w:szCs w:val="28"/>
        </w:rPr>
        <w:t>Guantánamo</w:t>
      </w:r>
      <w:r w:rsidR="00791ED7" w:rsidRPr="008033F0">
        <w:rPr>
          <w:rFonts w:asciiTheme="majorHAnsi" w:hAnsiTheme="majorHAnsi"/>
          <w:sz w:val="28"/>
          <w:szCs w:val="28"/>
        </w:rPr>
        <w:t xml:space="preserve"> Bay Naval Station, </w:t>
      </w:r>
      <w:r w:rsidR="00B90816" w:rsidRPr="008033F0">
        <w:rPr>
          <w:rFonts w:asciiTheme="majorHAnsi" w:hAnsiTheme="majorHAnsi"/>
          <w:sz w:val="28"/>
          <w:szCs w:val="28"/>
        </w:rPr>
        <w:t>but housed them separate from other military detainees and kept them under “operational control” of the CIA.</w:t>
      </w:r>
      <w:r w:rsidR="00B90816" w:rsidRPr="008033F0">
        <w:rPr>
          <w:rStyle w:val="FootnoteReference"/>
          <w:rFonts w:asciiTheme="majorHAnsi" w:hAnsiTheme="majorHAnsi"/>
          <w:sz w:val="28"/>
          <w:szCs w:val="28"/>
        </w:rPr>
        <w:footnoteReference w:id="6"/>
      </w:r>
      <w:r w:rsidR="00CB2AC8" w:rsidRPr="008033F0">
        <w:rPr>
          <w:rFonts w:asciiTheme="majorHAnsi" w:hAnsiTheme="majorHAnsi"/>
          <w:sz w:val="28"/>
          <w:szCs w:val="28"/>
        </w:rPr>
        <w:t xml:space="preserve">  Even before the State party transferred the six men it seeks to execute to conditions even harsher than those of most </w:t>
      </w:r>
      <w:r w:rsidR="00CA3AD9">
        <w:rPr>
          <w:rFonts w:asciiTheme="majorHAnsi" w:hAnsiTheme="majorHAnsi"/>
          <w:sz w:val="28"/>
          <w:szCs w:val="28"/>
        </w:rPr>
        <w:t>Guantánamo</w:t>
      </w:r>
      <w:r w:rsidR="00CB2AC8" w:rsidRPr="008033F0">
        <w:rPr>
          <w:rFonts w:asciiTheme="majorHAnsi" w:hAnsiTheme="majorHAnsi"/>
          <w:sz w:val="28"/>
          <w:szCs w:val="28"/>
        </w:rPr>
        <w:t xml:space="preserve"> prisoners, the Special Mandate Holders had noted potential violations of </w:t>
      </w:r>
      <w:r w:rsidR="00B90816" w:rsidRPr="008033F0">
        <w:rPr>
          <w:rFonts w:asciiTheme="majorHAnsi" w:hAnsiTheme="majorHAnsi"/>
          <w:sz w:val="28"/>
          <w:szCs w:val="28"/>
        </w:rPr>
        <w:t>humane treatment requirements</w:t>
      </w:r>
      <w:r w:rsidR="00CB2AC8" w:rsidRPr="008033F0">
        <w:rPr>
          <w:rFonts w:asciiTheme="majorHAnsi" w:hAnsiTheme="majorHAnsi"/>
          <w:sz w:val="28"/>
          <w:szCs w:val="28"/>
        </w:rPr>
        <w:t>.</w:t>
      </w:r>
      <w:r w:rsidR="00CB2AC8" w:rsidRPr="008033F0">
        <w:rPr>
          <w:rStyle w:val="FootnoteReference"/>
          <w:rFonts w:asciiTheme="majorHAnsi" w:hAnsiTheme="majorHAnsi"/>
          <w:sz w:val="28"/>
          <w:szCs w:val="28"/>
        </w:rPr>
        <w:footnoteReference w:id="7"/>
      </w:r>
    </w:p>
    <w:p w:rsidR="00D96678" w:rsidRPr="008033F0" w:rsidRDefault="00D96678" w:rsidP="00791ED7">
      <w:pPr>
        <w:jc w:val="both"/>
        <w:rPr>
          <w:rFonts w:asciiTheme="majorHAnsi" w:hAnsiTheme="majorHAnsi"/>
          <w:sz w:val="28"/>
          <w:szCs w:val="28"/>
        </w:rPr>
      </w:pPr>
    </w:p>
    <w:p w:rsidR="00791ED7" w:rsidRPr="008033F0" w:rsidRDefault="00B90816" w:rsidP="00B90816">
      <w:pPr>
        <w:jc w:val="both"/>
        <w:rPr>
          <w:rFonts w:asciiTheme="majorHAnsi" w:hAnsiTheme="majorHAnsi"/>
          <w:sz w:val="28"/>
          <w:szCs w:val="28"/>
        </w:rPr>
      </w:pPr>
      <w:r w:rsidRPr="008033F0">
        <w:rPr>
          <w:rFonts w:asciiTheme="majorHAnsi" w:hAnsiTheme="majorHAnsi"/>
          <w:sz w:val="28"/>
          <w:szCs w:val="28"/>
        </w:rPr>
        <w:t>Since 2006, the State p</w:t>
      </w:r>
      <w:r w:rsidR="00791ED7" w:rsidRPr="008033F0">
        <w:rPr>
          <w:rFonts w:asciiTheme="majorHAnsi" w:hAnsiTheme="majorHAnsi"/>
          <w:sz w:val="28"/>
          <w:szCs w:val="28"/>
        </w:rPr>
        <w:t xml:space="preserve">arty has continued to subject the men it seeks to execute to cruel, inhuman, and degrading treatment at </w:t>
      </w:r>
      <w:r w:rsidR="00CA3AD9">
        <w:rPr>
          <w:rFonts w:asciiTheme="majorHAnsi" w:hAnsiTheme="majorHAnsi"/>
          <w:sz w:val="28"/>
          <w:szCs w:val="28"/>
        </w:rPr>
        <w:t>Guantánamo</w:t>
      </w:r>
      <w:r w:rsidR="00791ED7" w:rsidRPr="008033F0">
        <w:rPr>
          <w:rFonts w:asciiTheme="majorHAnsi" w:hAnsiTheme="majorHAnsi"/>
          <w:sz w:val="28"/>
          <w:szCs w:val="28"/>
        </w:rPr>
        <w:t xml:space="preserve"> Bay</w:t>
      </w:r>
      <w:r w:rsidRPr="008033F0">
        <w:rPr>
          <w:rFonts w:asciiTheme="majorHAnsi" w:hAnsiTheme="majorHAnsi"/>
          <w:sz w:val="28"/>
          <w:szCs w:val="28"/>
        </w:rPr>
        <w:t>.  The State p</w:t>
      </w:r>
      <w:r w:rsidR="00791ED7" w:rsidRPr="008033F0">
        <w:rPr>
          <w:rFonts w:asciiTheme="majorHAnsi" w:hAnsiTheme="majorHAnsi"/>
          <w:sz w:val="28"/>
          <w:szCs w:val="28"/>
        </w:rPr>
        <w:t xml:space="preserve">arty held the men indefinitely, without access to attorneys, consular officials, family members, or human rights monitors other than </w:t>
      </w:r>
      <w:r w:rsidR="005C6345">
        <w:rPr>
          <w:rFonts w:asciiTheme="majorHAnsi" w:hAnsiTheme="majorHAnsi"/>
          <w:sz w:val="28"/>
          <w:szCs w:val="28"/>
        </w:rPr>
        <w:t xml:space="preserve">the </w:t>
      </w:r>
      <w:r w:rsidR="00791ED7" w:rsidRPr="008033F0">
        <w:rPr>
          <w:rFonts w:asciiTheme="majorHAnsi" w:hAnsiTheme="majorHAnsi"/>
          <w:sz w:val="28"/>
          <w:szCs w:val="28"/>
        </w:rPr>
        <w:t>ICRC until 2008, when it briefly charged the men in a mi</w:t>
      </w:r>
      <w:r w:rsidR="005C6345">
        <w:rPr>
          <w:rFonts w:asciiTheme="majorHAnsi" w:hAnsiTheme="majorHAnsi"/>
          <w:sz w:val="28"/>
          <w:szCs w:val="28"/>
        </w:rPr>
        <w:t xml:space="preserve">litary commission.  Following </w:t>
      </w:r>
      <w:r w:rsidR="00791ED7" w:rsidRPr="008033F0">
        <w:rPr>
          <w:rFonts w:asciiTheme="majorHAnsi" w:hAnsiTheme="majorHAnsi"/>
          <w:sz w:val="28"/>
          <w:szCs w:val="28"/>
        </w:rPr>
        <w:t xml:space="preserve"> abortive military commission proceeding</w:t>
      </w:r>
      <w:r w:rsidRPr="008033F0">
        <w:rPr>
          <w:rFonts w:asciiTheme="majorHAnsi" w:hAnsiTheme="majorHAnsi"/>
          <w:sz w:val="28"/>
          <w:szCs w:val="28"/>
        </w:rPr>
        <w:t>s in 2008</w:t>
      </w:r>
      <w:r w:rsidR="00791ED7" w:rsidRPr="008033F0">
        <w:rPr>
          <w:rFonts w:asciiTheme="majorHAnsi" w:hAnsiTheme="majorHAnsi"/>
          <w:sz w:val="28"/>
          <w:szCs w:val="28"/>
        </w:rPr>
        <w:t xml:space="preserve">, </w:t>
      </w:r>
      <w:r w:rsidRPr="008033F0">
        <w:rPr>
          <w:rFonts w:asciiTheme="majorHAnsi" w:hAnsiTheme="majorHAnsi"/>
          <w:sz w:val="28"/>
          <w:szCs w:val="28"/>
        </w:rPr>
        <w:t>the State p</w:t>
      </w:r>
      <w:r w:rsidR="00791ED7" w:rsidRPr="008033F0">
        <w:rPr>
          <w:rFonts w:asciiTheme="majorHAnsi" w:hAnsiTheme="majorHAnsi"/>
          <w:sz w:val="28"/>
          <w:szCs w:val="28"/>
        </w:rPr>
        <w:t xml:space="preserve">arty continued to hold the men indefinitely until 2011 (for </w:t>
      </w:r>
      <w:r w:rsidR="005C6345">
        <w:rPr>
          <w:rFonts w:asciiTheme="majorHAnsi" w:hAnsiTheme="majorHAnsi"/>
          <w:sz w:val="28"/>
          <w:szCs w:val="28"/>
        </w:rPr>
        <w:t xml:space="preserve">Mr. </w:t>
      </w:r>
      <w:r w:rsidR="00791ED7" w:rsidRPr="008033F0">
        <w:rPr>
          <w:rFonts w:asciiTheme="majorHAnsi" w:hAnsiTheme="majorHAnsi"/>
          <w:sz w:val="28"/>
          <w:szCs w:val="28"/>
        </w:rPr>
        <w:t xml:space="preserve">al Nashiri) or 2012 (for the other five men), when it charged them in military commissions explicitly designed to seek death </w:t>
      </w:r>
      <w:r w:rsidRPr="008033F0">
        <w:rPr>
          <w:rFonts w:asciiTheme="majorHAnsi" w:hAnsiTheme="majorHAnsi"/>
          <w:sz w:val="28"/>
          <w:szCs w:val="28"/>
        </w:rPr>
        <w:t>sentences.  Although the State p</w:t>
      </w:r>
      <w:r w:rsidR="00791ED7" w:rsidRPr="008033F0">
        <w:rPr>
          <w:rFonts w:asciiTheme="majorHAnsi" w:hAnsiTheme="majorHAnsi"/>
          <w:sz w:val="28"/>
          <w:szCs w:val="28"/>
        </w:rPr>
        <w:t>arty has provided attorneys for the men, it continues to deny consular access,</w:t>
      </w:r>
      <w:r w:rsidRPr="008033F0">
        <w:rPr>
          <w:rFonts w:asciiTheme="majorHAnsi" w:hAnsiTheme="majorHAnsi"/>
          <w:sz w:val="28"/>
          <w:szCs w:val="28"/>
        </w:rPr>
        <w:t xml:space="preserve"> </w:t>
      </w:r>
      <w:r w:rsidR="00791ED7" w:rsidRPr="008033F0">
        <w:rPr>
          <w:rFonts w:asciiTheme="majorHAnsi" w:hAnsiTheme="majorHAnsi"/>
          <w:sz w:val="28"/>
          <w:szCs w:val="28"/>
        </w:rPr>
        <w:t>visits or simultaneous communication with family, and access by human rights monitors other than the ICRC.</w:t>
      </w:r>
    </w:p>
    <w:p w:rsidR="00D96678" w:rsidRPr="008033F0" w:rsidRDefault="00D96678" w:rsidP="00791ED7">
      <w:pPr>
        <w:jc w:val="both"/>
        <w:rPr>
          <w:rFonts w:asciiTheme="majorHAnsi" w:hAnsiTheme="majorHAnsi"/>
          <w:sz w:val="28"/>
          <w:szCs w:val="28"/>
        </w:rPr>
      </w:pPr>
    </w:p>
    <w:p w:rsidR="00791ED7" w:rsidRPr="008033F0" w:rsidRDefault="00791ED7" w:rsidP="005149FE">
      <w:pPr>
        <w:jc w:val="both"/>
        <w:rPr>
          <w:rFonts w:asciiTheme="majorHAnsi" w:hAnsiTheme="majorHAnsi"/>
          <w:sz w:val="28"/>
          <w:szCs w:val="28"/>
        </w:rPr>
      </w:pPr>
      <w:r w:rsidRPr="008033F0">
        <w:rPr>
          <w:rFonts w:asciiTheme="majorHAnsi" w:hAnsiTheme="majorHAnsi"/>
          <w:sz w:val="28"/>
          <w:szCs w:val="28"/>
        </w:rPr>
        <w:lastRenderedPageBreak/>
        <w:t>For the entire period since thei</w:t>
      </w:r>
      <w:r w:rsidR="00B90816" w:rsidRPr="008033F0">
        <w:rPr>
          <w:rFonts w:asciiTheme="majorHAnsi" w:hAnsiTheme="majorHAnsi"/>
          <w:sz w:val="28"/>
          <w:szCs w:val="28"/>
        </w:rPr>
        <w:t>r arbitrary arrests, the State p</w:t>
      </w:r>
      <w:r w:rsidRPr="008033F0">
        <w:rPr>
          <w:rFonts w:asciiTheme="majorHAnsi" w:hAnsiTheme="majorHAnsi"/>
          <w:sz w:val="28"/>
          <w:szCs w:val="28"/>
        </w:rPr>
        <w:t>arty has held the men in solitary confinement under “super-maximum” conditions,</w:t>
      </w:r>
      <w:r w:rsidRPr="008033F0">
        <w:rPr>
          <w:rStyle w:val="FootnoteReference"/>
          <w:rFonts w:asciiTheme="majorHAnsi" w:hAnsiTheme="majorHAnsi"/>
          <w:sz w:val="28"/>
          <w:szCs w:val="28"/>
        </w:rPr>
        <w:footnoteReference w:id="8"/>
      </w:r>
      <w:r w:rsidRPr="008033F0">
        <w:rPr>
          <w:rFonts w:asciiTheme="majorHAnsi" w:hAnsiTheme="majorHAnsi"/>
          <w:sz w:val="28"/>
          <w:szCs w:val="28"/>
        </w:rPr>
        <w:t xml:space="preserve"> without communal worship, meals, indoor recreation, or educational opportunities.</w:t>
      </w:r>
      <w:r w:rsidR="005149FE" w:rsidRPr="008033F0">
        <w:rPr>
          <w:rFonts w:asciiTheme="majorHAnsi" w:hAnsiTheme="majorHAnsi"/>
          <w:sz w:val="28"/>
          <w:szCs w:val="28"/>
        </w:rPr>
        <w:t xml:space="preserve"> The State p</w:t>
      </w:r>
      <w:r w:rsidRPr="008033F0">
        <w:rPr>
          <w:rFonts w:asciiTheme="majorHAnsi" w:hAnsiTheme="majorHAnsi"/>
          <w:sz w:val="28"/>
          <w:szCs w:val="28"/>
        </w:rPr>
        <w:t xml:space="preserve">arty does not permit the men telephone calls with their families or attorneys, even after the death </w:t>
      </w:r>
      <w:r w:rsidR="005C6345">
        <w:rPr>
          <w:rFonts w:asciiTheme="majorHAnsi" w:hAnsiTheme="majorHAnsi"/>
          <w:sz w:val="28"/>
          <w:szCs w:val="28"/>
        </w:rPr>
        <w:t>of a family member.  The State p</w:t>
      </w:r>
      <w:r w:rsidRPr="008033F0">
        <w:rPr>
          <w:rFonts w:asciiTheme="majorHAnsi" w:hAnsiTheme="majorHAnsi"/>
          <w:sz w:val="28"/>
          <w:szCs w:val="28"/>
        </w:rPr>
        <w:t>arty prohibits independent medical treatment for the prisoners, and denies all attempts to obtain rehabilitation services for torture survivors.  All of the six men targeted for execution are subject to these shockingly punitive conditions, but none has been convicted of any crime.</w:t>
      </w:r>
    </w:p>
    <w:p w:rsidR="00D96678" w:rsidRPr="008033F0" w:rsidRDefault="00D96678" w:rsidP="00791ED7">
      <w:pPr>
        <w:jc w:val="both"/>
        <w:rPr>
          <w:rFonts w:asciiTheme="majorHAnsi" w:hAnsiTheme="majorHAnsi"/>
          <w:sz w:val="28"/>
          <w:szCs w:val="28"/>
        </w:rPr>
      </w:pPr>
    </w:p>
    <w:p w:rsidR="00791ED7" w:rsidRDefault="0072227F" w:rsidP="007E7C0B">
      <w:pPr>
        <w:jc w:val="both"/>
        <w:rPr>
          <w:rFonts w:asciiTheme="majorHAnsi" w:hAnsiTheme="majorHAnsi"/>
          <w:sz w:val="28"/>
          <w:szCs w:val="28"/>
        </w:rPr>
      </w:pPr>
      <w:r>
        <w:rPr>
          <w:rFonts w:asciiTheme="majorHAnsi" w:hAnsiTheme="majorHAnsi"/>
          <w:sz w:val="28"/>
          <w:szCs w:val="28"/>
        </w:rPr>
        <w:t>T</w:t>
      </w:r>
      <w:r w:rsidR="00791ED7" w:rsidRPr="008033F0">
        <w:rPr>
          <w:rFonts w:asciiTheme="majorHAnsi" w:hAnsiTheme="majorHAnsi"/>
          <w:sz w:val="28"/>
          <w:szCs w:val="28"/>
        </w:rPr>
        <w:t xml:space="preserve">he </w:t>
      </w:r>
      <w:r w:rsidR="00791ED7" w:rsidRPr="008033F0">
        <w:rPr>
          <w:rFonts w:asciiTheme="majorHAnsi" w:hAnsiTheme="majorHAnsi"/>
          <w:i/>
          <w:iCs/>
          <w:sz w:val="28"/>
          <w:szCs w:val="28"/>
        </w:rPr>
        <w:t xml:space="preserve">ad hoc </w:t>
      </w:r>
      <w:r w:rsidR="00791ED7" w:rsidRPr="008033F0">
        <w:rPr>
          <w:rFonts w:asciiTheme="majorHAnsi" w:hAnsiTheme="majorHAnsi"/>
          <w:sz w:val="28"/>
          <w:szCs w:val="28"/>
        </w:rPr>
        <w:t xml:space="preserve">military commissions have consistently </w:t>
      </w:r>
      <w:r w:rsidR="007E7C0B" w:rsidRPr="008033F0">
        <w:rPr>
          <w:rFonts w:asciiTheme="majorHAnsi" w:hAnsiTheme="majorHAnsi"/>
          <w:sz w:val="28"/>
          <w:szCs w:val="28"/>
        </w:rPr>
        <w:t>refused</w:t>
      </w:r>
      <w:r w:rsidR="00791ED7" w:rsidRPr="008033F0">
        <w:rPr>
          <w:rFonts w:asciiTheme="majorHAnsi" w:hAnsiTheme="majorHAnsi"/>
          <w:sz w:val="28"/>
          <w:szCs w:val="28"/>
        </w:rPr>
        <w:t xml:space="preserve"> to remed</w:t>
      </w:r>
      <w:r w:rsidR="005C6345">
        <w:rPr>
          <w:rFonts w:asciiTheme="majorHAnsi" w:hAnsiTheme="majorHAnsi"/>
          <w:sz w:val="28"/>
          <w:szCs w:val="28"/>
        </w:rPr>
        <w:t>y these violations.  The State p</w:t>
      </w:r>
      <w:r w:rsidR="00791ED7" w:rsidRPr="008033F0">
        <w:rPr>
          <w:rFonts w:asciiTheme="majorHAnsi" w:hAnsiTheme="majorHAnsi"/>
          <w:sz w:val="28"/>
          <w:szCs w:val="28"/>
        </w:rPr>
        <w:t>arty has prohibited bail, pretrial release, or even transfer to the United States for medical treatment.</w:t>
      </w:r>
      <w:r w:rsidR="00791ED7" w:rsidRPr="008033F0">
        <w:rPr>
          <w:rStyle w:val="FootnoteReference"/>
          <w:rFonts w:asciiTheme="majorHAnsi" w:hAnsiTheme="majorHAnsi"/>
          <w:sz w:val="28"/>
          <w:szCs w:val="28"/>
        </w:rPr>
        <w:footnoteReference w:id="9"/>
      </w:r>
      <w:r w:rsidR="00791ED7" w:rsidRPr="008033F0">
        <w:rPr>
          <w:rFonts w:asciiTheme="majorHAnsi" w:hAnsiTheme="majorHAnsi"/>
          <w:sz w:val="28"/>
          <w:szCs w:val="28"/>
        </w:rPr>
        <w:t xml:space="preserve">  One military commission has held that it cannot enforce the defendants’ rights under the Convention Against Torture or the Vienna Convention on Consular Relations.</w:t>
      </w:r>
      <w:r w:rsidR="00791ED7" w:rsidRPr="008033F0">
        <w:rPr>
          <w:rStyle w:val="FootnoteReference"/>
          <w:rFonts w:asciiTheme="majorHAnsi" w:hAnsiTheme="majorHAnsi"/>
          <w:sz w:val="28"/>
          <w:szCs w:val="28"/>
        </w:rPr>
        <w:footnoteReference w:id="10"/>
      </w:r>
      <w:r w:rsidR="00791ED7" w:rsidRPr="008033F0">
        <w:rPr>
          <w:rFonts w:asciiTheme="majorHAnsi" w:hAnsiTheme="majorHAnsi"/>
          <w:sz w:val="28"/>
          <w:szCs w:val="28"/>
        </w:rPr>
        <w:t xml:space="preserve">  </w:t>
      </w:r>
      <w:r w:rsidR="007E7C0B" w:rsidRPr="008033F0">
        <w:rPr>
          <w:rFonts w:asciiTheme="majorHAnsi" w:hAnsiTheme="majorHAnsi"/>
          <w:sz w:val="28"/>
          <w:szCs w:val="28"/>
        </w:rPr>
        <w:t>When Mr. al Baluchi sought a humanitarian telephone call with his family following the death of his father, a military commission ruled that it “does not run detention facilities and will defer to the judgment of the facility commander unless that judgment impacts on the legal proceedings in some manner.”</w:t>
      </w:r>
      <w:r w:rsidR="007E7C0B" w:rsidRPr="008033F0">
        <w:rPr>
          <w:rStyle w:val="FootnoteReference"/>
          <w:rFonts w:asciiTheme="majorHAnsi" w:hAnsiTheme="majorHAnsi"/>
          <w:sz w:val="28"/>
          <w:szCs w:val="28"/>
        </w:rPr>
        <w:footnoteReference w:id="11"/>
      </w:r>
      <w:r w:rsidR="007E7C0B" w:rsidRPr="008033F0">
        <w:rPr>
          <w:rFonts w:asciiTheme="majorHAnsi" w:hAnsiTheme="majorHAnsi"/>
          <w:sz w:val="28"/>
          <w:szCs w:val="28"/>
        </w:rPr>
        <w:t xml:space="preserve">  </w:t>
      </w:r>
      <w:r w:rsidR="00E36CA6">
        <w:rPr>
          <w:rFonts w:asciiTheme="majorHAnsi" w:hAnsiTheme="majorHAnsi"/>
          <w:sz w:val="28"/>
          <w:szCs w:val="28"/>
        </w:rPr>
        <w:t>The military commission has</w:t>
      </w:r>
      <w:r w:rsidR="00791ED7" w:rsidRPr="008033F0">
        <w:rPr>
          <w:rFonts w:asciiTheme="majorHAnsi" w:hAnsiTheme="majorHAnsi"/>
          <w:sz w:val="28"/>
          <w:szCs w:val="28"/>
        </w:rPr>
        <w:t xml:space="preserve"> held that </w:t>
      </w:r>
      <w:r w:rsidR="00E36CA6">
        <w:rPr>
          <w:rFonts w:asciiTheme="majorHAnsi" w:hAnsiTheme="majorHAnsi"/>
          <w:sz w:val="28"/>
          <w:szCs w:val="28"/>
        </w:rPr>
        <w:t>it</w:t>
      </w:r>
      <w:r w:rsidR="007E7C0B" w:rsidRPr="008033F0">
        <w:rPr>
          <w:rFonts w:asciiTheme="majorHAnsi" w:hAnsiTheme="majorHAnsi"/>
          <w:sz w:val="28"/>
          <w:szCs w:val="28"/>
        </w:rPr>
        <w:t xml:space="preserve"> cannot even require the State p</w:t>
      </w:r>
      <w:r w:rsidR="00791ED7" w:rsidRPr="008033F0">
        <w:rPr>
          <w:rFonts w:asciiTheme="majorHAnsi" w:hAnsiTheme="majorHAnsi"/>
          <w:sz w:val="28"/>
          <w:szCs w:val="28"/>
        </w:rPr>
        <w:t>arty to release a defendant if he is acquitted.</w:t>
      </w:r>
      <w:r w:rsidR="00791ED7" w:rsidRPr="008033F0">
        <w:rPr>
          <w:rStyle w:val="FootnoteReference"/>
          <w:rFonts w:asciiTheme="majorHAnsi" w:hAnsiTheme="majorHAnsi"/>
          <w:sz w:val="28"/>
          <w:szCs w:val="28"/>
        </w:rPr>
        <w:footnoteReference w:id="12"/>
      </w:r>
    </w:p>
    <w:p w:rsidR="00C25414" w:rsidRDefault="00C25414" w:rsidP="007E7C0B">
      <w:pPr>
        <w:jc w:val="both"/>
        <w:rPr>
          <w:rFonts w:asciiTheme="majorHAnsi" w:hAnsiTheme="majorHAnsi"/>
          <w:sz w:val="28"/>
          <w:szCs w:val="28"/>
        </w:rPr>
      </w:pPr>
    </w:p>
    <w:p w:rsidR="00C25414" w:rsidRDefault="00C25414" w:rsidP="007E7C0B">
      <w:pPr>
        <w:jc w:val="both"/>
        <w:rPr>
          <w:rFonts w:asciiTheme="majorHAnsi" w:hAnsiTheme="majorHAnsi"/>
          <w:sz w:val="28"/>
          <w:szCs w:val="28"/>
        </w:rPr>
      </w:pPr>
    </w:p>
    <w:p w:rsidR="00C25414" w:rsidRDefault="00C25414" w:rsidP="007E7C0B">
      <w:pPr>
        <w:jc w:val="both"/>
        <w:rPr>
          <w:rFonts w:asciiTheme="majorHAnsi" w:hAnsiTheme="majorHAnsi"/>
          <w:sz w:val="28"/>
          <w:szCs w:val="28"/>
        </w:rPr>
      </w:pPr>
    </w:p>
    <w:p w:rsidR="00C25414" w:rsidRDefault="00C25414" w:rsidP="007E7C0B">
      <w:pPr>
        <w:jc w:val="both"/>
        <w:rPr>
          <w:rFonts w:asciiTheme="majorHAnsi" w:hAnsiTheme="majorHAnsi"/>
          <w:sz w:val="28"/>
          <w:szCs w:val="28"/>
        </w:rPr>
      </w:pPr>
    </w:p>
    <w:p w:rsidR="00C25414" w:rsidRDefault="00C25414" w:rsidP="007E7C0B">
      <w:pPr>
        <w:jc w:val="both"/>
        <w:rPr>
          <w:rFonts w:asciiTheme="majorHAnsi" w:hAnsiTheme="majorHAnsi"/>
          <w:sz w:val="28"/>
          <w:szCs w:val="28"/>
        </w:rPr>
      </w:pPr>
    </w:p>
    <w:p w:rsidR="00791ED7" w:rsidRPr="00C25414" w:rsidRDefault="00791ED7" w:rsidP="00AB72A3">
      <w:pPr>
        <w:jc w:val="center"/>
        <w:rPr>
          <w:rFonts w:asciiTheme="majorHAnsi" w:hAnsiTheme="majorHAnsi"/>
          <w:b/>
          <w:bCs/>
          <w:i/>
          <w:iCs/>
          <w:sz w:val="44"/>
          <w:szCs w:val="44"/>
        </w:rPr>
      </w:pPr>
      <w:r w:rsidRPr="00C25414">
        <w:rPr>
          <w:rFonts w:asciiTheme="majorHAnsi" w:hAnsiTheme="majorHAnsi"/>
          <w:b/>
          <w:bCs/>
          <w:i/>
          <w:iCs/>
          <w:sz w:val="44"/>
          <w:szCs w:val="44"/>
        </w:rPr>
        <w:lastRenderedPageBreak/>
        <w:t xml:space="preserve">Violation of fair trial rights </w:t>
      </w:r>
    </w:p>
    <w:p w:rsidR="00D96678" w:rsidRPr="008033F0" w:rsidRDefault="00D96678" w:rsidP="00791ED7">
      <w:pPr>
        <w:jc w:val="center"/>
        <w:rPr>
          <w:rFonts w:asciiTheme="majorHAnsi" w:hAnsiTheme="majorHAnsi"/>
          <w:i/>
          <w:iCs/>
          <w:sz w:val="28"/>
          <w:szCs w:val="28"/>
        </w:rPr>
      </w:pPr>
    </w:p>
    <w:p w:rsidR="00791ED7" w:rsidRPr="008033F0" w:rsidRDefault="00791ED7" w:rsidP="0058045C">
      <w:pPr>
        <w:jc w:val="both"/>
        <w:rPr>
          <w:rFonts w:asciiTheme="majorHAnsi" w:hAnsiTheme="majorHAnsi"/>
          <w:sz w:val="28"/>
          <w:szCs w:val="28"/>
        </w:rPr>
      </w:pPr>
      <w:r w:rsidRPr="008033F0">
        <w:rPr>
          <w:rFonts w:asciiTheme="majorHAnsi" w:hAnsiTheme="majorHAnsi"/>
          <w:sz w:val="28"/>
          <w:szCs w:val="28"/>
        </w:rPr>
        <w:t>The military commissions were created in large part to undermine and circumvent existing legal protections for crimi</w:t>
      </w:r>
      <w:r w:rsidR="005C6345">
        <w:rPr>
          <w:rFonts w:asciiTheme="majorHAnsi" w:hAnsiTheme="majorHAnsi"/>
          <w:sz w:val="28"/>
          <w:szCs w:val="28"/>
        </w:rPr>
        <w:t>nal defendants under the State p</w:t>
      </w:r>
      <w:r w:rsidRPr="008033F0">
        <w:rPr>
          <w:rFonts w:asciiTheme="majorHAnsi" w:hAnsiTheme="majorHAnsi"/>
          <w:sz w:val="28"/>
          <w:szCs w:val="28"/>
        </w:rPr>
        <w:t xml:space="preserve">arty’s domestic law.  Despite limited reforms and assurances from the State </w:t>
      </w:r>
      <w:r w:rsidR="005C6345">
        <w:rPr>
          <w:rFonts w:asciiTheme="majorHAnsi" w:hAnsiTheme="majorHAnsi"/>
          <w:sz w:val="28"/>
          <w:szCs w:val="28"/>
        </w:rPr>
        <w:t>p</w:t>
      </w:r>
      <w:r w:rsidR="00C25414">
        <w:rPr>
          <w:rFonts w:asciiTheme="majorHAnsi" w:hAnsiTheme="majorHAnsi"/>
          <w:sz w:val="28"/>
          <w:szCs w:val="28"/>
        </w:rPr>
        <w:t>arty, this disparity remains—</w:t>
      </w:r>
      <w:r w:rsidRPr="008033F0">
        <w:rPr>
          <w:rFonts w:asciiTheme="majorHAnsi" w:hAnsiTheme="majorHAnsi"/>
          <w:sz w:val="28"/>
          <w:szCs w:val="28"/>
        </w:rPr>
        <w:t xml:space="preserve">as recently as 2013, prominent legislators for the </w:t>
      </w:r>
      <w:r w:rsidR="0058045C" w:rsidRPr="008033F0">
        <w:rPr>
          <w:rFonts w:asciiTheme="majorHAnsi" w:hAnsiTheme="majorHAnsi"/>
          <w:sz w:val="28"/>
          <w:szCs w:val="28"/>
        </w:rPr>
        <w:t>State p</w:t>
      </w:r>
      <w:r w:rsidRPr="008033F0">
        <w:rPr>
          <w:rFonts w:asciiTheme="majorHAnsi" w:hAnsiTheme="majorHAnsi"/>
          <w:sz w:val="28"/>
          <w:szCs w:val="28"/>
        </w:rPr>
        <w:t>arty lobbied to have the suspect in the Boston Marathon bombings designated as an enemy combatant in an effort to strip him of constitutional protections and make a military commissions trial possible.</w:t>
      </w:r>
      <w:r w:rsidRPr="008033F0">
        <w:rPr>
          <w:rStyle w:val="FootnoteReference"/>
          <w:rFonts w:asciiTheme="majorHAnsi" w:hAnsiTheme="majorHAnsi"/>
          <w:sz w:val="28"/>
          <w:szCs w:val="28"/>
        </w:rPr>
        <w:footnoteReference w:id="13"/>
      </w:r>
    </w:p>
    <w:p w:rsidR="00D96678" w:rsidRPr="008033F0" w:rsidRDefault="00D96678" w:rsidP="00791ED7">
      <w:pPr>
        <w:jc w:val="both"/>
        <w:rPr>
          <w:rFonts w:asciiTheme="majorHAnsi" w:hAnsiTheme="majorHAnsi"/>
          <w:sz w:val="28"/>
          <w:szCs w:val="28"/>
        </w:rPr>
      </w:pPr>
    </w:p>
    <w:p w:rsidR="00791ED7" w:rsidRPr="00C25414" w:rsidRDefault="00791ED7" w:rsidP="00791ED7">
      <w:pPr>
        <w:jc w:val="center"/>
        <w:rPr>
          <w:rFonts w:asciiTheme="majorHAnsi" w:hAnsiTheme="majorHAnsi"/>
          <w:b/>
          <w:bCs/>
          <w:i/>
          <w:iCs/>
          <w:sz w:val="28"/>
          <w:szCs w:val="28"/>
        </w:rPr>
      </w:pPr>
      <w:r w:rsidRPr="00C25414">
        <w:rPr>
          <w:rFonts w:asciiTheme="majorHAnsi" w:hAnsiTheme="majorHAnsi"/>
          <w:b/>
          <w:bCs/>
          <w:i/>
          <w:iCs/>
          <w:sz w:val="28"/>
          <w:szCs w:val="28"/>
        </w:rPr>
        <w:t>Independence</w:t>
      </w:r>
    </w:p>
    <w:p w:rsidR="00D96678" w:rsidRPr="008033F0" w:rsidRDefault="00D96678" w:rsidP="00791ED7">
      <w:pPr>
        <w:jc w:val="center"/>
        <w:rPr>
          <w:rFonts w:asciiTheme="majorHAnsi" w:hAnsiTheme="majorHAnsi"/>
          <w:i/>
          <w:iCs/>
          <w:sz w:val="28"/>
          <w:szCs w:val="28"/>
        </w:rPr>
      </w:pPr>
    </w:p>
    <w:p w:rsidR="000E405F" w:rsidRPr="008033F0" w:rsidRDefault="00791ED7" w:rsidP="0058045C">
      <w:pPr>
        <w:jc w:val="both"/>
        <w:rPr>
          <w:rFonts w:asciiTheme="majorHAnsi" w:hAnsiTheme="majorHAnsi"/>
          <w:sz w:val="28"/>
          <w:szCs w:val="28"/>
        </w:rPr>
      </w:pPr>
      <w:r w:rsidRPr="008033F0">
        <w:rPr>
          <w:rFonts w:asciiTheme="majorHAnsi" w:hAnsiTheme="majorHAnsi"/>
          <w:sz w:val="28"/>
          <w:szCs w:val="28"/>
        </w:rPr>
        <w:t>The military commissions violate the fundamental principle that any tribunal—much less a tribunal imposing a death sentence—must be independent and impartial.</w:t>
      </w:r>
      <w:r w:rsidRPr="008033F0">
        <w:rPr>
          <w:rStyle w:val="FootnoteReference"/>
          <w:rFonts w:asciiTheme="majorHAnsi" w:hAnsiTheme="majorHAnsi"/>
          <w:sz w:val="28"/>
          <w:szCs w:val="28"/>
        </w:rPr>
        <w:footnoteReference w:id="14"/>
      </w:r>
      <w:r w:rsidRPr="008033F0">
        <w:rPr>
          <w:rFonts w:asciiTheme="majorHAnsi" w:hAnsiTheme="majorHAnsi"/>
          <w:sz w:val="28"/>
          <w:szCs w:val="28"/>
        </w:rPr>
        <w:t xml:space="preserve">  While it is true that the two capital military commissions initiated in 2011 and 2012 “have continued with pretrial litigation,”</w:t>
      </w:r>
      <w:r w:rsidRPr="008033F0">
        <w:rPr>
          <w:rStyle w:val="FootnoteReference"/>
          <w:rFonts w:asciiTheme="majorHAnsi" w:hAnsiTheme="majorHAnsi"/>
          <w:sz w:val="28"/>
          <w:szCs w:val="28"/>
        </w:rPr>
        <w:footnoteReference w:id="15"/>
      </w:r>
      <w:r w:rsidRPr="008033F0">
        <w:rPr>
          <w:rFonts w:asciiTheme="majorHAnsi" w:hAnsiTheme="majorHAnsi"/>
          <w:sz w:val="28"/>
          <w:szCs w:val="28"/>
        </w:rPr>
        <w:t xml:space="preserve"> they have done so under conditions which demonstrate that the military commissions are not independent and impartial judicial bodies.  </w:t>
      </w:r>
    </w:p>
    <w:p w:rsidR="000E405F" w:rsidRPr="008033F0" w:rsidRDefault="000E405F" w:rsidP="0058045C">
      <w:pPr>
        <w:jc w:val="both"/>
        <w:rPr>
          <w:rFonts w:asciiTheme="majorHAnsi" w:hAnsiTheme="majorHAnsi"/>
          <w:sz w:val="28"/>
          <w:szCs w:val="28"/>
        </w:rPr>
      </w:pPr>
    </w:p>
    <w:p w:rsidR="00791ED7" w:rsidRPr="008033F0" w:rsidRDefault="00791ED7" w:rsidP="0058045C">
      <w:pPr>
        <w:jc w:val="both"/>
        <w:rPr>
          <w:rFonts w:asciiTheme="majorHAnsi" w:hAnsiTheme="majorHAnsi"/>
          <w:sz w:val="28"/>
          <w:szCs w:val="28"/>
        </w:rPr>
      </w:pPr>
      <w:r w:rsidRPr="008033F0">
        <w:rPr>
          <w:rFonts w:asciiTheme="majorHAnsi" w:hAnsiTheme="majorHAnsi"/>
          <w:sz w:val="28"/>
          <w:szCs w:val="28"/>
        </w:rPr>
        <w:t>The military judge, most prosecutors, and most defense attorneys are all employees of the United States Department of Defense.  A Department of Defense single body, cal</w:t>
      </w:r>
      <w:r w:rsidR="0058045C" w:rsidRPr="008033F0">
        <w:rPr>
          <w:rFonts w:asciiTheme="majorHAnsi" w:hAnsiTheme="majorHAnsi"/>
          <w:sz w:val="28"/>
          <w:szCs w:val="28"/>
        </w:rPr>
        <w:t xml:space="preserve">led the Convening Authority, </w:t>
      </w:r>
      <w:r w:rsidRPr="008033F0">
        <w:rPr>
          <w:rFonts w:asciiTheme="majorHAnsi" w:hAnsiTheme="majorHAnsi"/>
          <w:sz w:val="28"/>
          <w:szCs w:val="28"/>
        </w:rPr>
        <w:t>charge</w:t>
      </w:r>
      <w:r w:rsidR="0058045C" w:rsidRPr="008033F0">
        <w:rPr>
          <w:rFonts w:asciiTheme="majorHAnsi" w:hAnsiTheme="majorHAnsi"/>
          <w:sz w:val="28"/>
          <w:szCs w:val="28"/>
        </w:rPr>
        <w:t>s</w:t>
      </w:r>
      <w:r w:rsidRPr="008033F0">
        <w:rPr>
          <w:rFonts w:asciiTheme="majorHAnsi" w:hAnsiTheme="majorHAnsi"/>
          <w:sz w:val="28"/>
          <w:szCs w:val="28"/>
        </w:rPr>
        <w:t xml:space="preserve"> the defendants</w:t>
      </w:r>
      <w:r w:rsidR="0058045C" w:rsidRPr="008033F0">
        <w:rPr>
          <w:rFonts w:asciiTheme="majorHAnsi" w:hAnsiTheme="majorHAnsi"/>
          <w:sz w:val="28"/>
          <w:szCs w:val="28"/>
        </w:rPr>
        <w:t xml:space="preserve">, chooses the members of the military commission, </w:t>
      </w:r>
      <w:r w:rsidRPr="008033F0">
        <w:rPr>
          <w:rFonts w:asciiTheme="majorHAnsi" w:hAnsiTheme="majorHAnsi"/>
          <w:sz w:val="28"/>
          <w:szCs w:val="28"/>
        </w:rPr>
        <w:t>provide</w:t>
      </w:r>
      <w:r w:rsidR="0058045C" w:rsidRPr="008033F0">
        <w:rPr>
          <w:rFonts w:asciiTheme="majorHAnsi" w:hAnsiTheme="majorHAnsi"/>
          <w:sz w:val="28"/>
          <w:szCs w:val="28"/>
        </w:rPr>
        <w:t>s resources for the</w:t>
      </w:r>
      <w:r w:rsidRPr="008033F0">
        <w:rPr>
          <w:rFonts w:asciiTheme="majorHAnsi" w:hAnsiTheme="majorHAnsi"/>
          <w:sz w:val="28"/>
          <w:szCs w:val="28"/>
        </w:rPr>
        <w:t xml:space="preserve"> defense</w:t>
      </w:r>
      <w:r w:rsidR="0058045C" w:rsidRPr="008033F0">
        <w:rPr>
          <w:rFonts w:asciiTheme="majorHAnsi" w:hAnsiTheme="majorHAnsi"/>
          <w:sz w:val="28"/>
          <w:szCs w:val="28"/>
        </w:rPr>
        <w:t>, and reviews the verdict</w:t>
      </w:r>
      <w:r w:rsidRPr="008033F0">
        <w:rPr>
          <w:rFonts w:asciiTheme="majorHAnsi" w:hAnsiTheme="majorHAnsi"/>
          <w:sz w:val="28"/>
          <w:szCs w:val="28"/>
        </w:rPr>
        <w:t>.</w:t>
      </w:r>
      <w:r w:rsidRPr="008033F0">
        <w:rPr>
          <w:rStyle w:val="FootnoteReference"/>
          <w:rFonts w:asciiTheme="majorHAnsi" w:hAnsiTheme="majorHAnsi"/>
          <w:sz w:val="28"/>
          <w:szCs w:val="28"/>
        </w:rPr>
        <w:footnoteReference w:id="16"/>
      </w:r>
    </w:p>
    <w:p w:rsidR="00E271FD" w:rsidRPr="008033F0" w:rsidRDefault="00E271FD" w:rsidP="00791ED7">
      <w:pPr>
        <w:jc w:val="both"/>
        <w:rPr>
          <w:rFonts w:asciiTheme="majorHAnsi" w:hAnsiTheme="majorHAnsi"/>
          <w:sz w:val="28"/>
          <w:szCs w:val="28"/>
        </w:rPr>
      </w:pPr>
    </w:p>
    <w:p w:rsidR="00791ED7" w:rsidRPr="008033F0" w:rsidRDefault="00791ED7" w:rsidP="000E405F">
      <w:pPr>
        <w:jc w:val="both"/>
        <w:rPr>
          <w:rFonts w:asciiTheme="majorHAnsi" w:hAnsiTheme="majorHAnsi"/>
          <w:sz w:val="28"/>
          <w:szCs w:val="28"/>
        </w:rPr>
      </w:pPr>
      <w:r w:rsidRPr="008033F0">
        <w:rPr>
          <w:rFonts w:asciiTheme="majorHAnsi" w:hAnsiTheme="majorHAnsi"/>
          <w:sz w:val="28"/>
          <w:szCs w:val="28"/>
        </w:rPr>
        <w:t xml:space="preserve">Since the Committee’s recommendations, United States Marine Corps Major General (Retired) Vaugh A. Ary demonstrated the </w:t>
      </w:r>
      <w:r w:rsidR="000E405F" w:rsidRPr="008033F0">
        <w:rPr>
          <w:rFonts w:asciiTheme="majorHAnsi" w:hAnsiTheme="majorHAnsi"/>
          <w:sz w:val="28"/>
          <w:szCs w:val="28"/>
        </w:rPr>
        <w:t xml:space="preserve">control of </w:t>
      </w:r>
      <w:r w:rsidRPr="008033F0">
        <w:rPr>
          <w:rFonts w:asciiTheme="majorHAnsi" w:hAnsiTheme="majorHAnsi"/>
          <w:sz w:val="28"/>
          <w:szCs w:val="28"/>
        </w:rPr>
        <w:t>Department of Defense</w:t>
      </w:r>
      <w:r w:rsidR="000E405F" w:rsidRPr="008033F0">
        <w:rPr>
          <w:rFonts w:asciiTheme="majorHAnsi" w:hAnsiTheme="majorHAnsi"/>
          <w:sz w:val="28"/>
          <w:szCs w:val="28"/>
        </w:rPr>
        <w:t xml:space="preserve"> officials over the military commissions</w:t>
      </w:r>
      <w:r w:rsidRPr="008033F0">
        <w:rPr>
          <w:rFonts w:asciiTheme="majorHAnsi" w:hAnsiTheme="majorHAnsi"/>
          <w:sz w:val="28"/>
          <w:szCs w:val="28"/>
        </w:rPr>
        <w:t xml:space="preserve">.  MajGen Ary, while serving as </w:t>
      </w:r>
      <w:r w:rsidRPr="008033F0">
        <w:rPr>
          <w:rFonts w:asciiTheme="majorHAnsi" w:hAnsiTheme="majorHAnsi"/>
          <w:sz w:val="28"/>
          <w:szCs w:val="28"/>
        </w:rPr>
        <w:lastRenderedPageBreak/>
        <w:t xml:space="preserve">Convening Authority, prevailed upon a senior Department of Defense official to order the military commission judges to live at </w:t>
      </w:r>
      <w:r w:rsidR="00CA3AD9">
        <w:rPr>
          <w:rFonts w:asciiTheme="majorHAnsi" w:hAnsiTheme="majorHAnsi"/>
          <w:sz w:val="28"/>
          <w:szCs w:val="28"/>
        </w:rPr>
        <w:t>Guantánamo</w:t>
      </w:r>
      <w:r w:rsidRPr="008033F0">
        <w:rPr>
          <w:rFonts w:asciiTheme="majorHAnsi" w:hAnsiTheme="majorHAnsi"/>
          <w:sz w:val="28"/>
          <w:szCs w:val="28"/>
        </w:rPr>
        <w:t xml:space="preserve"> for the pendency of the capital prosecutions </w:t>
      </w:r>
      <w:r w:rsidR="000E405F" w:rsidRPr="008033F0">
        <w:rPr>
          <w:rFonts w:asciiTheme="majorHAnsi" w:hAnsiTheme="majorHAnsi"/>
          <w:sz w:val="28"/>
          <w:szCs w:val="28"/>
        </w:rPr>
        <w:t>in an attempt to accelerate the pace of litigation</w:t>
      </w:r>
      <w:r w:rsidRPr="008033F0">
        <w:rPr>
          <w:rFonts w:asciiTheme="majorHAnsi" w:hAnsiTheme="majorHAnsi"/>
          <w:sz w:val="28"/>
          <w:szCs w:val="28"/>
        </w:rPr>
        <w:t>.</w:t>
      </w:r>
      <w:r w:rsidRPr="008033F0">
        <w:rPr>
          <w:rStyle w:val="FootnoteReference"/>
          <w:rFonts w:asciiTheme="majorHAnsi" w:hAnsiTheme="majorHAnsi"/>
          <w:sz w:val="28"/>
          <w:szCs w:val="28"/>
        </w:rPr>
        <w:footnoteReference w:id="17"/>
      </w:r>
      <w:r w:rsidRPr="008033F0">
        <w:rPr>
          <w:rFonts w:asciiTheme="majorHAnsi" w:hAnsiTheme="majorHAnsi"/>
          <w:sz w:val="28"/>
          <w:szCs w:val="28"/>
        </w:rPr>
        <w:t xml:space="preserve">  After the military judges ruled this order illegal, MajGen Ary resigned as Convening Authority.</w:t>
      </w:r>
    </w:p>
    <w:p w:rsidR="00E271FD" w:rsidRPr="008033F0" w:rsidRDefault="00E271FD" w:rsidP="00791ED7">
      <w:pPr>
        <w:jc w:val="both"/>
        <w:rPr>
          <w:rFonts w:asciiTheme="majorHAnsi" w:hAnsiTheme="majorHAnsi"/>
          <w:sz w:val="28"/>
          <w:szCs w:val="28"/>
        </w:rPr>
      </w:pPr>
    </w:p>
    <w:p w:rsidR="00791ED7" w:rsidRPr="008033F0" w:rsidRDefault="000E405F" w:rsidP="000E405F">
      <w:pPr>
        <w:jc w:val="both"/>
        <w:rPr>
          <w:rFonts w:asciiTheme="majorHAnsi" w:hAnsiTheme="majorHAnsi"/>
          <w:sz w:val="28"/>
          <w:szCs w:val="28"/>
        </w:rPr>
      </w:pPr>
      <w:r w:rsidRPr="008033F0">
        <w:rPr>
          <w:rFonts w:asciiTheme="majorHAnsi" w:hAnsiTheme="majorHAnsi"/>
          <w:sz w:val="28"/>
          <w:szCs w:val="28"/>
        </w:rPr>
        <w:t>Agencies of the State p</w:t>
      </w:r>
      <w:r w:rsidR="00791ED7" w:rsidRPr="008033F0">
        <w:rPr>
          <w:rFonts w:asciiTheme="majorHAnsi" w:hAnsiTheme="majorHAnsi"/>
          <w:sz w:val="28"/>
          <w:szCs w:val="28"/>
        </w:rPr>
        <w:t xml:space="preserve">arty’s intelligence community have also interfered with the independence of the military commissions.  In January 2013, an unnamed agency demonstrated its literal control over the courtroom by activating a device which triggered a red light and white noise within the courtroom, and terminated the audio feed to observers outside the courtroom.  Around the same time, defense attorneys learned that the attorney-client meeting spaces contained </w:t>
      </w:r>
      <w:r w:rsidR="005C6345">
        <w:rPr>
          <w:rFonts w:asciiTheme="majorHAnsi" w:hAnsiTheme="majorHAnsi"/>
          <w:sz w:val="28"/>
          <w:szCs w:val="28"/>
        </w:rPr>
        <w:t xml:space="preserve">audio </w:t>
      </w:r>
      <w:r w:rsidR="00791ED7" w:rsidRPr="008033F0">
        <w:rPr>
          <w:rFonts w:asciiTheme="majorHAnsi" w:hAnsiTheme="majorHAnsi"/>
          <w:sz w:val="28"/>
          <w:szCs w:val="28"/>
        </w:rPr>
        <w:t xml:space="preserve">monitoring devices disguised as smoke detectors.  In April 2014, </w:t>
      </w:r>
      <w:r w:rsidR="0072227F">
        <w:rPr>
          <w:rFonts w:asciiTheme="majorHAnsi" w:hAnsiTheme="majorHAnsi"/>
          <w:sz w:val="28"/>
          <w:szCs w:val="28"/>
        </w:rPr>
        <w:t>after the Committee issued it</w:t>
      </w:r>
      <w:r w:rsidR="005C6345">
        <w:rPr>
          <w:rFonts w:asciiTheme="majorHAnsi" w:hAnsiTheme="majorHAnsi"/>
          <w:sz w:val="28"/>
          <w:szCs w:val="28"/>
        </w:rPr>
        <w:t>s</w:t>
      </w:r>
      <w:r w:rsidR="00791ED7" w:rsidRPr="008033F0">
        <w:rPr>
          <w:rFonts w:asciiTheme="majorHAnsi" w:hAnsiTheme="majorHAnsi"/>
          <w:sz w:val="28"/>
          <w:szCs w:val="28"/>
        </w:rPr>
        <w:t xml:space="preserve"> recommendations, the Federal Bureau of Investigation suborned a member of a military commissions defense team to provide information about defense activities.  In February 2015, a defendant stated that he </w:t>
      </w:r>
      <w:r w:rsidR="005C6345">
        <w:rPr>
          <w:rFonts w:asciiTheme="majorHAnsi" w:hAnsiTheme="majorHAnsi"/>
          <w:sz w:val="28"/>
          <w:szCs w:val="28"/>
        </w:rPr>
        <w:t>recognized</w:t>
      </w:r>
      <w:r w:rsidR="00791ED7" w:rsidRPr="008033F0">
        <w:rPr>
          <w:rFonts w:asciiTheme="majorHAnsi" w:hAnsiTheme="majorHAnsi"/>
          <w:sz w:val="28"/>
          <w:szCs w:val="28"/>
        </w:rPr>
        <w:t xml:space="preserve"> the assigned interpreter fr</w:t>
      </w:r>
      <w:r w:rsidR="00D76613" w:rsidRPr="008033F0">
        <w:rPr>
          <w:rFonts w:asciiTheme="majorHAnsi" w:hAnsiTheme="majorHAnsi"/>
          <w:sz w:val="28"/>
          <w:szCs w:val="28"/>
        </w:rPr>
        <w:t>om a CIA black site; the State p</w:t>
      </w:r>
      <w:r w:rsidR="00791ED7" w:rsidRPr="008033F0">
        <w:rPr>
          <w:rFonts w:asciiTheme="majorHAnsi" w:hAnsiTheme="majorHAnsi"/>
          <w:sz w:val="28"/>
          <w:szCs w:val="28"/>
        </w:rPr>
        <w:t>arty later confirmed that the interpreter had worked for the CIA.</w:t>
      </w:r>
    </w:p>
    <w:p w:rsidR="00E271FD" w:rsidRPr="008033F0" w:rsidRDefault="00E271FD" w:rsidP="00791ED7">
      <w:pPr>
        <w:jc w:val="both"/>
        <w:rPr>
          <w:rFonts w:asciiTheme="majorHAnsi" w:hAnsiTheme="majorHAnsi"/>
          <w:sz w:val="28"/>
          <w:szCs w:val="28"/>
        </w:rPr>
      </w:pPr>
    </w:p>
    <w:p w:rsidR="00E5417A" w:rsidRDefault="00791ED7" w:rsidP="00E5417A">
      <w:pPr>
        <w:jc w:val="both"/>
        <w:rPr>
          <w:rFonts w:asciiTheme="majorHAnsi" w:hAnsiTheme="majorHAnsi" w:cstheme="majorBidi"/>
          <w:sz w:val="28"/>
          <w:szCs w:val="28"/>
        </w:rPr>
      </w:pPr>
      <w:r w:rsidRPr="008033F0">
        <w:rPr>
          <w:rFonts w:asciiTheme="majorHAnsi" w:hAnsiTheme="majorHAnsi"/>
          <w:sz w:val="28"/>
          <w:szCs w:val="28"/>
        </w:rPr>
        <w:t>Perhaps most egregiously, intelligence agencies have declared statements by the abused men themselves about their torture and other CIDT to be classified in</w:t>
      </w:r>
      <w:r w:rsidR="005C6345">
        <w:rPr>
          <w:rFonts w:asciiTheme="majorHAnsi" w:hAnsiTheme="majorHAnsi"/>
          <w:sz w:val="28"/>
          <w:szCs w:val="28"/>
        </w:rPr>
        <w:t>formation.  Although the State p</w:t>
      </w:r>
      <w:r w:rsidRPr="008033F0">
        <w:rPr>
          <w:rFonts w:asciiTheme="majorHAnsi" w:hAnsiTheme="majorHAnsi"/>
          <w:sz w:val="28"/>
          <w:szCs w:val="28"/>
        </w:rPr>
        <w:t>arty has asked to drop some restrictions, it continues to prohibit the tortured men and their attorneys from any public statement about the location of their torture or identities of their torturers.</w:t>
      </w:r>
      <w:r w:rsidRPr="008033F0">
        <w:rPr>
          <w:rStyle w:val="FootnoteReference"/>
          <w:rFonts w:asciiTheme="majorHAnsi" w:hAnsiTheme="majorHAnsi"/>
          <w:sz w:val="28"/>
          <w:szCs w:val="28"/>
        </w:rPr>
        <w:footnoteReference w:id="18"/>
      </w:r>
      <w:r w:rsidRPr="008033F0">
        <w:rPr>
          <w:rFonts w:asciiTheme="majorHAnsi" w:hAnsiTheme="majorHAnsi"/>
          <w:sz w:val="28"/>
          <w:szCs w:val="28"/>
        </w:rPr>
        <w:t xml:space="preserve">  </w:t>
      </w:r>
      <w:r w:rsidR="00E5417A" w:rsidRPr="008033F0">
        <w:rPr>
          <w:rFonts w:asciiTheme="majorHAnsi" w:hAnsiTheme="majorHAnsi" w:cstheme="majorBidi"/>
          <w:sz w:val="28"/>
          <w:szCs w:val="28"/>
        </w:rPr>
        <w:t xml:space="preserve">The Committee Against Torture has specifically condemned the United States’ use of classification to create “a draconian system of secrecy surrounding high-value detainees that keeps their torture claims out of the public domain.  Furthermore, the regime applied to these detainees prevents access to an </w:t>
      </w:r>
      <w:r w:rsidR="00E5417A" w:rsidRPr="008033F0">
        <w:rPr>
          <w:rFonts w:asciiTheme="majorHAnsi" w:hAnsiTheme="majorHAnsi" w:cstheme="majorBidi"/>
          <w:sz w:val="28"/>
          <w:szCs w:val="28"/>
        </w:rPr>
        <w:lastRenderedPageBreak/>
        <w:t>effective remedy and reparations, and hinders investigations into human rights violations by other States (arts. 9, 12, 13, 14, and 16).”</w:t>
      </w:r>
      <w:r w:rsidR="00E5417A" w:rsidRPr="008033F0">
        <w:rPr>
          <w:rFonts w:asciiTheme="majorHAnsi" w:hAnsiTheme="majorHAnsi" w:cstheme="majorBidi"/>
          <w:sz w:val="28"/>
          <w:szCs w:val="28"/>
          <w:vertAlign w:val="superscript"/>
        </w:rPr>
        <w:footnoteReference w:id="19"/>
      </w:r>
      <w:r w:rsidR="00E5417A" w:rsidRPr="008033F0">
        <w:rPr>
          <w:rFonts w:asciiTheme="majorHAnsi" w:hAnsiTheme="majorHAnsi" w:cstheme="majorBidi"/>
          <w:sz w:val="28"/>
          <w:szCs w:val="28"/>
        </w:rPr>
        <w:t xml:space="preserve">  </w:t>
      </w:r>
      <w:r w:rsidR="00CA3AD9">
        <w:rPr>
          <w:rFonts w:asciiTheme="majorHAnsi" w:hAnsiTheme="majorHAnsi" w:cstheme="majorBidi"/>
          <w:sz w:val="28"/>
          <w:szCs w:val="28"/>
        </w:rPr>
        <w:t>Under the State party</w:t>
      </w:r>
      <w:r w:rsidR="005C6345">
        <w:rPr>
          <w:rFonts w:asciiTheme="majorHAnsi" w:hAnsiTheme="majorHAnsi" w:cstheme="majorBidi"/>
          <w:sz w:val="28"/>
          <w:szCs w:val="28"/>
        </w:rPr>
        <w:t>’s</w:t>
      </w:r>
      <w:r w:rsidR="00CA3AD9">
        <w:rPr>
          <w:rFonts w:asciiTheme="majorHAnsi" w:hAnsiTheme="majorHAnsi" w:cstheme="majorBidi"/>
          <w:sz w:val="28"/>
          <w:szCs w:val="28"/>
        </w:rPr>
        <w:t xml:space="preserve"> system, state crimes become State secrets.</w:t>
      </w:r>
    </w:p>
    <w:p w:rsidR="00C25414" w:rsidRDefault="00C25414" w:rsidP="00E5417A">
      <w:pPr>
        <w:jc w:val="both"/>
        <w:rPr>
          <w:rFonts w:asciiTheme="majorHAnsi" w:hAnsiTheme="majorHAnsi" w:cstheme="majorBidi"/>
          <w:sz w:val="28"/>
          <w:szCs w:val="28"/>
        </w:rPr>
      </w:pPr>
    </w:p>
    <w:p w:rsidR="00791ED7" w:rsidRPr="00C25414" w:rsidRDefault="00791ED7" w:rsidP="00791ED7">
      <w:pPr>
        <w:jc w:val="center"/>
        <w:rPr>
          <w:rFonts w:asciiTheme="majorHAnsi" w:hAnsiTheme="majorHAnsi"/>
          <w:b/>
          <w:bCs/>
          <w:i/>
          <w:iCs/>
          <w:sz w:val="28"/>
          <w:szCs w:val="28"/>
        </w:rPr>
      </w:pPr>
      <w:r w:rsidRPr="00C25414">
        <w:rPr>
          <w:rFonts w:asciiTheme="majorHAnsi" w:hAnsiTheme="majorHAnsi"/>
          <w:b/>
          <w:bCs/>
          <w:i/>
          <w:iCs/>
          <w:sz w:val="28"/>
          <w:szCs w:val="28"/>
        </w:rPr>
        <w:t>Legality</w:t>
      </w:r>
    </w:p>
    <w:p w:rsidR="00E5417A" w:rsidRPr="008033F0" w:rsidRDefault="00E5417A" w:rsidP="00791ED7">
      <w:pPr>
        <w:jc w:val="center"/>
        <w:rPr>
          <w:rFonts w:asciiTheme="majorHAnsi" w:hAnsiTheme="majorHAnsi"/>
          <w:sz w:val="28"/>
          <w:szCs w:val="28"/>
        </w:rPr>
      </w:pPr>
    </w:p>
    <w:p w:rsidR="00791ED7" w:rsidRPr="008033F0" w:rsidRDefault="00791ED7" w:rsidP="00791ED7">
      <w:pPr>
        <w:jc w:val="both"/>
        <w:rPr>
          <w:rFonts w:asciiTheme="majorHAnsi" w:hAnsiTheme="majorHAnsi"/>
          <w:sz w:val="28"/>
          <w:szCs w:val="28"/>
        </w:rPr>
      </w:pPr>
      <w:r w:rsidRPr="008033F0">
        <w:rPr>
          <w:rFonts w:asciiTheme="majorHAnsi" w:hAnsiTheme="majorHAnsi"/>
          <w:sz w:val="28"/>
          <w:szCs w:val="28"/>
        </w:rPr>
        <w:t>In the military commissions, the State Party seeks the execution of six men for alleged war crimes between 1998 and 2001 under a statute passed in 2009.</w:t>
      </w:r>
      <w:r w:rsidRPr="008033F0">
        <w:rPr>
          <w:rStyle w:val="FootnoteReference"/>
          <w:rFonts w:asciiTheme="majorHAnsi" w:hAnsiTheme="majorHAnsi"/>
          <w:sz w:val="28"/>
          <w:szCs w:val="28"/>
        </w:rPr>
        <w:footnoteReference w:id="20"/>
      </w:r>
      <w:r w:rsidRPr="008033F0">
        <w:rPr>
          <w:rFonts w:asciiTheme="majorHAnsi" w:hAnsiTheme="majorHAnsi"/>
          <w:sz w:val="28"/>
          <w:szCs w:val="28"/>
        </w:rPr>
        <w:t xml:space="preserve">  The prosecution</w:t>
      </w:r>
      <w:r w:rsidR="00E5417A" w:rsidRPr="008033F0">
        <w:rPr>
          <w:rFonts w:asciiTheme="majorHAnsi" w:hAnsiTheme="majorHAnsi"/>
          <w:sz w:val="28"/>
          <w:szCs w:val="28"/>
        </w:rPr>
        <w:t>s violate</w:t>
      </w:r>
      <w:r w:rsidRPr="008033F0">
        <w:rPr>
          <w:rFonts w:asciiTheme="majorHAnsi" w:hAnsiTheme="majorHAnsi"/>
          <w:sz w:val="28"/>
          <w:szCs w:val="28"/>
        </w:rPr>
        <w:t xml:space="preserve"> the basic principle of legality, also known as </w:t>
      </w:r>
      <w:r w:rsidRPr="008033F0">
        <w:rPr>
          <w:rFonts w:asciiTheme="majorHAnsi" w:hAnsiTheme="majorHAnsi"/>
          <w:i/>
          <w:iCs/>
          <w:sz w:val="28"/>
          <w:szCs w:val="28"/>
        </w:rPr>
        <w:t>nulla poena sin lege</w:t>
      </w:r>
      <w:r w:rsidRPr="008033F0">
        <w:rPr>
          <w:rFonts w:asciiTheme="majorHAnsi" w:hAnsiTheme="majorHAnsi"/>
          <w:sz w:val="28"/>
          <w:szCs w:val="28"/>
        </w:rPr>
        <w:t xml:space="preserve"> or the prohibition on </w:t>
      </w:r>
      <w:r w:rsidRPr="008033F0">
        <w:rPr>
          <w:rFonts w:asciiTheme="majorHAnsi" w:hAnsiTheme="majorHAnsi"/>
          <w:i/>
          <w:iCs/>
          <w:sz w:val="28"/>
          <w:szCs w:val="28"/>
        </w:rPr>
        <w:t>ex post facto</w:t>
      </w:r>
      <w:r w:rsidRPr="008033F0">
        <w:rPr>
          <w:rFonts w:asciiTheme="majorHAnsi" w:hAnsiTheme="majorHAnsi"/>
          <w:sz w:val="28"/>
          <w:szCs w:val="28"/>
        </w:rPr>
        <w:t xml:space="preserve"> punishments.</w:t>
      </w:r>
      <w:r w:rsidRPr="008033F0">
        <w:rPr>
          <w:rStyle w:val="FootnoteReference"/>
          <w:rFonts w:asciiTheme="majorHAnsi" w:hAnsiTheme="majorHAnsi"/>
          <w:sz w:val="28"/>
          <w:szCs w:val="28"/>
        </w:rPr>
        <w:footnoteReference w:id="21"/>
      </w:r>
    </w:p>
    <w:p w:rsidR="00E5417A" w:rsidRPr="008033F0" w:rsidRDefault="00E5417A" w:rsidP="00791ED7">
      <w:pPr>
        <w:jc w:val="both"/>
        <w:rPr>
          <w:rFonts w:asciiTheme="majorHAnsi" w:hAnsiTheme="majorHAnsi"/>
          <w:sz w:val="28"/>
          <w:szCs w:val="28"/>
        </w:rPr>
      </w:pPr>
    </w:p>
    <w:p w:rsidR="00791ED7" w:rsidRPr="008033F0" w:rsidRDefault="004B234A" w:rsidP="001A6B0F">
      <w:pPr>
        <w:jc w:val="both"/>
        <w:rPr>
          <w:rFonts w:asciiTheme="majorHAnsi" w:hAnsiTheme="majorHAnsi"/>
          <w:sz w:val="28"/>
          <w:szCs w:val="28"/>
        </w:rPr>
      </w:pPr>
      <w:r w:rsidRPr="008033F0">
        <w:rPr>
          <w:rFonts w:asciiTheme="majorHAnsi" w:hAnsiTheme="majorHAnsi"/>
          <w:sz w:val="28"/>
          <w:szCs w:val="28"/>
        </w:rPr>
        <w:t xml:space="preserve">In 2001, </w:t>
      </w:r>
      <w:r w:rsidR="005C6345">
        <w:rPr>
          <w:rFonts w:asciiTheme="majorHAnsi" w:hAnsiTheme="majorHAnsi"/>
          <w:sz w:val="28"/>
          <w:szCs w:val="28"/>
        </w:rPr>
        <w:t>certain</w:t>
      </w:r>
      <w:r w:rsidR="00791ED7" w:rsidRPr="008033F0">
        <w:rPr>
          <w:rFonts w:asciiTheme="majorHAnsi" w:hAnsiTheme="majorHAnsi"/>
          <w:sz w:val="28"/>
          <w:szCs w:val="28"/>
        </w:rPr>
        <w:t xml:space="preserve"> of the </w:t>
      </w:r>
      <w:r w:rsidRPr="008033F0">
        <w:rPr>
          <w:rFonts w:asciiTheme="majorHAnsi" w:hAnsiTheme="majorHAnsi"/>
          <w:sz w:val="28"/>
          <w:szCs w:val="28"/>
        </w:rPr>
        <w:t xml:space="preserve">“war </w:t>
      </w:r>
      <w:r w:rsidR="00791ED7" w:rsidRPr="008033F0">
        <w:rPr>
          <w:rFonts w:asciiTheme="majorHAnsi" w:hAnsiTheme="majorHAnsi"/>
          <w:sz w:val="28"/>
          <w:szCs w:val="28"/>
        </w:rPr>
        <w:t>crimes</w:t>
      </w:r>
      <w:r w:rsidRPr="008033F0">
        <w:rPr>
          <w:rFonts w:asciiTheme="majorHAnsi" w:hAnsiTheme="majorHAnsi"/>
          <w:sz w:val="28"/>
          <w:szCs w:val="28"/>
        </w:rPr>
        <w:t>”</w:t>
      </w:r>
      <w:r w:rsidR="001A6B0F" w:rsidRPr="008033F0">
        <w:rPr>
          <w:rFonts w:asciiTheme="majorHAnsi" w:hAnsiTheme="majorHAnsi"/>
          <w:sz w:val="28"/>
          <w:szCs w:val="28"/>
        </w:rPr>
        <w:t xml:space="preserve"> for which the State p</w:t>
      </w:r>
      <w:r w:rsidR="00791ED7" w:rsidRPr="008033F0">
        <w:rPr>
          <w:rFonts w:asciiTheme="majorHAnsi" w:hAnsiTheme="majorHAnsi"/>
          <w:sz w:val="28"/>
          <w:szCs w:val="28"/>
        </w:rPr>
        <w:t>arty seeks the death penalty—</w:t>
      </w:r>
      <w:r w:rsidR="005C6345">
        <w:rPr>
          <w:rFonts w:asciiTheme="majorHAnsi" w:hAnsiTheme="majorHAnsi"/>
          <w:sz w:val="28"/>
          <w:szCs w:val="28"/>
        </w:rPr>
        <w:t xml:space="preserve">such as </w:t>
      </w:r>
      <w:r w:rsidR="00791ED7" w:rsidRPr="008033F0">
        <w:rPr>
          <w:rFonts w:asciiTheme="majorHAnsi" w:hAnsiTheme="majorHAnsi"/>
          <w:sz w:val="28"/>
          <w:szCs w:val="28"/>
        </w:rPr>
        <w:t>conspiracy</w:t>
      </w:r>
      <w:r w:rsidRPr="008033F0">
        <w:rPr>
          <w:rFonts w:asciiTheme="majorHAnsi" w:hAnsiTheme="majorHAnsi"/>
          <w:sz w:val="28"/>
          <w:szCs w:val="28"/>
        </w:rPr>
        <w:t xml:space="preserve">, </w:t>
      </w:r>
      <w:r w:rsidR="00791ED7" w:rsidRPr="008033F0">
        <w:rPr>
          <w:rFonts w:asciiTheme="majorHAnsi" w:hAnsiTheme="majorHAnsi"/>
          <w:sz w:val="28"/>
          <w:szCs w:val="28"/>
        </w:rPr>
        <w:t>terrorism</w:t>
      </w:r>
      <w:r w:rsidRPr="008033F0">
        <w:rPr>
          <w:rFonts w:asciiTheme="majorHAnsi" w:hAnsiTheme="majorHAnsi"/>
          <w:sz w:val="28"/>
          <w:szCs w:val="28"/>
        </w:rPr>
        <w:t>, and hijacking</w:t>
      </w:r>
      <w:r w:rsidR="00791ED7" w:rsidRPr="008033F0">
        <w:rPr>
          <w:rFonts w:asciiTheme="majorHAnsi" w:hAnsiTheme="majorHAnsi"/>
          <w:sz w:val="28"/>
          <w:szCs w:val="28"/>
        </w:rPr>
        <w:t>—were not war crimes at all.</w:t>
      </w:r>
      <w:r w:rsidR="00791ED7" w:rsidRPr="008033F0">
        <w:rPr>
          <w:rStyle w:val="FootnoteReference"/>
          <w:rFonts w:asciiTheme="majorHAnsi" w:hAnsiTheme="majorHAnsi"/>
          <w:sz w:val="28"/>
          <w:szCs w:val="28"/>
        </w:rPr>
        <w:footnoteReference w:id="22"/>
      </w:r>
      <w:r w:rsidRPr="008033F0">
        <w:rPr>
          <w:rFonts w:asciiTheme="majorHAnsi" w:hAnsiTheme="majorHAnsi"/>
          <w:sz w:val="28"/>
          <w:szCs w:val="28"/>
        </w:rPr>
        <w:t xml:space="preserve">  Other crimes, such as “destruction of property in violation of the law of war</w:t>
      </w:r>
      <w:r w:rsidR="00791ED7" w:rsidRPr="008033F0">
        <w:rPr>
          <w:rFonts w:asciiTheme="majorHAnsi" w:hAnsiTheme="majorHAnsi"/>
          <w:sz w:val="28"/>
          <w:szCs w:val="28"/>
        </w:rPr>
        <w:t>,</w:t>
      </w:r>
      <w:r w:rsidRPr="008033F0">
        <w:rPr>
          <w:rFonts w:asciiTheme="majorHAnsi" w:hAnsiTheme="majorHAnsi"/>
          <w:sz w:val="28"/>
          <w:szCs w:val="28"/>
        </w:rPr>
        <w:t>”</w:t>
      </w:r>
      <w:r w:rsidR="00791ED7" w:rsidRPr="008033F0">
        <w:rPr>
          <w:rFonts w:asciiTheme="majorHAnsi" w:hAnsiTheme="majorHAnsi"/>
          <w:sz w:val="28"/>
          <w:szCs w:val="28"/>
        </w:rPr>
        <w:t xml:space="preserve"> were not war crimes in the context of a non-international armed conflict.</w:t>
      </w:r>
      <w:r w:rsidR="00791ED7" w:rsidRPr="008033F0">
        <w:rPr>
          <w:rStyle w:val="FootnoteReference"/>
          <w:rFonts w:asciiTheme="majorHAnsi" w:hAnsiTheme="majorHAnsi"/>
          <w:sz w:val="28"/>
          <w:szCs w:val="28"/>
        </w:rPr>
        <w:footnoteReference w:id="23"/>
      </w:r>
      <w:r w:rsidR="00791ED7" w:rsidRPr="008033F0">
        <w:rPr>
          <w:rFonts w:asciiTheme="majorHAnsi" w:hAnsiTheme="majorHAnsi"/>
          <w:sz w:val="28"/>
          <w:szCs w:val="28"/>
        </w:rPr>
        <w:t xml:space="preserve"> </w:t>
      </w:r>
      <w:r w:rsidR="0072227F">
        <w:rPr>
          <w:rFonts w:asciiTheme="majorHAnsi" w:hAnsiTheme="majorHAnsi"/>
          <w:sz w:val="28"/>
          <w:szCs w:val="28"/>
        </w:rPr>
        <w:t xml:space="preserve"> </w:t>
      </w:r>
      <w:r w:rsidR="001A6B0F" w:rsidRPr="008033F0">
        <w:rPr>
          <w:rFonts w:asciiTheme="majorHAnsi" w:hAnsiTheme="majorHAnsi"/>
          <w:sz w:val="28"/>
          <w:szCs w:val="28"/>
        </w:rPr>
        <w:t>For two charges</w:t>
      </w:r>
      <w:r w:rsidR="00791ED7" w:rsidRPr="008033F0">
        <w:rPr>
          <w:rFonts w:asciiTheme="majorHAnsi" w:hAnsiTheme="majorHAnsi"/>
          <w:sz w:val="28"/>
          <w:szCs w:val="28"/>
        </w:rPr>
        <w:t xml:space="preserve">, </w:t>
      </w:r>
      <w:r w:rsidR="001A6B0F" w:rsidRPr="008033F0">
        <w:rPr>
          <w:rFonts w:asciiTheme="majorHAnsi" w:hAnsiTheme="majorHAnsi"/>
          <w:sz w:val="28"/>
          <w:szCs w:val="28"/>
        </w:rPr>
        <w:t>“attacking civilian objects” and “destruction of property in violation of the law of war</w:t>
      </w:r>
      <w:r w:rsidR="00791ED7" w:rsidRPr="008033F0">
        <w:rPr>
          <w:rFonts w:asciiTheme="majorHAnsi" w:hAnsiTheme="majorHAnsi"/>
          <w:sz w:val="28"/>
          <w:szCs w:val="28"/>
        </w:rPr>
        <w:t>,</w:t>
      </w:r>
      <w:r w:rsidR="001A6B0F" w:rsidRPr="008033F0">
        <w:rPr>
          <w:rFonts w:asciiTheme="majorHAnsi" w:hAnsiTheme="majorHAnsi"/>
          <w:sz w:val="28"/>
          <w:szCs w:val="28"/>
        </w:rPr>
        <w:t>” the State p</w:t>
      </w:r>
      <w:r w:rsidR="00791ED7" w:rsidRPr="008033F0">
        <w:rPr>
          <w:rFonts w:asciiTheme="majorHAnsi" w:hAnsiTheme="majorHAnsi"/>
          <w:sz w:val="28"/>
          <w:szCs w:val="28"/>
        </w:rPr>
        <w:t>arty is deliberately violating the principle of legality to circumvent the statute of limitations in its regular</w:t>
      </w:r>
      <w:r w:rsidR="001A6B0F" w:rsidRPr="008033F0">
        <w:rPr>
          <w:rFonts w:asciiTheme="majorHAnsi" w:hAnsiTheme="majorHAnsi"/>
          <w:sz w:val="28"/>
          <w:szCs w:val="28"/>
        </w:rPr>
        <w:t>ly constituted</w:t>
      </w:r>
      <w:r w:rsidR="00791ED7" w:rsidRPr="008033F0">
        <w:rPr>
          <w:rFonts w:asciiTheme="majorHAnsi" w:hAnsiTheme="majorHAnsi"/>
          <w:sz w:val="28"/>
          <w:szCs w:val="28"/>
        </w:rPr>
        <w:t xml:space="preserve"> courts</w:t>
      </w:r>
      <w:r w:rsidR="001A6B0F" w:rsidRPr="008033F0">
        <w:rPr>
          <w:rFonts w:asciiTheme="majorHAnsi" w:hAnsiTheme="majorHAnsi"/>
          <w:sz w:val="28"/>
          <w:szCs w:val="28"/>
        </w:rPr>
        <w:t>, which expired in September 2006</w:t>
      </w:r>
      <w:r w:rsidR="00791ED7" w:rsidRPr="008033F0">
        <w:rPr>
          <w:rFonts w:asciiTheme="majorHAnsi" w:hAnsiTheme="majorHAnsi"/>
          <w:sz w:val="28"/>
          <w:szCs w:val="28"/>
        </w:rPr>
        <w:t>.</w:t>
      </w:r>
      <w:r w:rsidR="00791ED7" w:rsidRPr="008033F0">
        <w:rPr>
          <w:rStyle w:val="FootnoteReference"/>
          <w:rFonts w:asciiTheme="majorHAnsi" w:hAnsiTheme="majorHAnsi"/>
          <w:sz w:val="28"/>
          <w:szCs w:val="28"/>
        </w:rPr>
        <w:footnoteReference w:id="24"/>
      </w:r>
    </w:p>
    <w:p w:rsidR="00E5417A" w:rsidRPr="008033F0" w:rsidRDefault="00E5417A" w:rsidP="00791ED7">
      <w:pPr>
        <w:jc w:val="both"/>
        <w:rPr>
          <w:rFonts w:asciiTheme="majorHAnsi" w:hAnsiTheme="majorHAnsi"/>
          <w:sz w:val="28"/>
          <w:szCs w:val="28"/>
        </w:rPr>
      </w:pPr>
    </w:p>
    <w:p w:rsidR="00791ED7" w:rsidRDefault="00791ED7" w:rsidP="00791ED7">
      <w:pPr>
        <w:jc w:val="both"/>
        <w:rPr>
          <w:rFonts w:asciiTheme="majorHAnsi" w:hAnsiTheme="majorHAnsi"/>
          <w:sz w:val="28"/>
          <w:szCs w:val="28"/>
        </w:rPr>
      </w:pPr>
      <w:r w:rsidRPr="008033F0">
        <w:rPr>
          <w:rFonts w:asciiTheme="majorHAnsi" w:hAnsiTheme="majorHAnsi"/>
          <w:sz w:val="28"/>
          <w:szCs w:val="28"/>
        </w:rPr>
        <w:t>Even if customary international law authorizes prosecution for some of the alleged war crimes without a statute, customary international law certainly does not permit imposition of the death penalty.  Indeed, no person has ever been executed under customary international law for a war crime committed in a non-in</w:t>
      </w:r>
      <w:r w:rsidR="001A6B0F" w:rsidRPr="008033F0">
        <w:rPr>
          <w:rFonts w:asciiTheme="majorHAnsi" w:hAnsiTheme="majorHAnsi"/>
          <w:sz w:val="28"/>
          <w:szCs w:val="28"/>
        </w:rPr>
        <w:t>ternational armed conflict.</w:t>
      </w:r>
    </w:p>
    <w:p w:rsidR="00C25414" w:rsidRDefault="00C25414" w:rsidP="00791ED7">
      <w:pPr>
        <w:jc w:val="both"/>
        <w:rPr>
          <w:rFonts w:asciiTheme="majorHAnsi" w:hAnsiTheme="majorHAnsi"/>
          <w:sz w:val="28"/>
          <w:szCs w:val="28"/>
        </w:rPr>
      </w:pPr>
    </w:p>
    <w:p w:rsidR="00C25414" w:rsidRDefault="00C25414" w:rsidP="00791ED7">
      <w:pPr>
        <w:jc w:val="both"/>
        <w:rPr>
          <w:rFonts w:asciiTheme="majorHAnsi" w:hAnsiTheme="majorHAnsi"/>
          <w:sz w:val="28"/>
          <w:szCs w:val="28"/>
        </w:rPr>
      </w:pPr>
    </w:p>
    <w:p w:rsidR="00C25414" w:rsidRDefault="00C25414" w:rsidP="00791ED7">
      <w:pPr>
        <w:jc w:val="both"/>
        <w:rPr>
          <w:rFonts w:asciiTheme="majorHAnsi" w:hAnsiTheme="majorHAnsi"/>
          <w:sz w:val="28"/>
          <w:szCs w:val="28"/>
        </w:rPr>
      </w:pPr>
    </w:p>
    <w:p w:rsidR="00C25414" w:rsidRDefault="00C25414" w:rsidP="00791ED7">
      <w:pPr>
        <w:jc w:val="both"/>
        <w:rPr>
          <w:rFonts w:asciiTheme="majorHAnsi" w:hAnsiTheme="majorHAnsi"/>
          <w:sz w:val="28"/>
          <w:szCs w:val="28"/>
        </w:rPr>
      </w:pPr>
    </w:p>
    <w:p w:rsidR="00C25414" w:rsidRDefault="00C25414" w:rsidP="00791ED7">
      <w:pPr>
        <w:jc w:val="both"/>
        <w:rPr>
          <w:rFonts w:asciiTheme="majorHAnsi" w:hAnsiTheme="majorHAnsi"/>
          <w:sz w:val="28"/>
          <w:szCs w:val="28"/>
        </w:rPr>
      </w:pPr>
    </w:p>
    <w:p w:rsidR="00CA3AD9" w:rsidRPr="008033F0" w:rsidRDefault="00CA3AD9" w:rsidP="00791ED7">
      <w:pPr>
        <w:jc w:val="both"/>
        <w:rPr>
          <w:rFonts w:asciiTheme="majorHAnsi" w:hAnsiTheme="majorHAnsi"/>
          <w:sz w:val="28"/>
          <w:szCs w:val="28"/>
        </w:rPr>
      </w:pPr>
    </w:p>
    <w:p w:rsidR="00791ED7" w:rsidRPr="00C25414" w:rsidRDefault="00791ED7" w:rsidP="00791ED7">
      <w:pPr>
        <w:jc w:val="center"/>
        <w:rPr>
          <w:rFonts w:asciiTheme="majorHAnsi" w:hAnsiTheme="majorHAnsi"/>
          <w:b/>
          <w:bCs/>
          <w:i/>
          <w:iCs/>
          <w:sz w:val="28"/>
          <w:szCs w:val="28"/>
        </w:rPr>
      </w:pPr>
      <w:r w:rsidRPr="00C25414">
        <w:rPr>
          <w:rFonts w:asciiTheme="majorHAnsi" w:hAnsiTheme="majorHAnsi"/>
          <w:b/>
          <w:bCs/>
          <w:i/>
          <w:iCs/>
          <w:sz w:val="28"/>
          <w:szCs w:val="28"/>
        </w:rPr>
        <w:lastRenderedPageBreak/>
        <w:t>Equality of arms</w:t>
      </w:r>
    </w:p>
    <w:p w:rsidR="001A6B0F" w:rsidRPr="008033F0" w:rsidRDefault="001A6B0F" w:rsidP="00791ED7">
      <w:pPr>
        <w:jc w:val="center"/>
        <w:rPr>
          <w:rFonts w:asciiTheme="majorHAnsi" w:hAnsiTheme="majorHAnsi"/>
          <w:i/>
          <w:iCs/>
          <w:sz w:val="28"/>
          <w:szCs w:val="28"/>
        </w:rPr>
      </w:pPr>
    </w:p>
    <w:p w:rsidR="00791ED7" w:rsidRPr="008033F0" w:rsidRDefault="00791ED7" w:rsidP="003D3AFA">
      <w:pPr>
        <w:jc w:val="both"/>
        <w:rPr>
          <w:rFonts w:asciiTheme="majorHAnsi" w:hAnsiTheme="majorHAnsi"/>
          <w:sz w:val="28"/>
          <w:szCs w:val="28"/>
        </w:rPr>
      </w:pPr>
      <w:r w:rsidRPr="008033F0">
        <w:rPr>
          <w:rFonts w:asciiTheme="majorHAnsi" w:hAnsiTheme="majorHAnsi"/>
          <w:sz w:val="28"/>
          <w:szCs w:val="28"/>
        </w:rPr>
        <w:t>One core element of the principle of equality of arms is that both sides in a criminal prosecution must be able to obtain witnesses on equal terms.  Article 14(3)(e) requires the right “to obtain the attendance and examination of witnesses on his behalf under the same conditions as witnesses against him.”</w:t>
      </w:r>
    </w:p>
    <w:p w:rsidR="001A6B0F" w:rsidRPr="008033F0" w:rsidRDefault="001A6B0F" w:rsidP="00791ED7">
      <w:pPr>
        <w:jc w:val="both"/>
        <w:rPr>
          <w:rFonts w:asciiTheme="majorHAnsi" w:hAnsiTheme="majorHAnsi"/>
          <w:sz w:val="28"/>
          <w:szCs w:val="28"/>
        </w:rPr>
      </w:pPr>
    </w:p>
    <w:p w:rsidR="00791ED7" w:rsidRPr="008033F0" w:rsidRDefault="003D3AFA" w:rsidP="003D3AFA">
      <w:pPr>
        <w:jc w:val="both"/>
        <w:rPr>
          <w:rFonts w:asciiTheme="majorHAnsi" w:hAnsiTheme="majorHAnsi"/>
          <w:sz w:val="28"/>
          <w:szCs w:val="28"/>
        </w:rPr>
      </w:pPr>
      <w:r w:rsidRPr="008033F0">
        <w:rPr>
          <w:rFonts w:asciiTheme="majorHAnsi" w:hAnsiTheme="majorHAnsi"/>
          <w:sz w:val="28"/>
          <w:szCs w:val="28"/>
        </w:rPr>
        <w:t>Under military commissions rules, the prosecution can summon witnesses, but the defense cannot.  The prosecution has the same power to subpoena witnesses as a military judge.</w:t>
      </w:r>
      <w:r w:rsidRPr="008033F0">
        <w:rPr>
          <w:rStyle w:val="FootnoteReference"/>
          <w:rFonts w:asciiTheme="majorHAnsi" w:hAnsiTheme="majorHAnsi"/>
          <w:sz w:val="28"/>
          <w:szCs w:val="28"/>
        </w:rPr>
        <w:footnoteReference w:id="25"/>
      </w:r>
      <w:r w:rsidRPr="008033F0">
        <w:rPr>
          <w:rFonts w:asciiTheme="majorHAnsi" w:hAnsiTheme="majorHAnsi"/>
          <w:sz w:val="28"/>
          <w:szCs w:val="28"/>
        </w:rPr>
        <w:t xml:space="preserve">  The defense, on the other hand, may only obtain witnesses by asking the prosecution to produce them,</w:t>
      </w:r>
      <w:r w:rsidRPr="008033F0">
        <w:rPr>
          <w:rStyle w:val="FootnoteReference"/>
          <w:rFonts w:asciiTheme="majorHAnsi" w:hAnsiTheme="majorHAnsi"/>
          <w:sz w:val="28"/>
          <w:szCs w:val="28"/>
        </w:rPr>
        <w:footnoteReference w:id="26"/>
      </w:r>
      <w:r w:rsidRPr="008033F0">
        <w:rPr>
          <w:rFonts w:asciiTheme="majorHAnsi" w:hAnsiTheme="majorHAnsi"/>
          <w:sz w:val="28"/>
          <w:szCs w:val="28"/>
        </w:rPr>
        <w:t xml:space="preserve"> which the prosecution has refused to do with respect to dozens of defense witnesses.  Although the defense may appeal a prosecution refusal to a military judge, the military commission has ruled that it does not have authority to require witnesses to appear at </w:t>
      </w:r>
      <w:r w:rsidR="00CA3AD9">
        <w:rPr>
          <w:rFonts w:asciiTheme="majorHAnsi" w:hAnsiTheme="majorHAnsi"/>
          <w:sz w:val="28"/>
          <w:szCs w:val="28"/>
        </w:rPr>
        <w:t>Guantánamo</w:t>
      </w:r>
      <w:r w:rsidRPr="008033F0">
        <w:rPr>
          <w:rFonts w:asciiTheme="majorHAnsi" w:hAnsiTheme="majorHAnsi"/>
          <w:sz w:val="28"/>
          <w:szCs w:val="28"/>
        </w:rPr>
        <w:t xml:space="preserve"> Bay.</w:t>
      </w:r>
      <w:r w:rsidRPr="008033F0">
        <w:rPr>
          <w:rStyle w:val="FootnoteReference"/>
          <w:rFonts w:asciiTheme="majorHAnsi" w:hAnsiTheme="majorHAnsi"/>
          <w:sz w:val="28"/>
          <w:szCs w:val="28"/>
        </w:rPr>
        <w:footnoteReference w:id="27"/>
      </w:r>
      <w:r w:rsidRPr="008033F0">
        <w:rPr>
          <w:rFonts w:asciiTheme="majorHAnsi" w:hAnsiTheme="majorHAnsi"/>
          <w:sz w:val="28"/>
          <w:szCs w:val="28"/>
        </w:rPr>
        <w:t xml:space="preserve"> </w:t>
      </w:r>
      <w:r w:rsidR="008033F0" w:rsidRPr="008033F0">
        <w:rPr>
          <w:rFonts w:asciiTheme="majorHAnsi" w:hAnsiTheme="majorHAnsi"/>
          <w:sz w:val="28"/>
          <w:szCs w:val="28"/>
        </w:rPr>
        <w:t xml:space="preserve">   </w:t>
      </w:r>
    </w:p>
    <w:p w:rsidR="008033F0" w:rsidRPr="008033F0" w:rsidRDefault="008033F0" w:rsidP="003D3AFA">
      <w:pPr>
        <w:jc w:val="both"/>
        <w:rPr>
          <w:rFonts w:asciiTheme="majorHAnsi" w:hAnsiTheme="majorHAnsi"/>
          <w:sz w:val="28"/>
          <w:szCs w:val="28"/>
        </w:rPr>
      </w:pPr>
    </w:p>
    <w:p w:rsidR="008033F0" w:rsidRPr="008033F0" w:rsidRDefault="008033F0" w:rsidP="008033F0">
      <w:pPr>
        <w:jc w:val="both"/>
        <w:rPr>
          <w:rFonts w:asciiTheme="majorHAnsi" w:hAnsiTheme="majorHAnsi"/>
          <w:sz w:val="28"/>
          <w:szCs w:val="28"/>
        </w:rPr>
      </w:pPr>
      <w:r w:rsidRPr="008033F0">
        <w:rPr>
          <w:rFonts w:asciiTheme="majorHAnsi" w:hAnsiTheme="majorHAnsi"/>
          <w:sz w:val="28"/>
          <w:szCs w:val="28"/>
        </w:rPr>
        <w:t xml:space="preserve">The </w:t>
      </w:r>
      <w:r w:rsidR="00CA3AD9">
        <w:rPr>
          <w:rFonts w:asciiTheme="majorHAnsi" w:hAnsiTheme="majorHAnsi"/>
          <w:sz w:val="28"/>
          <w:szCs w:val="28"/>
        </w:rPr>
        <w:t>Guantánamo</w:t>
      </w:r>
      <w:r w:rsidRPr="008033F0">
        <w:rPr>
          <w:rFonts w:asciiTheme="majorHAnsi" w:hAnsiTheme="majorHAnsi"/>
          <w:sz w:val="28"/>
          <w:szCs w:val="28"/>
        </w:rPr>
        <w:t xml:space="preserve"> Bay military commissions clearly violate article 14(3)(e) by providing the prosecution the power to summon witnesses and denying the same authority to the defense.  Although the cases are far from trial, the prosecution has already exploited this inequality of arms to prevent inquiry into the torture and cruel, inhuman and degrading treatment of the six men it seeks to execute.</w:t>
      </w:r>
    </w:p>
    <w:p w:rsidR="008033F0" w:rsidRPr="008033F0" w:rsidRDefault="008033F0" w:rsidP="008033F0">
      <w:pPr>
        <w:jc w:val="both"/>
        <w:rPr>
          <w:rFonts w:asciiTheme="majorHAnsi" w:hAnsiTheme="majorHAnsi"/>
          <w:sz w:val="28"/>
          <w:szCs w:val="28"/>
        </w:rPr>
      </w:pPr>
    </w:p>
    <w:p w:rsidR="008033F0" w:rsidRDefault="00CA3AD9" w:rsidP="00CA3AD9">
      <w:pPr>
        <w:jc w:val="center"/>
        <w:rPr>
          <w:rFonts w:asciiTheme="majorHAnsi" w:hAnsiTheme="majorHAnsi"/>
          <w:sz w:val="44"/>
          <w:szCs w:val="44"/>
        </w:rPr>
      </w:pPr>
      <w:r>
        <w:rPr>
          <w:rFonts w:asciiTheme="majorHAnsi" w:hAnsiTheme="majorHAnsi"/>
          <w:b/>
          <w:bCs/>
          <w:sz w:val="44"/>
          <w:szCs w:val="44"/>
        </w:rPr>
        <w:t>The future</w:t>
      </w:r>
    </w:p>
    <w:p w:rsidR="00CA3AD9" w:rsidRPr="00A129ED" w:rsidRDefault="00CA3AD9" w:rsidP="00CA3AD9">
      <w:pPr>
        <w:jc w:val="center"/>
        <w:rPr>
          <w:rFonts w:asciiTheme="majorHAnsi" w:hAnsiTheme="majorHAnsi"/>
          <w:sz w:val="28"/>
          <w:szCs w:val="28"/>
        </w:rPr>
      </w:pPr>
    </w:p>
    <w:p w:rsidR="00FC7D18" w:rsidRPr="008033F0" w:rsidRDefault="00CA3AD9" w:rsidP="00434054">
      <w:pPr>
        <w:jc w:val="both"/>
        <w:rPr>
          <w:rFonts w:asciiTheme="majorHAnsi" w:hAnsiTheme="majorHAnsi"/>
          <w:sz w:val="28"/>
          <w:szCs w:val="28"/>
        </w:rPr>
      </w:pPr>
      <w:r>
        <w:rPr>
          <w:rFonts w:asciiTheme="majorHAnsi" w:hAnsiTheme="majorHAnsi"/>
          <w:sz w:val="28"/>
          <w:szCs w:val="28"/>
        </w:rPr>
        <w:t xml:space="preserve">The future looks grim for State party compliance with the Committee’s recommendation.  As the State party candidly admits, there are no plans to discontinue the use of military commissions.  Rather, the State party continues to spend many millions of dollars on an extraordinary tribunal </w:t>
      </w:r>
      <w:r w:rsidR="00A129ED">
        <w:rPr>
          <w:rFonts w:asciiTheme="majorHAnsi" w:hAnsiTheme="majorHAnsi"/>
          <w:sz w:val="28"/>
          <w:szCs w:val="28"/>
        </w:rPr>
        <w:t>which violates fundamental fair trial rights.</w:t>
      </w:r>
      <w:r w:rsidR="00A129ED">
        <w:rPr>
          <w:rStyle w:val="FootnoteReference"/>
          <w:rFonts w:asciiTheme="majorHAnsi" w:hAnsiTheme="majorHAnsi"/>
          <w:sz w:val="28"/>
          <w:szCs w:val="28"/>
        </w:rPr>
        <w:footnoteReference w:id="28"/>
      </w:r>
      <w:r w:rsidR="00A129ED">
        <w:rPr>
          <w:rFonts w:asciiTheme="majorHAnsi" w:hAnsiTheme="majorHAnsi"/>
          <w:sz w:val="28"/>
          <w:szCs w:val="28"/>
        </w:rPr>
        <w:t xml:space="preserve">  The State party has earned the disapprobation of the Committee—and, indeed, the world—for its continued violation of article 14 and other important ICCPR guarantees </w:t>
      </w:r>
      <w:r w:rsidR="00A129ED" w:rsidRPr="00A129ED">
        <w:rPr>
          <w:rFonts w:asciiTheme="majorHAnsi" w:hAnsiTheme="majorHAnsi"/>
          <w:sz w:val="28"/>
          <w:szCs w:val="28"/>
        </w:rPr>
        <w:t xml:space="preserve">at </w:t>
      </w:r>
      <w:r w:rsidR="00A129ED" w:rsidRPr="00A129ED">
        <w:rPr>
          <w:rFonts w:asciiTheme="majorHAnsi" w:hAnsiTheme="majorHAnsi"/>
          <w:bCs/>
          <w:sz w:val="28"/>
          <w:szCs w:val="28"/>
        </w:rPr>
        <w:t>Guantánamo Bay</w:t>
      </w:r>
      <w:r w:rsidR="00A129ED" w:rsidRPr="00A129ED">
        <w:rPr>
          <w:rFonts w:asciiTheme="majorHAnsi" w:hAnsiTheme="majorHAnsi"/>
          <w:sz w:val="28"/>
          <w:szCs w:val="28"/>
        </w:rPr>
        <w:t>.</w:t>
      </w:r>
    </w:p>
    <w:sectPr w:rsidR="00FC7D18" w:rsidRPr="008033F0" w:rsidSect="00EB05A4">
      <w:type w:val="continuous"/>
      <w:pgSz w:w="11900" w:h="16840"/>
      <w:pgMar w:top="1440" w:right="1440" w:bottom="1440" w:left="1440" w:header="173" w:footer="28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33F0" w:rsidRDefault="008033F0" w:rsidP="002D0E07">
      <w:r>
        <w:separator/>
      </w:r>
    </w:p>
  </w:endnote>
  <w:endnote w:type="continuationSeparator" w:id="0">
    <w:p w:rsidR="008033F0" w:rsidRDefault="008033F0" w:rsidP="002D0E07">
      <w:r>
        <w:continuationSeparator/>
      </w:r>
    </w:p>
  </w:endnote>
  <w:endnote w:id="1">
    <w:p w:rsidR="008033F0" w:rsidRPr="00E5417A" w:rsidRDefault="008033F0" w:rsidP="00E5417A">
      <w:pPr>
        <w:pStyle w:val="EndnoteText"/>
        <w:jc w:val="both"/>
        <w:rPr>
          <w:rFonts w:asciiTheme="majorBidi" w:hAnsiTheme="majorBidi" w:cstheme="majorBidi"/>
          <w:sz w:val="24"/>
          <w:szCs w:val="24"/>
        </w:rPr>
      </w:pPr>
      <w:r w:rsidRPr="00E5417A">
        <w:rPr>
          <w:rStyle w:val="EndnoteReference"/>
          <w:rFonts w:asciiTheme="majorBidi" w:hAnsiTheme="majorBidi" w:cstheme="majorBidi"/>
          <w:sz w:val="24"/>
          <w:szCs w:val="24"/>
        </w:rPr>
        <w:endnoteRef/>
      </w:r>
      <w:r w:rsidRPr="00E5417A">
        <w:rPr>
          <w:rFonts w:asciiTheme="majorBidi" w:hAnsiTheme="majorBidi" w:cstheme="majorBidi"/>
          <w:sz w:val="24"/>
          <w:szCs w:val="24"/>
        </w:rPr>
        <w:t xml:space="preserve"> The Office of the Chief Defense Counsel is responsible for providing legal services to persons charged in a United States Military Commission. </w:t>
      </w:r>
      <w:r w:rsidRPr="00E5417A">
        <w:rPr>
          <w:rFonts w:asciiTheme="majorBidi" w:hAnsiTheme="majorBidi" w:cstheme="majorBidi"/>
          <w:i/>
          <w:sz w:val="24"/>
          <w:szCs w:val="24"/>
        </w:rPr>
        <w:t xml:space="preserve">See </w:t>
      </w:r>
      <w:r w:rsidRPr="00E5417A">
        <w:rPr>
          <w:rFonts w:asciiTheme="majorBidi" w:hAnsiTheme="majorBidi" w:cstheme="majorBidi"/>
          <w:sz w:val="24"/>
          <w:szCs w:val="24"/>
        </w:rPr>
        <w:t xml:space="preserve">10 U.S.C. § 938k(c).  The Chief Defense Counsel has detailed James G. Connell, III, among others, as counsel for Mr. al Baluchi, and David Nevin, among others, as counsel for Mr. Mohammad.  This Report does not represent the official position of the United States of America, the Department of Defense, or of any person other than its authors, Mr. al Baluchi, and Mr. Mohammad.  This </w:t>
      </w:r>
      <w:r>
        <w:rPr>
          <w:rFonts w:asciiTheme="majorBidi" w:hAnsiTheme="majorBidi" w:cstheme="majorBidi"/>
          <w:sz w:val="24"/>
          <w:szCs w:val="24"/>
        </w:rPr>
        <w:t>Report</w:t>
      </w:r>
      <w:r w:rsidRPr="00E5417A">
        <w:rPr>
          <w:rFonts w:asciiTheme="majorBidi" w:hAnsiTheme="majorBidi" w:cstheme="majorBidi"/>
          <w:sz w:val="24"/>
          <w:szCs w:val="24"/>
        </w:rPr>
        <w:t xml:space="preserve"> is not based upon classified information, and should not be read to confirm or deny any information the United States considers classified.</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5062315"/>
      <w:docPartObj>
        <w:docPartGallery w:val="Page Numbers (Bottom of Page)"/>
        <w:docPartUnique/>
      </w:docPartObj>
    </w:sdtPr>
    <w:sdtEndPr>
      <w:rPr>
        <w:rFonts w:asciiTheme="majorHAnsi" w:hAnsiTheme="majorHAnsi"/>
        <w:sz w:val="16"/>
        <w:szCs w:val="16"/>
      </w:rPr>
    </w:sdtEndPr>
    <w:sdtContent>
      <w:p w:rsidR="008033F0" w:rsidRPr="00EA0B8C" w:rsidRDefault="008033F0" w:rsidP="00EA0B8C">
        <w:pPr>
          <w:pStyle w:val="Footer"/>
          <w:jc w:val="right"/>
          <w:rPr>
            <w:rFonts w:asciiTheme="majorHAnsi" w:hAnsiTheme="majorHAnsi"/>
            <w:sz w:val="16"/>
            <w:szCs w:val="16"/>
          </w:rPr>
        </w:pPr>
        <w:r w:rsidRPr="00EA0B8C">
          <w:rPr>
            <w:rFonts w:asciiTheme="majorHAnsi" w:hAnsiTheme="majorHAnsi"/>
            <w:sz w:val="16"/>
            <w:szCs w:val="16"/>
          </w:rPr>
          <w:fldChar w:fldCharType="begin"/>
        </w:r>
        <w:r w:rsidRPr="00EA0B8C">
          <w:rPr>
            <w:rFonts w:asciiTheme="majorHAnsi" w:hAnsiTheme="majorHAnsi"/>
            <w:sz w:val="16"/>
            <w:szCs w:val="16"/>
          </w:rPr>
          <w:instrText xml:space="preserve"> PAGE   \* MERGEFORMAT </w:instrText>
        </w:r>
        <w:r w:rsidRPr="00EA0B8C">
          <w:rPr>
            <w:rFonts w:asciiTheme="majorHAnsi" w:hAnsiTheme="majorHAnsi"/>
            <w:sz w:val="16"/>
            <w:szCs w:val="16"/>
          </w:rPr>
          <w:fldChar w:fldCharType="separate"/>
        </w:r>
        <w:r w:rsidR="00297F82">
          <w:rPr>
            <w:rFonts w:asciiTheme="majorHAnsi" w:hAnsiTheme="majorHAnsi"/>
            <w:noProof/>
            <w:sz w:val="16"/>
            <w:szCs w:val="16"/>
          </w:rPr>
          <w:t>9</w:t>
        </w:r>
        <w:r w:rsidRPr="00EA0B8C">
          <w:rPr>
            <w:rFonts w:asciiTheme="majorHAnsi" w:hAnsiTheme="majorHAnsi"/>
            <w:sz w:val="16"/>
            <w:szCs w:val="1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33F0" w:rsidRDefault="008033F0" w:rsidP="002D0E07">
      <w:r>
        <w:separator/>
      </w:r>
    </w:p>
  </w:footnote>
  <w:footnote w:type="continuationSeparator" w:id="0">
    <w:p w:rsidR="008033F0" w:rsidRDefault="008033F0" w:rsidP="002D0E07">
      <w:r>
        <w:continuationSeparator/>
      </w:r>
    </w:p>
  </w:footnote>
  <w:footnote w:id="1">
    <w:p w:rsidR="008033F0" w:rsidRPr="008033F0" w:rsidRDefault="008033F0" w:rsidP="00A129ED">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United States, </w:t>
      </w:r>
      <w:r w:rsidRPr="008033F0">
        <w:rPr>
          <w:rFonts w:asciiTheme="majorHAnsi" w:hAnsiTheme="majorHAnsi"/>
          <w:i/>
          <w:iCs/>
        </w:rPr>
        <w:t xml:space="preserve">One-Year Follow-up Response of the United States of America to Priority Recommendations of the Human Rights Committee on its Fourth Periodic Report on Implementation of the International Covenant on Civil and Political Rights </w:t>
      </w:r>
      <w:r w:rsidRPr="008033F0">
        <w:rPr>
          <w:rFonts w:asciiTheme="majorHAnsi" w:hAnsiTheme="majorHAnsi"/>
        </w:rPr>
        <w:t xml:space="preserve">[hereinafter </w:t>
      </w:r>
      <w:r w:rsidRPr="008033F0">
        <w:rPr>
          <w:rFonts w:asciiTheme="majorHAnsi" w:hAnsiTheme="majorHAnsi"/>
          <w:i/>
          <w:iCs/>
        </w:rPr>
        <w:t>Follow-up Response</w:t>
      </w:r>
      <w:r w:rsidRPr="008033F0">
        <w:rPr>
          <w:rFonts w:asciiTheme="majorHAnsi" w:hAnsiTheme="majorHAnsi"/>
        </w:rPr>
        <w:t>], at 11 (1 April 2015).</w:t>
      </w:r>
    </w:p>
  </w:footnote>
  <w:footnote w:id="2">
    <w:p w:rsidR="008033F0" w:rsidRPr="008033F0" w:rsidRDefault="008033F0" w:rsidP="00A129ED">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w:t>
      </w:r>
      <w:r w:rsidRPr="008033F0">
        <w:rPr>
          <w:rFonts w:asciiTheme="majorHAnsi" w:hAnsiTheme="majorHAnsi"/>
          <w:i/>
          <w:iCs/>
        </w:rPr>
        <w:t>Follow-up Response</w:t>
      </w:r>
      <w:r w:rsidRPr="008033F0">
        <w:rPr>
          <w:rFonts w:asciiTheme="majorHAnsi" w:hAnsiTheme="majorHAnsi"/>
        </w:rPr>
        <w:t xml:space="preserve"> at 11.</w:t>
      </w:r>
    </w:p>
  </w:footnote>
  <w:footnote w:id="3">
    <w:p w:rsidR="008033F0" w:rsidRPr="008033F0" w:rsidRDefault="008033F0" w:rsidP="00A129ED">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This discrimination violates article 2(1) (non-discrimination), and article 26 (equality before the law).  For a careful analysis of anti-Muslim discrimination at </w:t>
      </w:r>
      <w:r w:rsidR="00CA3AD9">
        <w:rPr>
          <w:rFonts w:asciiTheme="majorHAnsi" w:hAnsiTheme="majorHAnsi"/>
        </w:rPr>
        <w:t>Guantánamo</w:t>
      </w:r>
      <w:r w:rsidRPr="008033F0">
        <w:rPr>
          <w:rFonts w:asciiTheme="majorHAnsi" w:hAnsiTheme="majorHAnsi"/>
        </w:rPr>
        <w:t xml:space="preserve">, see David L. McColgin, </w:t>
      </w:r>
      <w:r w:rsidRPr="008033F0">
        <w:rPr>
          <w:rFonts w:asciiTheme="majorHAnsi" w:hAnsiTheme="majorHAnsi"/>
          <w:i/>
          <w:iCs/>
        </w:rPr>
        <w:t xml:space="preserve">The Theotorture of </w:t>
      </w:r>
      <w:r w:rsidR="00CA3AD9">
        <w:rPr>
          <w:rFonts w:asciiTheme="majorHAnsi" w:hAnsiTheme="majorHAnsi"/>
          <w:i/>
          <w:iCs/>
        </w:rPr>
        <w:t>Guantánamo</w:t>
      </w:r>
      <w:r w:rsidRPr="008033F0">
        <w:rPr>
          <w:rFonts w:asciiTheme="majorHAnsi" w:hAnsiTheme="majorHAnsi"/>
        </w:rPr>
        <w:t xml:space="preserve">, </w:t>
      </w:r>
      <w:r w:rsidRPr="008033F0">
        <w:rPr>
          <w:rFonts w:asciiTheme="majorHAnsi" w:hAnsiTheme="majorHAnsi"/>
          <w:i/>
          <w:iCs/>
        </w:rPr>
        <w:t xml:space="preserve">in </w:t>
      </w:r>
      <w:r w:rsidRPr="008033F0">
        <w:rPr>
          <w:rFonts w:asciiTheme="majorHAnsi" w:hAnsiTheme="majorHAnsi"/>
        </w:rPr>
        <w:t>Whose God Rules?  Is the United States a Secular Nation or a Theological Democracy? (Walker &amp; Greenlee eds., 2011).</w:t>
      </w:r>
    </w:p>
  </w:footnote>
  <w:footnote w:id="4">
    <w:p w:rsidR="008033F0" w:rsidRPr="008033F0" w:rsidRDefault="008033F0" w:rsidP="007C63A7">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Article 7 (torture and cruel, inhuman and degrading treatment); Article 10(1) (inherent dignity of the person); </w:t>
      </w:r>
      <w:r w:rsidRPr="008033F0">
        <w:rPr>
          <w:rFonts w:asciiTheme="majorHAnsi" w:hAnsiTheme="majorHAnsi"/>
          <w:i/>
          <w:iCs/>
        </w:rPr>
        <w:t xml:space="preserve">see also </w:t>
      </w:r>
      <w:r w:rsidR="00C25414">
        <w:rPr>
          <w:rFonts w:asciiTheme="majorHAnsi" w:hAnsiTheme="majorHAnsi"/>
        </w:rPr>
        <w:t xml:space="preserve">Protocol Additional to the Geneva Conventions of 12 August 1949, and relating to the Protection of Victims of International Armed Conflicts (Protocol I), article 75 (8 June 1977); </w:t>
      </w:r>
      <w:r w:rsidR="00C25414" w:rsidRPr="00B77532">
        <w:t>IV Geneva Convention Relative to the Protection of Civilian Persons in Time of War</w:t>
      </w:r>
      <w:r w:rsidR="00C25414">
        <w:t>, article 3 (12 August 1949).</w:t>
      </w:r>
    </w:p>
  </w:footnote>
  <w:footnote w:id="5">
    <w:p w:rsidR="008033F0" w:rsidRPr="008033F0" w:rsidRDefault="008033F0" w:rsidP="0072227F">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w:t>
      </w:r>
      <w:r w:rsidR="0072227F">
        <w:rPr>
          <w:rFonts w:asciiTheme="majorHAnsi" w:hAnsiTheme="majorHAnsi"/>
          <w:i/>
          <w:iCs/>
        </w:rPr>
        <w:t xml:space="preserve">See generally </w:t>
      </w:r>
      <w:r w:rsidRPr="008033F0">
        <w:rPr>
          <w:rFonts w:asciiTheme="majorHAnsi" w:hAnsiTheme="majorHAnsi"/>
        </w:rPr>
        <w:t xml:space="preserve">Senate Select Committee on Intelligence, </w:t>
      </w:r>
      <w:r w:rsidRPr="008033F0">
        <w:rPr>
          <w:rFonts w:asciiTheme="majorHAnsi" w:hAnsiTheme="majorHAnsi"/>
          <w:i/>
        </w:rPr>
        <w:t>Executive Summary, Committee Study of the Central Intelligence Agency’s Detention and Interrogation Program</w:t>
      </w:r>
      <w:r w:rsidRPr="008033F0">
        <w:rPr>
          <w:rFonts w:asciiTheme="majorHAnsi" w:hAnsiTheme="majorHAnsi"/>
        </w:rPr>
        <w:t xml:space="preserve"> [hereinafter </w:t>
      </w:r>
      <w:r w:rsidRPr="008033F0">
        <w:rPr>
          <w:rFonts w:asciiTheme="majorHAnsi" w:hAnsiTheme="majorHAnsi"/>
          <w:i/>
          <w:iCs/>
        </w:rPr>
        <w:t xml:space="preserve">Redacted </w:t>
      </w:r>
      <w:r w:rsidRPr="008033F0">
        <w:rPr>
          <w:rFonts w:asciiTheme="majorHAnsi" w:hAnsiTheme="majorHAnsi"/>
          <w:i/>
        </w:rPr>
        <w:t>SSCI Executive Summary</w:t>
      </w:r>
      <w:r w:rsidRPr="008033F0">
        <w:rPr>
          <w:rFonts w:asciiTheme="majorHAnsi" w:hAnsiTheme="majorHAnsi"/>
        </w:rPr>
        <w:t xml:space="preserve">], S. Rep. 113-288 (Dec. 9, 2014), </w:t>
      </w:r>
      <w:r w:rsidRPr="008033F0">
        <w:rPr>
          <w:rFonts w:asciiTheme="majorHAnsi" w:hAnsiTheme="majorHAnsi"/>
          <w:i/>
        </w:rPr>
        <w:t>available at</w:t>
      </w:r>
      <w:r w:rsidRPr="008033F0">
        <w:rPr>
          <w:rFonts w:asciiTheme="majorHAnsi" w:hAnsiTheme="majorHAnsi"/>
        </w:rPr>
        <w:t xml:space="preserve"> </w:t>
      </w:r>
      <w:hyperlink r:id="rId1" w:history="1">
        <w:r w:rsidRPr="008033F0">
          <w:rPr>
            <w:rStyle w:val="Hyperlink"/>
            <w:rFonts w:asciiTheme="majorHAnsi" w:hAnsiTheme="majorHAnsi"/>
          </w:rPr>
          <w:t>http://www.intelligence.senate.gov/study2014.html</w:t>
        </w:r>
      </w:hyperlink>
      <w:r w:rsidRPr="008033F0">
        <w:rPr>
          <w:rStyle w:val="Hyperlink"/>
          <w:rFonts w:asciiTheme="majorHAnsi" w:hAnsiTheme="majorHAnsi"/>
        </w:rPr>
        <w:t>.</w:t>
      </w:r>
    </w:p>
  </w:footnote>
  <w:footnote w:id="6">
    <w:p w:rsidR="008033F0" w:rsidRPr="008033F0" w:rsidRDefault="008033F0" w:rsidP="007C63A7">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w:t>
      </w:r>
      <w:r w:rsidRPr="008033F0">
        <w:rPr>
          <w:rFonts w:asciiTheme="majorHAnsi" w:hAnsiTheme="majorHAnsi"/>
          <w:i/>
          <w:iCs/>
        </w:rPr>
        <w:t xml:space="preserve">Redacted </w:t>
      </w:r>
      <w:r w:rsidRPr="008033F0">
        <w:rPr>
          <w:rFonts w:asciiTheme="majorHAnsi" w:hAnsiTheme="majorHAnsi"/>
          <w:i/>
        </w:rPr>
        <w:t xml:space="preserve">SSCI Executive Summary </w:t>
      </w:r>
      <w:r w:rsidRPr="008033F0">
        <w:rPr>
          <w:rFonts w:asciiTheme="majorHAnsi" w:hAnsiTheme="majorHAnsi"/>
          <w:iCs/>
        </w:rPr>
        <w:t>at 160.</w:t>
      </w:r>
    </w:p>
  </w:footnote>
  <w:footnote w:id="7">
    <w:p w:rsidR="008033F0" w:rsidRPr="008033F0" w:rsidRDefault="008033F0" w:rsidP="007C63A7">
      <w:pPr>
        <w:pStyle w:val="FootnoteText"/>
        <w:jc w:val="both"/>
        <w:rPr>
          <w:rFonts w:asciiTheme="majorHAnsi" w:hAnsiTheme="majorHAnsi"/>
          <w:lang w:val="en-US"/>
        </w:rPr>
      </w:pPr>
      <w:r w:rsidRPr="008033F0">
        <w:rPr>
          <w:rStyle w:val="FootnoteReference"/>
          <w:rFonts w:asciiTheme="majorHAnsi" w:hAnsiTheme="majorHAnsi"/>
        </w:rPr>
        <w:footnoteRef/>
      </w:r>
      <w:r w:rsidRPr="008033F0">
        <w:rPr>
          <w:rFonts w:asciiTheme="majorHAnsi" w:hAnsiTheme="majorHAnsi"/>
        </w:rPr>
        <w:t xml:space="preserve"> Commission on Human Rights, </w:t>
      </w:r>
      <w:r w:rsidRPr="008033F0">
        <w:rPr>
          <w:rFonts w:asciiTheme="majorHAnsi" w:hAnsiTheme="majorHAnsi"/>
          <w:i/>
        </w:rPr>
        <w:t xml:space="preserve">Situation of detainees at </w:t>
      </w:r>
      <w:r w:rsidR="00CA3AD9">
        <w:rPr>
          <w:rFonts w:asciiTheme="majorHAnsi" w:hAnsiTheme="majorHAnsi"/>
          <w:i/>
        </w:rPr>
        <w:t>Guantánamo</w:t>
      </w:r>
      <w:r w:rsidRPr="008033F0">
        <w:rPr>
          <w:rFonts w:asciiTheme="majorHAnsi" w:hAnsiTheme="majorHAnsi"/>
          <w:i/>
        </w:rPr>
        <w:t xml:space="preserve"> Bay</w:t>
      </w:r>
      <w:r w:rsidRPr="008033F0">
        <w:rPr>
          <w:rFonts w:asciiTheme="majorHAnsi" w:hAnsiTheme="majorHAnsi"/>
        </w:rPr>
        <w:t>, E/CN.4/2006/120, ¶ 53 (Feb. 15, 2006).</w:t>
      </w:r>
    </w:p>
  </w:footnote>
  <w:footnote w:id="8">
    <w:p w:rsidR="008033F0" w:rsidRPr="008033F0" w:rsidRDefault="008033F0" w:rsidP="00434054">
      <w:pPr>
        <w:pStyle w:val="FootnoteText"/>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w:t>
      </w:r>
      <w:r w:rsidRPr="008033F0">
        <w:rPr>
          <w:rFonts w:asciiTheme="majorHAnsi" w:hAnsiTheme="majorHAnsi"/>
          <w:i/>
        </w:rPr>
        <w:t>Dep’t of Def. News Briefing with Vice Chief of Naval Operations, Adm. Patrick M. Walsh</w:t>
      </w:r>
      <w:r w:rsidRPr="008033F0">
        <w:rPr>
          <w:rFonts w:asciiTheme="majorHAnsi" w:hAnsiTheme="majorHAnsi"/>
        </w:rPr>
        <w:t xml:space="preserve">, 23 February 2009, transcript, available at </w:t>
      </w:r>
      <w:hyperlink r:id="rId2" w:history="1">
        <w:r w:rsidRPr="008033F0">
          <w:rPr>
            <w:rStyle w:val="Hyperlink"/>
            <w:rFonts w:asciiTheme="majorHAnsi" w:hAnsiTheme="majorHAnsi"/>
          </w:rPr>
          <w:t>http://www.defense.gov/transcripts/transcript.aspx?transcriptid=4359</w:t>
        </w:r>
      </w:hyperlink>
      <w:r w:rsidRPr="008033F0">
        <w:rPr>
          <w:rFonts w:asciiTheme="majorHAnsi" w:hAnsiTheme="majorHAnsi"/>
        </w:rPr>
        <w:t xml:space="preserve">. </w:t>
      </w:r>
    </w:p>
  </w:footnote>
  <w:footnote w:id="9">
    <w:p w:rsidR="008033F0" w:rsidRPr="008033F0" w:rsidRDefault="008033F0" w:rsidP="007C63A7">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National Defense Authorization Act, P.L. 112-239 § 1027.</w:t>
      </w:r>
    </w:p>
  </w:footnote>
  <w:footnote w:id="10">
    <w:p w:rsidR="008033F0" w:rsidRPr="00E41058" w:rsidRDefault="008033F0" w:rsidP="00434054">
      <w:pPr>
        <w:pStyle w:val="FootnoteText"/>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w:t>
      </w:r>
      <w:r w:rsidR="00E41058" w:rsidRPr="00E41058">
        <w:rPr>
          <w:rFonts w:asciiTheme="majorHAnsi" w:hAnsiTheme="majorHAnsi" w:cs="Calibri"/>
          <w:lang w:val="en-US"/>
        </w:rPr>
        <w:t xml:space="preserve">Military Commissions Trial Judiciary, AE200II Order, </w:t>
      </w:r>
      <w:r w:rsidR="00E41058" w:rsidRPr="00E41058">
        <w:rPr>
          <w:rFonts w:asciiTheme="majorHAnsi" w:hAnsiTheme="majorHAnsi" w:cs="Calibri"/>
          <w:i/>
          <w:iCs/>
          <w:lang w:val="en-US"/>
        </w:rPr>
        <w:t>United States v. Mohammad</w:t>
      </w:r>
      <w:r w:rsidR="00E41058" w:rsidRPr="00E41058">
        <w:rPr>
          <w:rFonts w:asciiTheme="majorHAnsi" w:hAnsiTheme="majorHAnsi" w:cs="Calibri"/>
          <w:lang w:val="en-US"/>
        </w:rPr>
        <w:t xml:space="preserve"> (16 December 2013), </w:t>
      </w:r>
      <w:r w:rsidR="00E41058" w:rsidRPr="00E41058">
        <w:rPr>
          <w:rFonts w:asciiTheme="majorHAnsi" w:hAnsiTheme="majorHAnsi" w:cs="Calibri"/>
          <w:i/>
          <w:iCs/>
          <w:lang w:val="en-US"/>
        </w:rPr>
        <w:t>available at</w:t>
      </w:r>
      <w:r w:rsidR="00E41058" w:rsidRPr="00E41058">
        <w:rPr>
          <w:rFonts w:asciiTheme="majorHAnsi" w:hAnsiTheme="majorHAnsi" w:cs="Calibri"/>
          <w:lang w:val="en-US"/>
        </w:rPr>
        <w:t xml:space="preserve"> </w:t>
      </w:r>
      <w:hyperlink r:id="rId3" w:history="1">
        <w:r w:rsidR="00E41058" w:rsidRPr="004573E8">
          <w:rPr>
            <w:rStyle w:val="Hyperlink"/>
            <w:rFonts w:asciiTheme="majorHAnsi" w:hAnsiTheme="majorHAnsi" w:cs="Calibri"/>
            <w:lang w:val="en-US"/>
          </w:rPr>
          <w:t>http://www.mc.mil/Portals/0/pdfs/KSM2/KSM%20II%20(AE200II).pdf</w:t>
        </w:r>
      </w:hyperlink>
      <w:r w:rsidR="00E41058" w:rsidRPr="00E41058">
        <w:rPr>
          <w:rFonts w:asciiTheme="majorHAnsi" w:hAnsiTheme="majorHAnsi" w:cs="Calibri"/>
          <w:lang w:val="en-US"/>
        </w:rPr>
        <w:t xml:space="preserve">; Military Commissions Trial Judiciary, AE214H Order, </w:t>
      </w:r>
      <w:r w:rsidR="00E41058" w:rsidRPr="00E41058">
        <w:rPr>
          <w:rFonts w:asciiTheme="majorHAnsi" w:hAnsiTheme="majorHAnsi" w:cs="Calibri"/>
          <w:i/>
          <w:iCs/>
          <w:lang w:val="en-US"/>
        </w:rPr>
        <w:t>United States v. Mohammad</w:t>
      </w:r>
      <w:r w:rsidR="00E41058" w:rsidRPr="00E41058">
        <w:rPr>
          <w:rFonts w:asciiTheme="majorHAnsi" w:hAnsiTheme="majorHAnsi" w:cs="Calibri"/>
          <w:lang w:val="en-US"/>
        </w:rPr>
        <w:t xml:space="preserve"> (9 April 2015), </w:t>
      </w:r>
      <w:r w:rsidR="00E41058" w:rsidRPr="00E41058">
        <w:rPr>
          <w:rFonts w:asciiTheme="majorHAnsi" w:hAnsiTheme="majorHAnsi" w:cs="Calibri"/>
          <w:i/>
          <w:iCs/>
          <w:lang w:val="en-US"/>
        </w:rPr>
        <w:t>available at</w:t>
      </w:r>
      <w:r w:rsidR="00E41058" w:rsidRPr="00E41058">
        <w:rPr>
          <w:rFonts w:asciiTheme="majorHAnsi" w:hAnsiTheme="majorHAnsi" w:cs="Calibri"/>
          <w:lang w:val="en-US"/>
        </w:rPr>
        <w:t xml:space="preserve"> </w:t>
      </w:r>
      <w:hyperlink r:id="rId4" w:history="1">
        <w:r w:rsidR="00E41058" w:rsidRPr="00E41058">
          <w:rPr>
            <w:rStyle w:val="Link"/>
            <w:rFonts w:asciiTheme="majorHAnsi" w:hAnsiTheme="majorHAnsi"/>
            <w:lang w:val="en-US"/>
          </w:rPr>
          <w:t>http://www.mc.mil/Portals/0/pdfs/KSM2/KSM%20II%20(AE214H).pdf</w:t>
        </w:r>
      </w:hyperlink>
    </w:p>
  </w:footnote>
  <w:footnote w:id="11">
    <w:p w:rsidR="008033F0" w:rsidRPr="008033F0" w:rsidRDefault="008033F0" w:rsidP="00434054">
      <w:pPr>
        <w:pStyle w:val="FootnoteText"/>
        <w:rPr>
          <w:rFonts w:asciiTheme="majorHAnsi" w:hAnsiTheme="majorHAnsi"/>
          <w:lang w:val="en-US"/>
        </w:rPr>
      </w:pPr>
      <w:r w:rsidRPr="008033F0">
        <w:rPr>
          <w:rStyle w:val="FootnoteReference"/>
          <w:rFonts w:asciiTheme="majorHAnsi" w:hAnsiTheme="majorHAnsi"/>
        </w:rPr>
        <w:footnoteRef/>
      </w:r>
      <w:r w:rsidRPr="008033F0">
        <w:rPr>
          <w:rFonts w:asciiTheme="majorHAnsi" w:hAnsiTheme="majorHAnsi"/>
        </w:rPr>
        <w:t xml:space="preserve"> </w:t>
      </w:r>
      <w:r w:rsidRPr="00E41058">
        <w:rPr>
          <w:rFonts w:asciiTheme="majorHAnsi" w:hAnsiTheme="majorHAnsi"/>
          <w:lang w:val="en-US"/>
        </w:rPr>
        <w:t xml:space="preserve">Military Commissions Trial Judiciary, AE093A Ruling, </w:t>
      </w:r>
      <w:r w:rsidRPr="00E41058">
        <w:rPr>
          <w:rFonts w:asciiTheme="majorHAnsi" w:hAnsiTheme="majorHAnsi"/>
          <w:i/>
          <w:iCs/>
          <w:lang w:val="en-US"/>
        </w:rPr>
        <w:t xml:space="preserve">United States v. Mohammad </w:t>
      </w:r>
      <w:r w:rsidRPr="00E41058">
        <w:rPr>
          <w:rFonts w:asciiTheme="majorHAnsi" w:hAnsiTheme="majorHAnsi"/>
          <w:lang w:val="en-US"/>
        </w:rPr>
        <w:t xml:space="preserve">(9 February 2013), </w:t>
      </w:r>
      <w:r w:rsidR="00E41058" w:rsidRPr="00E41058">
        <w:rPr>
          <w:rFonts w:asciiTheme="majorHAnsi" w:hAnsiTheme="majorHAnsi"/>
          <w:i/>
          <w:iCs/>
          <w:lang w:val="en-US"/>
        </w:rPr>
        <w:t xml:space="preserve">available at </w:t>
      </w:r>
      <w:hyperlink r:id="rId5" w:history="1">
        <w:r w:rsidR="00E41058" w:rsidRPr="00E41058">
          <w:rPr>
            <w:rStyle w:val="Hyperlink"/>
            <w:rFonts w:asciiTheme="majorHAnsi" w:hAnsiTheme="majorHAnsi"/>
            <w:i/>
            <w:iCs/>
            <w:lang w:val="en-US"/>
          </w:rPr>
          <w:t>h</w:t>
        </w:r>
        <w:r w:rsidR="00E41058" w:rsidRPr="00E41058">
          <w:rPr>
            <w:rStyle w:val="Hyperlink"/>
            <w:rFonts w:asciiTheme="majorHAnsi" w:hAnsiTheme="majorHAnsi" w:cs="Calibri"/>
            <w:lang w:val="en-US"/>
          </w:rPr>
          <w:t>ttp://www.mc.mil/Portals/0/pdfs/KSM2/KSM%20II%20(AE093A).pdf</w:t>
        </w:r>
      </w:hyperlink>
    </w:p>
  </w:footnote>
  <w:footnote w:id="12">
    <w:p w:rsidR="008033F0" w:rsidRPr="00E41058" w:rsidRDefault="008033F0" w:rsidP="00434054">
      <w:pPr>
        <w:pStyle w:val="FootnoteText"/>
        <w:rPr>
          <w:rFonts w:asciiTheme="majorHAnsi" w:hAnsiTheme="majorHAnsi"/>
        </w:rPr>
      </w:pPr>
      <w:r w:rsidRPr="00E41058">
        <w:rPr>
          <w:rStyle w:val="FootnoteReference"/>
          <w:rFonts w:asciiTheme="majorHAnsi" w:hAnsiTheme="majorHAnsi"/>
        </w:rPr>
        <w:footnoteRef/>
      </w:r>
      <w:r w:rsidRPr="00E41058">
        <w:rPr>
          <w:rFonts w:asciiTheme="majorHAnsi" w:hAnsiTheme="majorHAnsi"/>
        </w:rPr>
        <w:t xml:space="preserve"> </w:t>
      </w:r>
      <w:r w:rsidR="00E41058" w:rsidRPr="00E41058">
        <w:rPr>
          <w:rFonts w:asciiTheme="majorHAnsi" w:hAnsiTheme="majorHAnsi" w:cs="Calibri"/>
          <w:lang w:val="en-US"/>
        </w:rPr>
        <w:t xml:space="preserve">Military Commissions Trial Judiciary, AE231B Order, </w:t>
      </w:r>
      <w:r w:rsidR="00E41058" w:rsidRPr="00E41058">
        <w:rPr>
          <w:rFonts w:asciiTheme="majorHAnsi" w:hAnsiTheme="majorHAnsi" w:cs="Calibri"/>
          <w:i/>
          <w:iCs/>
          <w:lang w:val="en-US"/>
        </w:rPr>
        <w:t>United States v. Mohammad</w:t>
      </w:r>
      <w:r w:rsidR="00E41058" w:rsidRPr="00E41058">
        <w:rPr>
          <w:rFonts w:asciiTheme="majorHAnsi" w:hAnsiTheme="majorHAnsi" w:cs="Calibri"/>
          <w:lang w:val="en-US"/>
        </w:rPr>
        <w:t xml:space="preserve"> (22 May 2014), </w:t>
      </w:r>
      <w:r w:rsidR="00E41058" w:rsidRPr="00E41058">
        <w:rPr>
          <w:rFonts w:asciiTheme="majorHAnsi" w:hAnsiTheme="majorHAnsi" w:cs="Calibri"/>
          <w:i/>
          <w:iCs/>
          <w:lang w:val="en-US"/>
        </w:rPr>
        <w:t>available at</w:t>
      </w:r>
      <w:r w:rsidR="00E41058" w:rsidRPr="00E41058">
        <w:rPr>
          <w:rFonts w:asciiTheme="majorHAnsi" w:hAnsiTheme="majorHAnsi" w:cs="Calibri"/>
          <w:lang w:val="en-US"/>
        </w:rPr>
        <w:t xml:space="preserve"> </w:t>
      </w:r>
      <w:hyperlink r:id="rId6" w:history="1">
        <w:r w:rsidR="00E41058" w:rsidRPr="00E41058">
          <w:rPr>
            <w:rStyle w:val="Hyperlink"/>
            <w:rFonts w:asciiTheme="majorHAnsi" w:hAnsiTheme="majorHAnsi" w:cs="Calibri"/>
            <w:lang w:val="en-US"/>
          </w:rPr>
          <w:t>http://www.mc.mil/Portals/0/pdfs/KSM2/KSM%20II%20(AE231B(AAA)).pdf</w:t>
        </w:r>
      </w:hyperlink>
      <w:r w:rsidRPr="00E41058">
        <w:rPr>
          <w:rFonts w:asciiTheme="majorHAnsi" w:hAnsiTheme="majorHAnsi"/>
        </w:rPr>
        <w:t>.</w:t>
      </w:r>
    </w:p>
  </w:footnote>
  <w:footnote w:id="13">
    <w:p w:rsidR="008033F0" w:rsidRPr="008033F0" w:rsidRDefault="008033F0" w:rsidP="007C63A7">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Ed O’Keefe &amp; Rachel Weiner, </w:t>
      </w:r>
      <w:r w:rsidRPr="008033F0">
        <w:rPr>
          <w:rFonts w:asciiTheme="majorHAnsi" w:hAnsiTheme="majorHAnsi"/>
          <w:i/>
          <w:iCs/>
        </w:rPr>
        <w:t xml:space="preserve">GOP lawmakers want Boston bombing suspect treated as ‘enemy combatant,’ </w:t>
      </w:r>
      <w:r w:rsidRPr="008033F0">
        <w:rPr>
          <w:rFonts w:asciiTheme="majorHAnsi" w:hAnsiTheme="majorHAnsi"/>
        </w:rPr>
        <w:t xml:space="preserve">Washington Post (20 April 2013), </w:t>
      </w:r>
      <w:r w:rsidRPr="008033F0">
        <w:rPr>
          <w:rFonts w:asciiTheme="majorHAnsi" w:hAnsiTheme="majorHAnsi"/>
          <w:i/>
          <w:iCs/>
        </w:rPr>
        <w:t xml:space="preserve">available at </w:t>
      </w:r>
      <w:hyperlink r:id="rId7" w:history="1">
        <w:r w:rsidRPr="00323B55">
          <w:rPr>
            <w:rStyle w:val="Hyperlink"/>
            <w:rFonts w:asciiTheme="majorHAnsi" w:hAnsiTheme="majorHAnsi"/>
            <w:i/>
            <w:iCs/>
          </w:rPr>
          <w:t>http://www.washingtonpost.com/blogs/post-politics/wp/2013/04/20/gop-lawmakers-want-boston-bombing-suspect-treated-as-enemy-combatant/.</w:t>
        </w:r>
      </w:hyperlink>
    </w:p>
  </w:footnote>
  <w:footnote w:id="14">
    <w:p w:rsidR="008033F0" w:rsidRPr="008033F0" w:rsidRDefault="008033F0" w:rsidP="007C63A7">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Article 14(a); </w:t>
      </w:r>
      <w:r w:rsidRPr="008033F0">
        <w:rPr>
          <w:rFonts w:asciiTheme="majorHAnsi" w:hAnsiTheme="majorHAnsi"/>
          <w:i/>
          <w:iCs/>
        </w:rPr>
        <w:t xml:space="preserve">see also </w:t>
      </w:r>
      <w:r w:rsidRPr="008033F0">
        <w:rPr>
          <w:rFonts w:asciiTheme="majorHAnsi" w:hAnsiTheme="majorHAnsi"/>
        </w:rPr>
        <w:t xml:space="preserve">article 6(2); Basic Principles on the Independence of the Judiciary ¶ 5 (1985); Commission on Human Rights, </w:t>
      </w:r>
      <w:r w:rsidRPr="008033F0">
        <w:rPr>
          <w:rFonts w:asciiTheme="majorHAnsi" w:hAnsiTheme="majorHAnsi"/>
          <w:i/>
        </w:rPr>
        <w:t xml:space="preserve">Situation of detainees at </w:t>
      </w:r>
      <w:r w:rsidR="00CA3AD9">
        <w:rPr>
          <w:rFonts w:asciiTheme="majorHAnsi" w:hAnsiTheme="majorHAnsi"/>
          <w:i/>
        </w:rPr>
        <w:t>Guantánamo</w:t>
      </w:r>
      <w:r w:rsidRPr="008033F0">
        <w:rPr>
          <w:rFonts w:asciiTheme="majorHAnsi" w:hAnsiTheme="majorHAnsi"/>
          <w:i/>
        </w:rPr>
        <w:t xml:space="preserve"> Bay</w:t>
      </w:r>
      <w:r w:rsidRPr="008033F0">
        <w:rPr>
          <w:rFonts w:asciiTheme="majorHAnsi" w:hAnsiTheme="majorHAnsi"/>
        </w:rPr>
        <w:t>, E/CN.4/2006/120, ¶ 30 (Feb. 15, 2006).</w:t>
      </w:r>
    </w:p>
  </w:footnote>
  <w:footnote w:id="15">
    <w:p w:rsidR="008033F0" w:rsidRPr="008033F0" w:rsidRDefault="008033F0" w:rsidP="007C63A7">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w:t>
      </w:r>
      <w:r w:rsidRPr="008033F0">
        <w:rPr>
          <w:rFonts w:asciiTheme="majorHAnsi" w:hAnsiTheme="majorHAnsi"/>
          <w:i/>
          <w:iCs/>
        </w:rPr>
        <w:t>Follow-up Response</w:t>
      </w:r>
      <w:r w:rsidRPr="008033F0">
        <w:rPr>
          <w:rFonts w:asciiTheme="majorHAnsi" w:hAnsiTheme="majorHAnsi"/>
        </w:rPr>
        <w:t xml:space="preserve"> at 12</w:t>
      </w:r>
      <w:r w:rsidR="0072227F">
        <w:rPr>
          <w:rFonts w:asciiTheme="majorHAnsi" w:hAnsiTheme="majorHAnsi"/>
        </w:rPr>
        <w:t>.</w:t>
      </w:r>
    </w:p>
  </w:footnote>
  <w:footnote w:id="16">
    <w:p w:rsidR="008033F0" w:rsidRPr="008033F0" w:rsidRDefault="008033F0" w:rsidP="007C63A7">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10 U.S.C. §§ 948i(b), 950b(c); Rules for Military Commissions 407(a); Regulation for Trial b</w:t>
      </w:r>
      <w:r w:rsidR="00C25414">
        <w:rPr>
          <w:rFonts w:asciiTheme="majorHAnsi" w:hAnsiTheme="majorHAnsi"/>
        </w:rPr>
        <w:t>y Military Commission Chapter 9</w:t>
      </w:r>
      <w:r w:rsidRPr="008033F0">
        <w:rPr>
          <w:rFonts w:asciiTheme="majorHAnsi" w:hAnsiTheme="majorHAnsi"/>
        </w:rPr>
        <w:t xml:space="preserve">.  The Special Mandate Holders criticized an earlier version of the military commission on the same grounds.  Commission on Human Rights, </w:t>
      </w:r>
      <w:r w:rsidRPr="008033F0">
        <w:rPr>
          <w:rFonts w:asciiTheme="majorHAnsi" w:hAnsiTheme="majorHAnsi"/>
          <w:i/>
        </w:rPr>
        <w:t xml:space="preserve">Situation of detainees at </w:t>
      </w:r>
      <w:r w:rsidR="00CA3AD9">
        <w:rPr>
          <w:rFonts w:asciiTheme="majorHAnsi" w:hAnsiTheme="majorHAnsi"/>
          <w:i/>
        </w:rPr>
        <w:t>Guantánamo</w:t>
      </w:r>
      <w:r w:rsidRPr="008033F0">
        <w:rPr>
          <w:rFonts w:asciiTheme="majorHAnsi" w:hAnsiTheme="majorHAnsi"/>
          <w:i/>
        </w:rPr>
        <w:t xml:space="preserve"> Bay</w:t>
      </w:r>
      <w:r w:rsidRPr="008033F0">
        <w:rPr>
          <w:rFonts w:asciiTheme="majorHAnsi" w:hAnsiTheme="majorHAnsi"/>
        </w:rPr>
        <w:t>, E/CN.4/2006/120, ¶ 32 (Feb. 15, 2006).  In respect of judicial independence, the situation did not change in the Military Commission Act of 2009.</w:t>
      </w:r>
    </w:p>
  </w:footnote>
  <w:footnote w:id="17">
    <w:p w:rsidR="008033F0" w:rsidRPr="007C63A7" w:rsidRDefault="008033F0" w:rsidP="007C63A7">
      <w:pPr>
        <w:pStyle w:val="FootnoteText"/>
        <w:jc w:val="both"/>
      </w:pPr>
      <w:r w:rsidRPr="008033F0">
        <w:rPr>
          <w:rStyle w:val="FootnoteReference"/>
          <w:rFonts w:asciiTheme="majorHAnsi" w:hAnsiTheme="majorHAnsi"/>
        </w:rPr>
        <w:footnoteRef/>
      </w:r>
      <w:r w:rsidRPr="008033F0">
        <w:rPr>
          <w:rFonts w:asciiTheme="majorHAnsi" w:hAnsiTheme="majorHAnsi"/>
        </w:rPr>
        <w:t xml:space="preserve"> </w:t>
      </w:r>
      <w:r w:rsidR="007C63A7">
        <w:rPr>
          <w:rFonts w:cs="Calibri"/>
          <w:lang w:val="en-US"/>
        </w:rPr>
        <w:t xml:space="preserve">Military Commissions Trial Judiciary, AE343C Ruling, </w:t>
      </w:r>
      <w:r w:rsidR="007C63A7">
        <w:rPr>
          <w:rFonts w:cs="Calibri"/>
          <w:i/>
          <w:iCs/>
          <w:lang w:val="en-US"/>
        </w:rPr>
        <w:t xml:space="preserve">United States v. Mohammad </w:t>
      </w:r>
      <w:r w:rsidR="007C63A7">
        <w:rPr>
          <w:rFonts w:cs="Calibri"/>
          <w:lang w:val="en-US"/>
        </w:rPr>
        <w:t xml:space="preserve">(25 February 2015), </w:t>
      </w:r>
      <w:r w:rsidR="007C63A7">
        <w:rPr>
          <w:rFonts w:cs="Calibri"/>
          <w:i/>
          <w:iCs/>
          <w:lang w:val="en-US"/>
        </w:rPr>
        <w:t xml:space="preserve">available at </w:t>
      </w:r>
      <w:hyperlink r:id="rId8" w:history="1">
        <w:r w:rsidR="007C63A7" w:rsidRPr="004573E8">
          <w:rPr>
            <w:rStyle w:val="Hyperlink"/>
            <w:rFonts w:cs="Calibri"/>
            <w:lang w:val="en-US"/>
          </w:rPr>
          <w:t>http://www.mc.mil/Portals/0/pdfs/KSM2/KSM%20II%20(AE343C).pdf</w:t>
        </w:r>
      </w:hyperlink>
      <w:r w:rsidR="007C63A7">
        <w:rPr>
          <w:rFonts w:cs="Calibri"/>
          <w:lang w:val="en-US"/>
        </w:rPr>
        <w:t xml:space="preserve">;  Military Commissions Trial Judiciary, AE332U Order, </w:t>
      </w:r>
      <w:r w:rsidR="007C63A7">
        <w:rPr>
          <w:rFonts w:cs="Calibri"/>
          <w:i/>
          <w:iCs/>
          <w:lang w:val="en-US"/>
        </w:rPr>
        <w:t>United States v. al Nashiri</w:t>
      </w:r>
      <w:r w:rsidR="007C63A7">
        <w:rPr>
          <w:rFonts w:cs="Calibri"/>
          <w:lang w:val="en-US"/>
        </w:rPr>
        <w:t xml:space="preserve"> (4 March 2014), </w:t>
      </w:r>
      <w:r w:rsidR="007C63A7">
        <w:rPr>
          <w:rFonts w:cs="Calibri"/>
          <w:i/>
          <w:iCs/>
          <w:lang w:val="en-US"/>
        </w:rPr>
        <w:t>available at</w:t>
      </w:r>
      <w:r w:rsidR="007C63A7">
        <w:rPr>
          <w:rFonts w:cs="Calibri"/>
          <w:lang w:val="en-US"/>
        </w:rPr>
        <w:t xml:space="preserve"> </w:t>
      </w:r>
      <w:hyperlink r:id="rId9" w:history="1">
        <w:r w:rsidR="00E36CA6" w:rsidRPr="004573E8">
          <w:rPr>
            <w:rStyle w:val="Hyperlink"/>
            <w:rFonts w:cs="Calibri"/>
            <w:lang w:val="en-US"/>
          </w:rPr>
          <w:t>http://www.mc.mil/Portals/0/pdfs/alNashiri2/Al%20Nashiri%20II%20(AE332U).pdf</w:t>
        </w:r>
      </w:hyperlink>
      <w:r w:rsidR="007C63A7" w:rsidRPr="00E36CA6">
        <w:rPr>
          <w:rFonts w:cs="Calibri"/>
          <w:lang w:val="en-US"/>
        </w:rPr>
        <w:t>.</w:t>
      </w:r>
    </w:p>
  </w:footnote>
  <w:footnote w:id="18">
    <w:p w:rsidR="007C63A7" w:rsidRDefault="008033F0" w:rsidP="007C63A7">
      <w:pPr>
        <w:pStyle w:val="FootnoteText"/>
        <w:jc w:val="both"/>
      </w:pPr>
      <w:r w:rsidRPr="008033F0">
        <w:rPr>
          <w:rStyle w:val="FootnoteReference"/>
          <w:rFonts w:asciiTheme="majorHAnsi" w:hAnsiTheme="majorHAnsi"/>
        </w:rPr>
        <w:footnoteRef/>
      </w:r>
      <w:r w:rsidRPr="008033F0">
        <w:rPr>
          <w:rFonts w:asciiTheme="majorHAnsi" w:hAnsiTheme="majorHAnsi"/>
        </w:rPr>
        <w:t xml:space="preserve"> </w:t>
      </w:r>
      <w:r w:rsidR="007C63A7">
        <w:rPr>
          <w:rFonts w:cs="Calibri"/>
          <w:lang w:val="en-US"/>
        </w:rPr>
        <w:t xml:space="preserve">Military Commissions Trial Judiciary, </w:t>
      </w:r>
      <w:r w:rsidR="00622EAE">
        <w:rPr>
          <w:rFonts w:cs="Calibri"/>
          <w:lang w:val="en-US"/>
        </w:rPr>
        <w:t>AE013S</w:t>
      </w:r>
      <w:r w:rsidR="0072227F">
        <w:rPr>
          <w:rFonts w:cs="Calibri"/>
          <w:lang w:val="en-US"/>
        </w:rPr>
        <w:t xml:space="preserve"> Second Amended Protected Order #1</w:t>
      </w:r>
      <w:r w:rsidR="007C63A7">
        <w:rPr>
          <w:rFonts w:cs="Calibri"/>
          <w:lang w:val="en-US"/>
        </w:rPr>
        <w:t xml:space="preserve">, </w:t>
      </w:r>
      <w:r w:rsidR="007C63A7">
        <w:rPr>
          <w:rFonts w:cs="Calibri"/>
          <w:i/>
          <w:iCs/>
          <w:lang w:val="en-US"/>
        </w:rPr>
        <w:t xml:space="preserve">United States v. al Nashiri </w:t>
      </w:r>
      <w:r w:rsidR="007C63A7">
        <w:rPr>
          <w:rFonts w:cs="Calibri"/>
          <w:lang w:val="en-US"/>
        </w:rPr>
        <w:t>(</w:t>
      </w:r>
      <w:r w:rsidR="00622EAE">
        <w:rPr>
          <w:rFonts w:cs="Calibri"/>
          <w:lang w:val="en-US"/>
        </w:rPr>
        <w:t>February 20, 2015</w:t>
      </w:r>
      <w:r w:rsidR="007C63A7">
        <w:rPr>
          <w:rFonts w:cs="Calibri"/>
          <w:lang w:val="en-US"/>
        </w:rPr>
        <w:t xml:space="preserve">), </w:t>
      </w:r>
      <w:r w:rsidR="007C63A7">
        <w:rPr>
          <w:rFonts w:cs="Calibri"/>
          <w:i/>
          <w:iCs/>
          <w:lang w:val="en-US"/>
        </w:rPr>
        <w:t xml:space="preserve">available at </w:t>
      </w:r>
      <w:hyperlink r:id="rId10" w:history="1">
        <w:r w:rsidR="00622EAE" w:rsidRPr="004573E8">
          <w:rPr>
            <w:rStyle w:val="Hyperlink"/>
            <w:rFonts w:cs="Calibri"/>
            <w:i/>
            <w:iCs/>
            <w:lang w:val="en-US"/>
          </w:rPr>
          <w:t>http://www.mc.mil/Portals/0/pdfs/alNashiri2/Al%20Nashiri%20II%20(AE013S).pdf</w:t>
        </w:r>
      </w:hyperlink>
      <w:r w:rsidR="00622EAE">
        <w:rPr>
          <w:rFonts w:cs="Calibri"/>
          <w:i/>
          <w:iCs/>
          <w:lang w:val="en-US"/>
        </w:rPr>
        <w:t xml:space="preserve"> </w:t>
      </w:r>
      <w:r w:rsidR="007C63A7">
        <w:rPr>
          <w:rFonts w:cs="Calibri"/>
          <w:lang w:val="en-US"/>
        </w:rPr>
        <w:t xml:space="preserve">; United States, AE013RRR Government Motion to Amend AE013DDD Second Amended Protective Order #1 to Protect Against Disclosure of National Security Information, </w:t>
      </w:r>
      <w:r w:rsidR="007C63A7">
        <w:rPr>
          <w:rFonts w:cs="Calibri"/>
          <w:i/>
          <w:iCs/>
          <w:lang w:val="en-US"/>
        </w:rPr>
        <w:t xml:space="preserve">United States v. Mohammad </w:t>
      </w:r>
      <w:r w:rsidR="007C63A7">
        <w:rPr>
          <w:rFonts w:cs="Calibri"/>
          <w:lang w:val="en-US"/>
        </w:rPr>
        <w:t xml:space="preserve">(30 January 2015), </w:t>
      </w:r>
      <w:r w:rsidR="007C63A7">
        <w:rPr>
          <w:rFonts w:cs="Calibri"/>
          <w:i/>
          <w:iCs/>
          <w:lang w:val="en-US"/>
        </w:rPr>
        <w:t xml:space="preserve">available at </w:t>
      </w:r>
      <w:hyperlink r:id="rId11" w:history="1">
        <w:r w:rsidR="007C63A7" w:rsidRPr="004573E8">
          <w:rPr>
            <w:rStyle w:val="Hyperlink"/>
            <w:rFonts w:cs="Calibri"/>
            <w:lang w:val="en-US"/>
          </w:rPr>
          <w:t>http://www.mc.mil/Portals/0/pdfs/KSM2/KSM%20II%20(AE013RRR(Gov)).pdf</w:t>
        </w:r>
      </w:hyperlink>
      <w:r w:rsidR="007C63A7">
        <w:rPr>
          <w:rFonts w:cs="Calibri"/>
          <w:lang w:val="en-US"/>
        </w:rPr>
        <w:t>.</w:t>
      </w:r>
    </w:p>
    <w:p w:rsidR="008033F0" w:rsidRPr="008033F0" w:rsidRDefault="008033F0" w:rsidP="00A129ED">
      <w:pPr>
        <w:pStyle w:val="FootnoteText"/>
        <w:jc w:val="both"/>
        <w:rPr>
          <w:rFonts w:asciiTheme="majorHAnsi" w:hAnsiTheme="majorHAnsi"/>
        </w:rPr>
      </w:pPr>
    </w:p>
  </w:footnote>
  <w:footnote w:id="19">
    <w:p w:rsidR="008033F0" w:rsidRPr="008033F0" w:rsidRDefault="008033F0" w:rsidP="00A129ED">
      <w:pPr>
        <w:pStyle w:val="FootnoteText"/>
        <w:jc w:val="both"/>
        <w:rPr>
          <w:rFonts w:asciiTheme="majorHAnsi" w:hAnsiTheme="majorHAnsi" w:cstheme="majorBidi"/>
        </w:rPr>
      </w:pPr>
      <w:r w:rsidRPr="008033F0">
        <w:rPr>
          <w:rStyle w:val="FootnoteReference"/>
          <w:rFonts w:asciiTheme="majorHAnsi" w:hAnsiTheme="majorHAnsi" w:cstheme="majorBidi"/>
        </w:rPr>
        <w:footnoteRef/>
      </w:r>
      <w:r w:rsidRPr="008033F0">
        <w:rPr>
          <w:rFonts w:asciiTheme="majorHAnsi" w:hAnsiTheme="majorHAnsi" w:cstheme="majorBidi"/>
        </w:rPr>
        <w:t xml:space="preserve"> Committee Against Torture, </w:t>
      </w:r>
      <w:r w:rsidRPr="008033F0">
        <w:rPr>
          <w:rFonts w:asciiTheme="majorHAnsi" w:hAnsiTheme="majorHAnsi" w:cstheme="majorBidi"/>
          <w:i/>
        </w:rPr>
        <w:t>Concluding Observations on the Third to Fifth Periodic Reports of United States of America</w:t>
      </w:r>
      <w:r w:rsidRPr="008033F0">
        <w:rPr>
          <w:rFonts w:asciiTheme="majorHAnsi" w:hAnsiTheme="majorHAnsi" w:cstheme="majorBidi"/>
        </w:rPr>
        <w:t>, CAT/C/USA/CO/3-5, ¶ 15 (28 November 2014).</w:t>
      </w:r>
    </w:p>
  </w:footnote>
  <w:footnote w:id="20">
    <w:p w:rsidR="008033F0" w:rsidRPr="008033F0" w:rsidRDefault="008033F0" w:rsidP="00A129ED">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The State party passed a predecessor statute in 2006.</w:t>
      </w:r>
    </w:p>
  </w:footnote>
  <w:footnote w:id="21">
    <w:p w:rsidR="008033F0" w:rsidRPr="008033F0" w:rsidRDefault="008033F0" w:rsidP="00A129ED">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Article 6(2); Article 15.</w:t>
      </w:r>
    </w:p>
  </w:footnote>
  <w:footnote w:id="22">
    <w:p w:rsidR="008033F0" w:rsidRPr="008033F0" w:rsidRDefault="008033F0" w:rsidP="00A129ED">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Rome Statute of the International Criminal Court, July 17, 1998, 2187 U.N.T.S. 90.; </w:t>
      </w:r>
      <w:r w:rsidRPr="008033F0">
        <w:rPr>
          <w:rFonts w:asciiTheme="majorHAnsi" w:hAnsiTheme="majorHAnsi"/>
          <w:i/>
          <w:iCs/>
        </w:rPr>
        <w:t>United States v. Yousef</w:t>
      </w:r>
      <w:r w:rsidRPr="008033F0">
        <w:rPr>
          <w:rFonts w:asciiTheme="majorHAnsi" w:hAnsiTheme="majorHAnsi"/>
        </w:rPr>
        <w:t xml:space="preserve">, 327 F.3d 56, 107 (2d Cir. 2003) (holding that terrorism </w:t>
      </w:r>
      <w:r w:rsidR="00A129ED">
        <w:rPr>
          <w:rFonts w:asciiTheme="majorHAnsi" w:hAnsiTheme="majorHAnsi"/>
        </w:rPr>
        <w:t>i</w:t>
      </w:r>
      <w:r w:rsidRPr="008033F0">
        <w:rPr>
          <w:rFonts w:asciiTheme="majorHAnsi" w:hAnsiTheme="majorHAnsi"/>
        </w:rPr>
        <w:t>s not a war crime).</w:t>
      </w:r>
    </w:p>
  </w:footnote>
  <w:footnote w:id="23">
    <w:p w:rsidR="008033F0" w:rsidRPr="008033F0" w:rsidRDefault="008033F0" w:rsidP="00A129ED">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The Rome Statute Elements of Crimes requires the existence of an international armed conflict as an element of the war crime of destruction of property.  Rome Statute Elements of Crimes, article 8(2)(a)(iv) (2011).</w:t>
      </w:r>
    </w:p>
  </w:footnote>
  <w:footnote w:id="24">
    <w:p w:rsidR="008033F0" w:rsidRPr="008033F0" w:rsidRDefault="008033F0" w:rsidP="00A129ED">
      <w:pPr>
        <w:pStyle w:val="FootnoteText"/>
        <w:jc w:val="both"/>
        <w:rPr>
          <w:rFonts w:asciiTheme="majorHAnsi" w:hAnsiTheme="majorHAnsi"/>
        </w:rPr>
      </w:pPr>
      <w:r w:rsidRPr="008033F0">
        <w:rPr>
          <w:rStyle w:val="FootnoteReference"/>
          <w:rFonts w:asciiTheme="majorHAnsi" w:hAnsiTheme="majorHAnsi"/>
        </w:rPr>
        <w:footnoteRef/>
      </w:r>
      <w:r w:rsidRPr="008033F0">
        <w:rPr>
          <w:rFonts w:asciiTheme="majorHAnsi" w:hAnsiTheme="majorHAnsi"/>
        </w:rPr>
        <w:t xml:space="preserve"> 10 U.S.C. § 843 (2001); 18 U.S.C. § 3282 (2001).</w:t>
      </w:r>
    </w:p>
  </w:footnote>
  <w:footnote w:id="25">
    <w:p w:rsidR="008033F0" w:rsidRPr="008033F0" w:rsidRDefault="008033F0" w:rsidP="00A129ED">
      <w:pPr>
        <w:pStyle w:val="FootnoteText"/>
        <w:jc w:val="both"/>
        <w:rPr>
          <w:rFonts w:asciiTheme="majorHAnsi" w:hAnsiTheme="majorHAnsi"/>
          <w:lang w:val="en-US"/>
        </w:rPr>
      </w:pPr>
      <w:r w:rsidRPr="008033F0">
        <w:rPr>
          <w:rStyle w:val="FootnoteReference"/>
          <w:rFonts w:asciiTheme="majorHAnsi" w:hAnsiTheme="majorHAnsi"/>
        </w:rPr>
        <w:footnoteRef/>
      </w:r>
      <w:r w:rsidRPr="008033F0">
        <w:rPr>
          <w:rFonts w:asciiTheme="majorHAnsi" w:hAnsiTheme="majorHAnsi"/>
        </w:rPr>
        <w:t xml:space="preserve"> Rules for Military Commissions 703(e).</w:t>
      </w:r>
    </w:p>
  </w:footnote>
  <w:footnote w:id="26">
    <w:p w:rsidR="008033F0" w:rsidRPr="008033F0" w:rsidRDefault="008033F0" w:rsidP="00A129ED">
      <w:pPr>
        <w:pStyle w:val="FootnoteText"/>
        <w:jc w:val="both"/>
        <w:rPr>
          <w:rFonts w:asciiTheme="majorHAnsi" w:hAnsiTheme="majorHAnsi"/>
          <w:lang w:val="en-US"/>
        </w:rPr>
      </w:pPr>
      <w:r w:rsidRPr="008033F0">
        <w:rPr>
          <w:rStyle w:val="FootnoteReference"/>
          <w:rFonts w:asciiTheme="majorHAnsi" w:hAnsiTheme="majorHAnsi"/>
        </w:rPr>
        <w:footnoteRef/>
      </w:r>
      <w:r w:rsidRPr="008033F0">
        <w:rPr>
          <w:rFonts w:asciiTheme="majorHAnsi" w:hAnsiTheme="majorHAnsi"/>
        </w:rPr>
        <w:t xml:space="preserve"> </w:t>
      </w:r>
      <w:r w:rsidRPr="008033F0">
        <w:rPr>
          <w:rFonts w:asciiTheme="majorHAnsi" w:hAnsiTheme="majorHAnsi"/>
          <w:lang w:val="en-US"/>
        </w:rPr>
        <w:t>Rules for Military Commissions 703(c)(2).</w:t>
      </w:r>
    </w:p>
  </w:footnote>
  <w:footnote w:id="27">
    <w:p w:rsidR="008033F0" w:rsidRPr="007C63A7" w:rsidRDefault="008033F0" w:rsidP="00A129ED">
      <w:pPr>
        <w:pStyle w:val="FootnoteText"/>
        <w:ind w:right="20"/>
        <w:jc w:val="both"/>
        <w:rPr>
          <w:rFonts w:asciiTheme="majorHAnsi" w:hAnsiTheme="majorHAnsi"/>
          <w:lang w:val="en-US"/>
        </w:rPr>
      </w:pPr>
      <w:r w:rsidRPr="008033F0">
        <w:rPr>
          <w:rStyle w:val="FootnoteReference"/>
          <w:rFonts w:asciiTheme="majorHAnsi" w:hAnsiTheme="majorHAnsi"/>
        </w:rPr>
        <w:footnoteRef/>
      </w:r>
      <w:r w:rsidRPr="008033F0">
        <w:rPr>
          <w:rFonts w:asciiTheme="majorHAnsi" w:hAnsiTheme="majorHAnsi"/>
        </w:rPr>
        <w:t xml:space="preserve"> </w:t>
      </w:r>
      <w:r w:rsidR="007C63A7" w:rsidRPr="007C63A7">
        <w:rPr>
          <w:rFonts w:asciiTheme="majorHAnsi" w:hAnsiTheme="majorHAnsi" w:cs="Calibri"/>
          <w:lang w:val="en-US"/>
        </w:rPr>
        <w:t xml:space="preserve">Military Commissions Trial Judiciary, AE184B Order, </w:t>
      </w:r>
      <w:r w:rsidR="007C63A7" w:rsidRPr="007C63A7">
        <w:rPr>
          <w:rFonts w:asciiTheme="majorHAnsi" w:hAnsiTheme="majorHAnsi" w:cs="Calibri"/>
          <w:i/>
          <w:iCs/>
          <w:lang w:val="en-US"/>
        </w:rPr>
        <w:t>United States v. al Nashiri</w:t>
      </w:r>
      <w:r w:rsidR="007C63A7" w:rsidRPr="007C63A7">
        <w:rPr>
          <w:rFonts w:asciiTheme="majorHAnsi" w:hAnsiTheme="majorHAnsi" w:cs="Calibri"/>
          <w:lang w:val="en-US"/>
        </w:rPr>
        <w:t xml:space="preserve"> (26 February 2014), </w:t>
      </w:r>
      <w:r w:rsidR="007C63A7" w:rsidRPr="007C63A7">
        <w:rPr>
          <w:rFonts w:asciiTheme="majorHAnsi" w:hAnsiTheme="majorHAnsi" w:cs="Calibri"/>
          <w:i/>
          <w:iCs/>
          <w:lang w:val="en-US"/>
        </w:rPr>
        <w:t>available at</w:t>
      </w:r>
      <w:r w:rsidR="007C63A7" w:rsidRPr="007C63A7">
        <w:rPr>
          <w:rFonts w:asciiTheme="majorHAnsi" w:hAnsiTheme="majorHAnsi" w:cs="Calibri"/>
          <w:lang w:val="en-US"/>
        </w:rPr>
        <w:t xml:space="preserve"> </w:t>
      </w:r>
      <w:hyperlink r:id="rId12" w:history="1">
        <w:r w:rsidR="007C63A7" w:rsidRPr="007C63A7">
          <w:rPr>
            <w:rStyle w:val="Link"/>
            <w:rFonts w:asciiTheme="majorHAnsi" w:hAnsiTheme="majorHAnsi"/>
            <w:lang w:val="en-US"/>
          </w:rPr>
          <w:t>http://www.mc.mil/Portals/0/pdfs/alNashiri2/Al%20Nashiri%20II%20(AE184B(ORDER)).pdf</w:t>
        </w:r>
      </w:hyperlink>
      <w:r w:rsidR="007C63A7" w:rsidRPr="007C63A7">
        <w:rPr>
          <w:rFonts w:asciiTheme="majorHAnsi" w:hAnsiTheme="majorHAnsi" w:cs="Calibri"/>
          <w:lang w:val="en-US"/>
        </w:rPr>
        <w:t>.</w:t>
      </w:r>
    </w:p>
  </w:footnote>
  <w:footnote w:id="28">
    <w:p w:rsidR="00A129ED" w:rsidRPr="00A129ED" w:rsidRDefault="00A129ED" w:rsidP="00A129ED">
      <w:pPr>
        <w:pStyle w:val="FootnoteText"/>
        <w:jc w:val="both"/>
        <w:rPr>
          <w:lang w:val="en-US"/>
        </w:rPr>
      </w:pPr>
      <w:r>
        <w:rPr>
          <w:rStyle w:val="FootnoteReference"/>
        </w:rPr>
        <w:footnoteRef/>
      </w:r>
      <w:r>
        <w:t xml:space="preserve"> </w:t>
      </w:r>
      <w:r>
        <w:rPr>
          <w:lang w:val="en-US"/>
        </w:rPr>
        <w:t xml:space="preserve">Spencer Ackerman, </w:t>
      </w:r>
      <w:r w:rsidRPr="00A129ED">
        <w:rPr>
          <w:rFonts w:asciiTheme="majorHAnsi" w:hAnsiTheme="majorHAnsi"/>
          <w:bCs/>
          <w:i/>
          <w:iCs/>
        </w:rPr>
        <w:t>Guantánamo Bay: the wheels of justice turn slowly—at $7,600 a minute</w:t>
      </w:r>
      <w:r>
        <w:rPr>
          <w:rFonts w:asciiTheme="majorHAnsi" w:hAnsiTheme="majorHAnsi"/>
          <w:bCs/>
        </w:rPr>
        <w:t xml:space="preserve">, The Guardian (9 February 2015), </w:t>
      </w:r>
      <w:r>
        <w:rPr>
          <w:rFonts w:asciiTheme="majorHAnsi" w:hAnsiTheme="majorHAnsi"/>
          <w:bCs/>
          <w:i/>
          <w:iCs/>
        </w:rPr>
        <w:t>available at</w:t>
      </w:r>
      <w:r>
        <w:rPr>
          <w:rFonts w:asciiTheme="majorHAnsi" w:hAnsiTheme="majorHAnsi"/>
          <w:bCs/>
        </w:rPr>
        <w:t xml:space="preserve"> </w:t>
      </w:r>
      <w:hyperlink r:id="rId13" w:history="1">
        <w:r w:rsidRPr="00323B55">
          <w:rPr>
            <w:rStyle w:val="Hyperlink"/>
            <w:rFonts w:asciiTheme="majorHAnsi" w:hAnsiTheme="majorHAnsi"/>
            <w:bCs/>
          </w:rPr>
          <w:t>http://www.theguardian.com/us-news/2015/feb/09/guantanamo-bay-7600-minute-wheels-justice-turn-slowly</w:t>
        </w:r>
      </w:hyperlink>
      <w:r>
        <w:rPr>
          <w:rFonts w:asciiTheme="majorHAnsi" w:hAnsiTheme="majorHAnsi"/>
          <w:bCs/>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33F0" w:rsidRPr="00F119F6" w:rsidRDefault="008033F0" w:rsidP="008F3B6D">
    <w:pPr>
      <w:pStyle w:val="Header"/>
      <w:ind w:right="-158"/>
      <w:jc w:val="center"/>
      <w:rPr>
        <w:rFonts w:asciiTheme="majorHAnsi" w:hAnsiTheme="majorHAnsi"/>
        <w:sz w:val="17"/>
        <w:szCs w:val="17"/>
      </w:rPr>
    </w:pPr>
    <w:r w:rsidRPr="00DA4E53">
      <w:rPr>
        <w:rFonts w:asciiTheme="majorHAnsi" w:hAnsiTheme="majorHAnsi"/>
        <w:sz w:val="17"/>
        <w:szCs w:val="17"/>
      </w:rPr>
      <w:t>UNITED STATES OF AMERICA: NGO assessment of the implementation of follow-up recommendations – with the support of Centre for Civil and Political Rights (CCPR Centre) and the US Human Rights Network (USHRN)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4208A4"/>
    <w:multiLevelType w:val="hybridMultilevel"/>
    <w:tmpl w:val="4094EBB8"/>
    <w:lvl w:ilvl="0" w:tplc="5D38B152">
      <w:start w:val="20"/>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6B26D42"/>
    <w:multiLevelType w:val="hybridMultilevel"/>
    <w:tmpl w:val="28281022"/>
    <w:lvl w:ilvl="0" w:tplc="5D38B152">
      <w:start w:val="20"/>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2F3D24"/>
    <w:multiLevelType w:val="hybridMultilevel"/>
    <w:tmpl w:val="98160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pos w:val="sectEnd"/>
    <w:numFmt w:val="chicago"/>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E07"/>
    <w:rsid w:val="000838A0"/>
    <w:rsid w:val="000A5C86"/>
    <w:rsid w:val="000E2754"/>
    <w:rsid w:val="000E405F"/>
    <w:rsid w:val="000E6107"/>
    <w:rsid w:val="00127FDD"/>
    <w:rsid w:val="00135B13"/>
    <w:rsid w:val="001450DD"/>
    <w:rsid w:val="00145832"/>
    <w:rsid w:val="001479EE"/>
    <w:rsid w:val="001631B0"/>
    <w:rsid w:val="001635C4"/>
    <w:rsid w:val="001A6B0F"/>
    <w:rsid w:val="001D1A68"/>
    <w:rsid w:val="001D22A3"/>
    <w:rsid w:val="001D302E"/>
    <w:rsid w:val="001F2370"/>
    <w:rsid w:val="00212562"/>
    <w:rsid w:val="00232515"/>
    <w:rsid w:val="00247BC1"/>
    <w:rsid w:val="00251B72"/>
    <w:rsid w:val="002815A8"/>
    <w:rsid w:val="00296207"/>
    <w:rsid w:val="00297F82"/>
    <w:rsid w:val="002D0E07"/>
    <w:rsid w:val="003169DA"/>
    <w:rsid w:val="00323B55"/>
    <w:rsid w:val="00357F70"/>
    <w:rsid w:val="00376DEA"/>
    <w:rsid w:val="00382974"/>
    <w:rsid w:val="003A2327"/>
    <w:rsid w:val="003A7D8D"/>
    <w:rsid w:val="003B5315"/>
    <w:rsid w:val="003D1B68"/>
    <w:rsid w:val="003D1C4E"/>
    <w:rsid w:val="003D3AFA"/>
    <w:rsid w:val="003E39CA"/>
    <w:rsid w:val="00412BA7"/>
    <w:rsid w:val="00427572"/>
    <w:rsid w:val="00434054"/>
    <w:rsid w:val="00492914"/>
    <w:rsid w:val="004A6A82"/>
    <w:rsid w:val="004B15F4"/>
    <w:rsid w:val="004B234A"/>
    <w:rsid w:val="004B33E3"/>
    <w:rsid w:val="005149FE"/>
    <w:rsid w:val="005619E1"/>
    <w:rsid w:val="0058045C"/>
    <w:rsid w:val="0058484F"/>
    <w:rsid w:val="00584F74"/>
    <w:rsid w:val="005C48E3"/>
    <w:rsid w:val="005C6345"/>
    <w:rsid w:val="005E34DD"/>
    <w:rsid w:val="0061358E"/>
    <w:rsid w:val="00614900"/>
    <w:rsid w:val="00622EAE"/>
    <w:rsid w:val="00665B12"/>
    <w:rsid w:val="00676AFF"/>
    <w:rsid w:val="006E4A0F"/>
    <w:rsid w:val="006F2342"/>
    <w:rsid w:val="0072227F"/>
    <w:rsid w:val="00734ADF"/>
    <w:rsid w:val="00742642"/>
    <w:rsid w:val="007708BD"/>
    <w:rsid w:val="00787D4B"/>
    <w:rsid w:val="00791ED7"/>
    <w:rsid w:val="007A0F8F"/>
    <w:rsid w:val="007A1483"/>
    <w:rsid w:val="007C63A7"/>
    <w:rsid w:val="007D39DE"/>
    <w:rsid w:val="007E7C0B"/>
    <w:rsid w:val="007F2A45"/>
    <w:rsid w:val="007F4EDA"/>
    <w:rsid w:val="008033F0"/>
    <w:rsid w:val="00813DD8"/>
    <w:rsid w:val="00824AF4"/>
    <w:rsid w:val="008614DE"/>
    <w:rsid w:val="00892697"/>
    <w:rsid w:val="008C6B40"/>
    <w:rsid w:val="008E7868"/>
    <w:rsid w:val="008F2787"/>
    <w:rsid w:val="008F3B6D"/>
    <w:rsid w:val="00900C23"/>
    <w:rsid w:val="0090286D"/>
    <w:rsid w:val="00902EBD"/>
    <w:rsid w:val="009057E4"/>
    <w:rsid w:val="00914F7E"/>
    <w:rsid w:val="009359DC"/>
    <w:rsid w:val="009402AC"/>
    <w:rsid w:val="00940409"/>
    <w:rsid w:val="00966891"/>
    <w:rsid w:val="00980321"/>
    <w:rsid w:val="009D7286"/>
    <w:rsid w:val="009E3A76"/>
    <w:rsid w:val="00A129ED"/>
    <w:rsid w:val="00A41FB9"/>
    <w:rsid w:val="00A449D8"/>
    <w:rsid w:val="00AB72A3"/>
    <w:rsid w:val="00AE158F"/>
    <w:rsid w:val="00AE18D2"/>
    <w:rsid w:val="00AF7CF2"/>
    <w:rsid w:val="00B7377A"/>
    <w:rsid w:val="00B81F5E"/>
    <w:rsid w:val="00B84AB8"/>
    <w:rsid w:val="00B90816"/>
    <w:rsid w:val="00BC4470"/>
    <w:rsid w:val="00BC4B04"/>
    <w:rsid w:val="00BF35F5"/>
    <w:rsid w:val="00C00525"/>
    <w:rsid w:val="00C101DB"/>
    <w:rsid w:val="00C16331"/>
    <w:rsid w:val="00C25414"/>
    <w:rsid w:val="00C83AF8"/>
    <w:rsid w:val="00C9270F"/>
    <w:rsid w:val="00CA3AD9"/>
    <w:rsid w:val="00CB2AC8"/>
    <w:rsid w:val="00CC6A29"/>
    <w:rsid w:val="00CC6AF1"/>
    <w:rsid w:val="00CE4FC0"/>
    <w:rsid w:val="00D1326A"/>
    <w:rsid w:val="00D2195E"/>
    <w:rsid w:val="00D222B5"/>
    <w:rsid w:val="00D5435B"/>
    <w:rsid w:val="00D71DE7"/>
    <w:rsid w:val="00D76613"/>
    <w:rsid w:val="00D9517A"/>
    <w:rsid w:val="00D96678"/>
    <w:rsid w:val="00DA275C"/>
    <w:rsid w:val="00DA4E53"/>
    <w:rsid w:val="00DB0CDF"/>
    <w:rsid w:val="00DD3A62"/>
    <w:rsid w:val="00DF2F52"/>
    <w:rsid w:val="00E271FD"/>
    <w:rsid w:val="00E3181A"/>
    <w:rsid w:val="00E36CA6"/>
    <w:rsid w:val="00E41058"/>
    <w:rsid w:val="00E5417A"/>
    <w:rsid w:val="00E66371"/>
    <w:rsid w:val="00EA0B8C"/>
    <w:rsid w:val="00EB05A4"/>
    <w:rsid w:val="00EC2C2E"/>
    <w:rsid w:val="00ED1139"/>
    <w:rsid w:val="00ED1A81"/>
    <w:rsid w:val="00F119F6"/>
    <w:rsid w:val="00F173C2"/>
    <w:rsid w:val="00F228FF"/>
    <w:rsid w:val="00F37EBE"/>
    <w:rsid w:val="00F55E1E"/>
    <w:rsid w:val="00F654A1"/>
    <w:rsid w:val="00F744B7"/>
    <w:rsid w:val="00F9371E"/>
    <w:rsid w:val="00FA6227"/>
    <w:rsid w:val="00FC7D18"/>
    <w:rsid w:val="00FE3FD9"/>
    <w:rsid w:val="00FF5E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D0E07"/>
    <w:pPr>
      <w:suppressAutoHyphens/>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0E07"/>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HeaderChar">
    <w:name w:val="Header Char"/>
    <w:basedOn w:val="DefaultParagraphFont"/>
    <w:link w:val="Header"/>
    <w:uiPriority w:val="99"/>
    <w:rsid w:val="002D0E07"/>
  </w:style>
  <w:style w:type="paragraph" w:styleId="Footer">
    <w:name w:val="footer"/>
    <w:basedOn w:val="Normal"/>
    <w:link w:val="FooterChar"/>
    <w:uiPriority w:val="99"/>
    <w:unhideWhenUsed/>
    <w:rsid w:val="002D0E07"/>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FooterChar">
    <w:name w:val="Footer Char"/>
    <w:basedOn w:val="DefaultParagraphFont"/>
    <w:link w:val="Footer"/>
    <w:uiPriority w:val="99"/>
    <w:rsid w:val="002D0E07"/>
  </w:style>
  <w:style w:type="character" w:styleId="PageNumber">
    <w:name w:val="page number"/>
    <w:basedOn w:val="DefaultParagraphFont"/>
    <w:rsid w:val="00AE18D2"/>
  </w:style>
  <w:style w:type="paragraph" w:styleId="ListParagraph">
    <w:name w:val="List Paragraph"/>
    <w:basedOn w:val="Normal"/>
    <w:uiPriority w:val="34"/>
    <w:qFormat/>
    <w:rsid w:val="00DD3A62"/>
    <w:pPr>
      <w:ind w:left="720"/>
      <w:contextualSpacing/>
    </w:pPr>
  </w:style>
  <w:style w:type="table" w:styleId="TableGrid">
    <w:name w:val="Table Grid"/>
    <w:basedOn w:val="TableNormal"/>
    <w:uiPriority w:val="59"/>
    <w:rsid w:val="00E31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A449D8"/>
    <w:rPr>
      <w:sz w:val="24"/>
      <w:szCs w:val="24"/>
    </w:rPr>
  </w:style>
  <w:style w:type="character" w:customStyle="1" w:styleId="FootnoteTextChar">
    <w:name w:val="Footnote Text Char"/>
    <w:basedOn w:val="DefaultParagraphFont"/>
    <w:link w:val="FootnoteText"/>
    <w:uiPriority w:val="99"/>
    <w:rsid w:val="00A449D8"/>
    <w:rPr>
      <w:rFonts w:ascii="Calibri" w:eastAsia="Calibri" w:hAnsi="Calibri" w:cs="Times New Roman"/>
      <w:lang w:val="en-GB"/>
    </w:rPr>
  </w:style>
  <w:style w:type="character" w:styleId="FootnoteReference">
    <w:name w:val="footnote reference"/>
    <w:basedOn w:val="DefaultParagraphFont"/>
    <w:uiPriority w:val="99"/>
    <w:unhideWhenUsed/>
    <w:rsid w:val="00A449D8"/>
    <w:rPr>
      <w:vertAlign w:val="superscript"/>
    </w:rPr>
  </w:style>
  <w:style w:type="character" w:styleId="CommentReference">
    <w:name w:val="annotation reference"/>
    <w:basedOn w:val="DefaultParagraphFont"/>
    <w:uiPriority w:val="99"/>
    <w:semiHidden/>
    <w:unhideWhenUsed/>
    <w:rsid w:val="001D1A68"/>
    <w:rPr>
      <w:sz w:val="16"/>
      <w:szCs w:val="16"/>
    </w:rPr>
  </w:style>
  <w:style w:type="paragraph" w:styleId="CommentText">
    <w:name w:val="annotation text"/>
    <w:basedOn w:val="Normal"/>
    <w:link w:val="CommentTextChar"/>
    <w:uiPriority w:val="99"/>
    <w:semiHidden/>
    <w:unhideWhenUsed/>
    <w:rsid w:val="001D1A68"/>
    <w:rPr>
      <w:sz w:val="20"/>
      <w:szCs w:val="20"/>
    </w:rPr>
  </w:style>
  <w:style w:type="character" w:customStyle="1" w:styleId="CommentTextChar">
    <w:name w:val="Comment Text Char"/>
    <w:basedOn w:val="DefaultParagraphFont"/>
    <w:link w:val="CommentText"/>
    <w:uiPriority w:val="99"/>
    <w:semiHidden/>
    <w:rsid w:val="001D1A68"/>
    <w:rPr>
      <w:rFonts w:ascii="Calibri" w:eastAsia="Calibri"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1D1A68"/>
    <w:rPr>
      <w:b/>
      <w:bCs/>
    </w:rPr>
  </w:style>
  <w:style w:type="character" w:customStyle="1" w:styleId="CommentSubjectChar">
    <w:name w:val="Comment Subject Char"/>
    <w:basedOn w:val="CommentTextChar"/>
    <w:link w:val="CommentSubject"/>
    <w:uiPriority w:val="99"/>
    <w:semiHidden/>
    <w:rsid w:val="001D1A68"/>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1D1A68"/>
    <w:rPr>
      <w:rFonts w:ascii="Tahoma" w:hAnsi="Tahoma" w:cs="Tahoma"/>
      <w:sz w:val="16"/>
      <w:szCs w:val="16"/>
    </w:rPr>
  </w:style>
  <w:style w:type="character" w:customStyle="1" w:styleId="BalloonTextChar">
    <w:name w:val="Balloon Text Char"/>
    <w:basedOn w:val="DefaultParagraphFont"/>
    <w:link w:val="BalloonText"/>
    <w:uiPriority w:val="99"/>
    <w:semiHidden/>
    <w:rsid w:val="001D1A68"/>
    <w:rPr>
      <w:rFonts w:ascii="Tahoma" w:eastAsia="Calibri" w:hAnsi="Tahoma" w:cs="Tahoma"/>
      <w:sz w:val="16"/>
      <w:szCs w:val="16"/>
      <w:lang w:val="en-GB"/>
    </w:rPr>
  </w:style>
  <w:style w:type="paragraph" w:styleId="NoSpacing">
    <w:name w:val="No Spacing"/>
    <w:link w:val="NoSpacingChar"/>
    <w:uiPriority w:val="1"/>
    <w:qFormat/>
    <w:rsid w:val="00127FDD"/>
    <w:rPr>
      <w:sz w:val="22"/>
      <w:szCs w:val="22"/>
    </w:rPr>
  </w:style>
  <w:style w:type="character" w:customStyle="1" w:styleId="NoSpacingChar">
    <w:name w:val="No Spacing Char"/>
    <w:basedOn w:val="DefaultParagraphFont"/>
    <w:link w:val="NoSpacing"/>
    <w:uiPriority w:val="1"/>
    <w:rsid w:val="00127FDD"/>
    <w:rPr>
      <w:sz w:val="22"/>
      <w:szCs w:val="22"/>
    </w:rPr>
  </w:style>
  <w:style w:type="character" w:styleId="Hyperlink">
    <w:name w:val="Hyperlink"/>
    <w:basedOn w:val="DefaultParagraphFont"/>
    <w:uiPriority w:val="99"/>
    <w:unhideWhenUsed/>
    <w:rsid w:val="001D22A3"/>
    <w:rPr>
      <w:color w:val="0000FF"/>
      <w:u w:val="single"/>
    </w:rPr>
  </w:style>
  <w:style w:type="paragraph" w:styleId="Revision">
    <w:name w:val="Revision"/>
    <w:hidden/>
    <w:uiPriority w:val="99"/>
    <w:semiHidden/>
    <w:rsid w:val="00B7377A"/>
    <w:rPr>
      <w:rFonts w:ascii="Calibri" w:eastAsia="Calibri" w:hAnsi="Calibri" w:cs="Times New Roman"/>
      <w:sz w:val="22"/>
      <w:szCs w:val="22"/>
      <w:lang w:val="en-GB"/>
    </w:rPr>
  </w:style>
  <w:style w:type="paragraph" w:styleId="EndnoteText">
    <w:name w:val="endnote text"/>
    <w:basedOn w:val="Normal"/>
    <w:link w:val="EndnoteTextChar"/>
    <w:uiPriority w:val="99"/>
    <w:semiHidden/>
    <w:unhideWhenUsed/>
    <w:rsid w:val="00EB05A4"/>
    <w:rPr>
      <w:sz w:val="20"/>
      <w:szCs w:val="20"/>
    </w:rPr>
  </w:style>
  <w:style w:type="character" w:customStyle="1" w:styleId="EndnoteTextChar">
    <w:name w:val="Endnote Text Char"/>
    <w:basedOn w:val="DefaultParagraphFont"/>
    <w:link w:val="EndnoteText"/>
    <w:uiPriority w:val="99"/>
    <w:semiHidden/>
    <w:rsid w:val="00EB05A4"/>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EB05A4"/>
    <w:rPr>
      <w:vertAlign w:val="superscript"/>
    </w:rPr>
  </w:style>
  <w:style w:type="character" w:customStyle="1" w:styleId="Link">
    <w:name w:val="Link"/>
    <w:rsid w:val="00E41058"/>
    <w:rPr>
      <w:color w:val="0000FF"/>
      <w:u w:val="single" w:color="0000FF"/>
    </w:rPr>
  </w:style>
  <w:style w:type="character" w:styleId="FollowedHyperlink">
    <w:name w:val="FollowedHyperlink"/>
    <w:basedOn w:val="DefaultParagraphFont"/>
    <w:uiPriority w:val="99"/>
    <w:semiHidden/>
    <w:unhideWhenUsed/>
    <w:rsid w:val="00323B5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D0E07"/>
    <w:pPr>
      <w:suppressAutoHyphens/>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0E07"/>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HeaderChar">
    <w:name w:val="Header Char"/>
    <w:basedOn w:val="DefaultParagraphFont"/>
    <w:link w:val="Header"/>
    <w:uiPriority w:val="99"/>
    <w:rsid w:val="002D0E07"/>
  </w:style>
  <w:style w:type="paragraph" w:styleId="Footer">
    <w:name w:val="footer"/>
    <w:basedOn w:val="Normal"/>
    <w:link w:val="FooterChar"/>
    <w:uiPriority w:val="99"/>
    <w:unhideWhenUsed/>
    <w:rsid w:val="002D0E07"/>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FooterChar">
    <w:name w:val="Footer Char"/>
    <w:basedOn w:val="DefaultParagraphFont"/>
    <w:link w:val="Footer"/>
    <w:uiPriority w:val="99"/>
    <w:rsid w:val="002D0E07"/>
  </w:style>
  <w:style w:type="character" w:styleId="PageNumber">
    <w:name w:val="page number"/>
    <w:basedOn w:val="DefaultParagraphFont"/>
    <w:rsid w:val="00AE18D2"/>
  </w:style>
  <w:style w:type="paragraph" w:styleId="ListParagraph">
    <w:name w:val="List Paragraph"/>
    <w:basedOn w:val="Normal"/>
    <w:uiPriority w:val="34"/>
    <w:qFormat/>
    <w:rsid w:val="00DD3A62"/>
    <w:pPr>
      <w:ind w:left="720"/>
      <w:contextualSpacing/>
    </w:pPr>
  </w:style>
  <w:style w:type="table" w:styleId="TableGrid">
    <w:name w:val="Table Grid"/>
    <w:basedOn w:val="TableNormal"/>
    <w:uiPriority w:val="59"/>
    <w:rsid w:val="00E31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A449D8"/>
    <w:rPr>
      <w:sz w:val="24"/>
      <w:szCs w:val="24"/>
    </w:rPr>
  </w:style>
  <w:style w:type="character" w:customStyle="1" w:styleId="FootnoteTextChar">
    <w:name w:val="Footnote Text Char"/>
    <w:basedOn w:val="DefaultParagraphFont"/>
    <w:link w:val="FootnoteText"/>
    <w:uiPriority w:val="99"/>
    <w:rsid w:val="00A449D8"/>
    <w:rPr>
      <w:rFonts w:ascii="Calibri" w:eastAsia="Calibri" w:hAnsi="Calibri" w:cs="Times New Roman"/>
      <w:lang w:val="en-GB"/>
    </w:rPr>
  </w:style>
  <w:style w:type="character" w:styleId="FootnoteReference">
    <w:name w:val="footnote reference"/>
    <w:basedOn w:val="DefaultParagraphFont"/>
    <w:uiPriority w:val="99"/>
    <w:unhideWhenUsed/>
    <w:rsid w:val="00A449D8"/>
    <w:rPr>
      <w:vertAlign w:val="superscript"/>
    </w:rPr>
  </w:style>
  <w:style w:type="character" w:styleId="CommentReference">
    <w:name w:val="annotation reference"/>
    <w:basedOn w:val="DefaultParagraphFont"/>
    <w:uiPriority w:val="99"/>
    <w:semiHidden/>
    <w:unhideWhenUsed/>
    <w:rsid w:val="001D1A68"/>
    <w:rPr>
      <w:sz w:val="16"/>
      <w:szCs w:val="16"/>
    </w:rPr>
  </w:style>
  <w:style w:type="paragraph" w:styleId="CommentText">
    <w:name w:val="annotation text"/>
    <w:basedOn w:val="Normal"/>
    <w:link w:val="CommentTextChar"/>
    <w:uiPriority w:val="99"/>
    <w:semiHidden/>
    <w:unhideWhenUsed/>
    <w:rsid w:val="001D1A68"/>
    <w:rPr>
      <w:sz w:val="20"/>
      <w:szCs w:val="20"/>
    </w:rPr>
  </w:style>
  <w:style w:type="character" w:customStyle="1" w:styleId="CommentTextChar">
    <w:name w:val="Comment Text Char"/>
    <w:basedOn w:val="DefaultParagraphFont"/>
    <w:link w:val="CommentText"/>
    <w:uiPriority w:val="99"/>
    <w:semiHidden/>
    <w:rsid w:val="001D1A68"/>
    <w:rPr>
      <w:rFonts w:ascii="Calibri" w:eastAsia="Calibri"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1D1A68"/>
    <w:rPr>
      <w:b/>
      <w:bCs/>
    </w:rPr>
  </w:style>
  <w:style w:type="character" w:customStyle="1" w:styleId="CommentSubjectChar">
    <w:name w:val="Comment Subject Char"/>
    <w:basedOn w:val="CommentTextChar"/>
    <w:link w:val="CommentSubject"/>
    <w:uiPriority w:val="99"/>
    <w:semiHidden/>
    <w:rsid w:val="001D1A68"/>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1D1A68"/>
    <w:rPr>
      <w:rFonts w:ascii="Tahoma" w:hAnsi="Tahoma" w:cs="Tahoma"/>
      <w:sz w:val="16"/>
      <w:szCs w:val="16"/>
    </w:rPr>
  </w:style>
  <w:style w:type="character" w:customStyle="1" w:styleId="BalloonTextChar">
    <w:name w:val="Balloon Text Char"/>
    <w:basedOn w:val="DefaultParagraphFont"/>
    <w:link w:val="BalloonText"/>
    <w:uiPriority w:val="99"/>
    <w:semiHidden/>
    <w:rsid w:val="001D1A68"/>
    <w:rPr>
      <w:rFonts w:ascii="Tahoma" w:eastAsia="Calibri" w:hAnsi="Tahoma" w:cs="Tahoma"/>
      <w:sz w:val="16"/>
      <w:szCs w:val="16"/>
      <w:lang w:val="en-GB"/>
    </w:rPr>
  </w:style>
  <w:style w:type="paragraph" w:styleId="NoSpacing">
    <w:name w:val="No Spacing"/>
    <w:link w:val="NoSpacingChar"/>
    <w:uiPriority w:val="1"/>
    <w:qFormat/>
    <w:rsid w:val="00127FDD"/>
    <w:rPr>
      <w:sz w:val="22"/>
      <w:szCs w:val="22"/>
    </w:rPr>
  </w:style>
  <w:style w:type="character" w:customStyle="1" w:styleId="NoSpacingChar">
    <w:name w:val="No Spacing Char"/>
    <w:basedOn w:val="DefaultParagraphFont"/>
    <w:link w:val="NoSpacing"/>
    <w:uiPriority w:val="1"/>
    <w:rsid w:val="00127FDD"/>
    <w:rPr>
      <w:sz w:val="22"/>
      <w:szCs w:val="22"/>
    </w:rPr>
  </w:style>
  <w:style w:type="character" w:styleId="Hyperlink">
    <w:name w:val="Hyperlink"/>
    <w:basedOn w:val="DefaultParagraphFont"/>
    <w:uiPriority w:val="99"/>
    <w:unhideWhenUsed/>
    <w:rsid w:val="001D22A3"/>
    <w:rPr>
      <w:color w:val="0000FF"/>
      <w:u w:val="single"/>
    </w:rPr>
  </w:style>
  <w:style w:type="paragraph" w:styleId="Revision">
    <w:name w:val="Revision"/>
    <w:hidden/>
    <w:uiPriority w:val="99"/>
    <w:semiHidden/>
    <w:rsid w:val="00B7377A"/>
    <w:rPr>
      <w:rFonts w:ascii="Calibri" w:eastAsia="Calibri" w:hAnsi="Calibri" w:cs="Times New Roman"/>
      <w:sz w:val="22"/>
      <w:szCs w:val="22"/>
      <w:lang w:val="en-GB"/>
    </w:rPr>
  </w:style>
  <w:style w:type="paragraph" w:styleId="EndnoteText">
    <w:name w:val="endnote text"/>
    <w:basedOn w:val="Normal"/>
    <w:link w:val="EndnoteTextChar"/>
    <w:uiPriority w:val="99"/>
    <w:semiHidden/>
    <w:unhideWhenUsed/>
    <w:rsid w:val="00EB05A4"/>
    <w:rPr>
      <w:sz w:val="20"/>
      <w:szCs w:val="20"/>
    </w:rPr>
  </w:style>
  <w:style w:type="character" w:customStyle="1" w:styleId="EndnoteTextChar">
    <w:name w:val="Endnote Text Char"/>
    <w:basedOn w:val="DefaultParagraphFont"/>
    <w:link w:val="EndnoteText"/>
    <w:uiPriority w:val="99"/>
    <w:semiHidden/>
    <w:rsid w:val="00EB05A4"/>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EB05A4"/>
    <w:rPr>
      <w:vertAlign w:val="superscript"/>
    </w:rPr>
  </w:style>
  <w:style w:type="character" w:customStyle="1" w:styleId="Link">
    <w:name w:val="Link"/>
    <w:rsid w:val="00E41058"/>
    <w:rPr>
      <w:color w:val="0000FF"/>
      <w:u w:val="single" w:color="0000FF"/>
    </w:rPr>
  </w:style>
  <w:style w:type="character" w:styleId="FollowedHyperlink">
    <w:name w:val="FollowedHyperlink"/>
    <w:basedOn w:val="DefaultParagraphFont"/>
    <w:uiPriority w:val="99"/>
    <w:semiHidden/>
    <w:unhideWhenUsed/>
    <w:rsid w:val="00323B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mailto:dnevin@nbmlaw.com" TargetMode="External"/><Relationship Id="rId4" Type="http://schemas.microsoft.com/office/2007/relationships/stylesWithEffects" Target="stylesWithEffects.xml"/><Relationship Id="rId9" Type="http://schemas.openxmlformats.org/officeDocument/2006/relationships/hyperlink" Target="mailto:jconnell@connell-law.com"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www.mc.mil/Portals/0/pdfs/KSM2/KSM%20II%20(AE343C).pdf" TargetMode="External"/><Relationship Id="rId13" Type="http://schemas.openxmlformats.org/officeDocument/2006/relationships/hyperlink" Target="http://www.theguardian.com/us-news/2015/feb/09/guantanamo-bay-7600-minute-wheels-justice-turn-slowly" TargetMode="External"/><Relationship Id="rId3" Type="http://schemas.openxmlformats.org/officeDocument/2006/relationships/hyperlink" Target="http://www.mc.mil/Portals/0/pdfs/KSM2/KSM%20II%20(AE200II).pdf" TargetMode="External"/><Relationship Id="rId7" Type="http://schemas.openxmlformats.org/officeDocument/2006/relationships/hyperlink" Target="http://www.washingtonpost.com/blogs/post-politics/wp/2013/04/20/gop-lawmakers-want-boston-bombing-suspect-treated-as-enemy-combatant/" TargetMode="External"/><Relationship Id="rId12" Type="http://schemas.openxmlformats.org/officeDocument/2006/relationships/hyperlink" Target="http://www.mc.mil/Portals/0/pdfs/alNashiri2/Al%20Nashiri%20II%20(AE184B(ORDER)).pdf" TargetMode="External"/><Relationship Id="rId2" Type="http://schemas.openxmlformats.org/officeDocument/2006/relationships/hyperlink" Target="http://www.defense.gov/transcripts/transcript.aspx?transcriptid=4359" TargetMode="External"/><Relationship Id="rId1" Type="http://schemas.openxmlformats.org/officeDocument/2006/relationships/hyperlink" Target="http://www.intelligence.senate.gov/study2014.html" TargetMode="External"/><Relationship Id="rId6" Type="http://schemas.openxmlformats.org/officeDocument/2006/relationships/hyperlink" Target="http://www.mc.mil/Portals/0/pdfs/KSM2/KSM%20II%20(AE231B(AAA)).pdf" TargetMode="External"/><Relationship Id="rId11" Type="http://schemas.openxmlformats.org/officeDocument/2006/relationships/hyperlink" Target="http://www.mc.mil/Portals/0/pdfs/KSM2/KSM%20II%20(AE013RRR(Gov)).pdf" TargetMode="External"/><Relationship Id="rId5" Type="http://schemas.openxmlformats.org/officeDocument/2006/relationships/hyperlink" Target="http://www.mc.mil/Portals/0/pdfs/KSM2/KSM%20II%20(AE093A).pdf" TargetMode="External"/><Relationship Id="rId10" Type="http://schemas.openxmlformats.org/officeDocument/2006/relationships/hyperlink" Target="http://www.mc.mil/Portals/0/pdfs/alNashiri2/Al%20Nashiri%20II%20(AE013S).pdf" TargetMode="External"/><Relationship Id="rId4" Type="http://schemas.openxmlformats.org/officeDocument/2006/relationships/hyperlink" Target="http://www.mc.mil/Portals/0/pdfs/KSM2/KSM%20II%20(AE214H).pdf" TargetMode="External"/><Relationship Id="rId9" Type="http://schemas.openxmlformats.org/officeDocument/2006/relationships/hyperlink" Target="http://www.mc.mil/Portals/0/pdfs/alNashiri2/Al%20Nashiri%20II%20(AE332U).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BF7D7F-3330-46F4-9E5A-341410EE6880}"/>
</file>

<file path=customXml/itemProps2.xml><?xml version="1.0" encoding="utf-8"?>
<ds:datastoreItem xmlns:ds="http://schemas.openxmlformats.org/officeDocument/2006/customXml" ds:itemID="{D0528F37-8929-4A42-82E7-27A67D8F1D3B}"/>
</file>

<file path=customXml/itemProps3.xml><?xml version="1.0" encoding="utf-8"?>
<ds:datastoreItem xmlns:ds="http://schemas.openxmlformats.org/officeDocument/2006/customXml" ds:itemID="{F4B05513-0355-4F5E-9378-3BE6957621BB}"/>
</file>

<file path=customXml/itemProps4.xml><?xml version="1.0" encoding="utf-8"?>
<ds:datastoreItem xmlns:ds="http://schemas.openxmlformats.org/officeDocument/2006/customXml" ds:itemID="{F6C2F561-1C1B-4D42-B838-98B527CEAC81}"/>
</file>

<file path=docProps/app.xml><?xml version="1.0" encoding="utf-8"?>
<Properties xmlns="http://schemas.openxmlformats.org/officeDocument/2006/extended-properties" xmlns:vt="http://schemas.openxmlformats.org/officeDocument/2006/docPropsVTypes">
  <Template>Normal</Template>
  <TotalTime>130</TotalTime>
  <Pages>9</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ICCPR Follow-Up Issue Areas Shadow Report Template Instructions:</vt:lpstr>
    </vt:vector>
  </TitlesOfParts>
  <Company>CCPR Centre</Company>
  <LinksUpToDate>false</LinksUpToDate>
  <CharactersWithSpaces>13667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ICCPR Follow-Up Issue Areas Shadow Report Template Instructions:</dc:title>
  <dc:subject>For United States NGOs</dc:subject>
  <dc:creator>Daisuke CCPR</dc:creator>
  <cp:lastModifiedBy>James Connell</cp:lastModifiedBy>
  <cp:revision>8</cp:revision>
  <cp:lastPrinted>2015-04-30T16:44:00Z</cp:lastPrinted>
  <dcterms:created xsi:type="dcterms:W3CDTF">2015-05-01T13:17:00Z</dcterms:created>
  <dcterms:modified xsi:type="dcterms:W3CDTF">2015-05-01T15:48:00Z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