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FDAF783" w14:textId="77777777" w:rsidR="00B85E0C" w:rsidRPr="00296207" w:rsidRDefault="00B85E0C" w:rsidP="00B85E0C">
      <w:pPr>
        <w:rPr>
          <w:sz w:val="10"/>
          <w:szCs w:val="10"/>
        </w:rPr>
      </w:pPr>
      <w:bookmarkStart w:id="0" w:name="_GoBack"/>
      <w:bookmarkEnd w:id="0"/>
    </w:p>
    <w:tbl>
      <w:tblPr>
        <w:tblpPr w:leftFromText="180" w:rightFromText="180" w:vertAnchor="page" w:horzAnchor="page" w:tblpX="829" w:tblpY="721"/>
        <w:tblW w:w="0" w:type="auto"/>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8378"/>
        <w:gridCol w:w="320"/>
        <w:gridCol w:w="4478"/>
      </w:tblGrid>
      <w:tr w:rsidR="00B85E0C" w14:paraId="0F9194D0" w14:textId="77777777" w:rsidTr="00A926A8">
        <w:trPr>
          <w:trHeight w:val="990"/>
        </w:trPr>
        <w:tc>
          <w:tcPr>
            <w:tcW w:w="9838" w:type="dxa"/>
            <w:tcBorders>
              <w:top w:val="single" w:sz="4" w:space="0" w:color="00000A"/>
              <w:left w:val="single" w:sz="4" w:space="0" w:color="00000A"/>
              <w:bottom w:val="single" w:sz="4" w:space="0" w:color="00000A"/>
              <w:right w:val="single" w:sz="4" w:space="0" w:color="00000A"/>
            </w:tcBorders>
            <w:shd w:val="clear" w:color="auto" w:fill="00538F"/>
            <w:tcMar>
              <w:left w:w="108" w:type="dxa"/>
            </w:tcMar>
          </w:tcPr>
          <w:p w14:paraId="1E563A2D" w14:textId="77777777" w:rsidR="00B85E0C" w:rsidRPr="00D909D1" w:rsidRDefault="00B85E0C" w:rsidP="00A926A8">
            <w:pPr>
              <w:pBdr>
                <w:top w:val="nil"/>
                <w:left w:val="nil"/>
                <w:bottom w:val="nil"/>
                <w:right w:val="nil"/>
              </w:pBdr>
              <w:spacing w:before="240" w:after="240"/>
              <w:jc w:val="center"/>
              <w:rPr>
                <w:b/>
                <w:color w:val="FFFFFF"/>
                <w:sz w:val="32"/>
                <w:szCs w:val="36"/>
              </w:rPr>
            </w:pPr>
            <w:r w:rsidRPr="00D909D1">
              <w:rPr>
                <w:b/>
                <w:color w:val="FFFFFF"/>
                <w:sz w:val="32"/>
                <w:szCs w:val="36"/>
              </w:rPr>
              <w:t>United States of America</w:t>
            </w:r>
          </w:p>
          <w:p w14:paraId="6D02A52A" w14:textId="301D47A4" w:rsidR="00B85E0C" w:rsidRPr="00C00525" w:rsidRDefault="00B85E0C" w:rsidP="00A926A8">
            <w:pPr>
              <w:pBdr>
                <w:top w:val="nil"/>
                <w:left w:val="nil"/>
                <w:bottom w:val="nil"/>
                <w:right w:val="nil"/>
              </w:pBdr>
              <w:spacing w:before="240" w:after="240"/>
              <w:jc w:val="center"/>
              <w:rPr>
                <w:b/>
                <w:color w:val="FFFFFF"/>
                <w:sz w:val="44"/>
                <w:szCs w:val="44"/>
              </w:rPr>
            </w:pPr>
            <w:r w:rsidRPr="00D909D1">
              <w:rPr>
                <w:b/>
                <w:color w:val="FFFFFF"/>
                <w:sz w:val="32"/>
                <w:szCs w:val="36"/>
              </w:rPr>
              <w:t>NGO assessment of the follow-up action of the US Government for ICCPR Recommendations</w:t>
            </w:r>
            <w:r w:rsidR="00F45C61">
              <w:rPr>
                <w:b/>
                <w:color w:val="FFFFFF"/>
                <w:sz w:val="32"/>
                <w:szCs w:val="36"/>
              </w:rPr>
              <w:t xml:space="preserve"> Paras. 5 &amp; 21</w:t>
            </w:r>
          </w:p>
        </w:tc>
        <w:tc>
          <w:tcPr>
            <w:tcW w:w="345"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9872DC7" w14:textId="77777777" w:rsidR="00B85E0C" w:rsidRDefault="00B85E0C" w:rsidP="00A926A8">
            <w:pPr>
              <w:pBdr>
                <w:top w:val="nil"/>
                <w:left w:val="nil"/>
                <w:bottom w:val="nil"/>
                <w:right w:val="nil"/>
              </w:pBdr>
            </w:pPr>
            <w:bookmarkStart w:id="1" w:name="__UnoMark__140_1993286424"/>
            <w:bookmarkStart w:id="2" w:name="__UnoMark__139_1993286424"/>
            <w:bookmarkEnd w:id="1"/>
            <w:bookmarkEnd w:id="2"/>
          </w:p>
        </w:tc>
        <w:tc>
          <w:tcPr>
            <w:tcW w:w="5145" w:type="dxa"/>
            <w:tcBorders>
              <w:top w:val="single" w:sz="4" w:space="0" w:color="00000A"/>
              <w:left w:val="single" w:sz="4" w:space="0" w:color="00000A"/>
              <w:bottom w:val="single" w:sz="4" w:space="0" w:color="00000A"/>
              <w:right w:val="single" w:sz="4" w:space="0" w:color="00000A"/>
            </w:tcBorders>
            <w:shd w:val="clear" w:color="auto" w:fill="7F7F7F"/>
            <w:tcMar>
              <w:left w:w="108" w:type="dxa"/>
            </w:tcMar>
            <w:vAlign w:val="center"/>
          </w:tcPr>
          <w:p w14:paraId="71F3E5F6" w14:textId="77777777" w:rsidR="00B85E0C" w:rsidRPr="002D0E07" w:rsidRDefault="00B85E0C" w:rsidP="00A926A8">
            <w:pPr>
              <w:pBdr>
                <w:top w:val="nil"/>
                <w:left w:val="nil"/>
                <w:bottom w:val="nil"/>
                <w:right w:val="nil"/>
              </w:pBdr>
              <w:rPr>
                <w:color w:val="FFFFFF"/>
              </w:rPr>
            </w:pPr>
            <w:bookmarkStart w:id="3" w:name="__UnoMark__141_1993286424"/>
            <w:bookmarkEnd w:id="3"/>
            <w:r>
              <w:rPr>
                <w:color w:val="FFFFFF"/>
              </w:rPr>
              <w:t>CCPR/C/USA/CO/4</w:t>
            </w:r>
          </w:p>
          <w:p w14:paraId="34C9F0D3" w14:textId="77777777" w:rsidR="00B85E0C" w:rsidRPr="00F119F6" w:rsidRDefault="00B85E0C" w:rsidP="00A926A8">
            <w:pPr>
              <w:pBdr>
                <w:top w:val="nil"/>
                <w:left w:val="nil"/>
                <w:bottom w:val="nil"/>
                <w:right w:val="nil"/>
              </w:pBdr>
              <w:rPr>
                <w:color w:val="FFFFFF"/>
                <w:sz w:val="20"/>
              </w:rPr>
            </w:pPr>
            <w:r>
              <w:rPr>
                <w:color w:val="FFFFFF"/>
              </w:rPr>
              <w:t>March 26, 2014</w:t>
            </w:r>
            <w:r w:rsidRPr="002D0E07">
              <w:rPr>
                <w:color w:val="FFFFFF"/>
              </w:rPr>
              <w:t xml:space="preserve"> </w:t>
            </w:r>
            <w:r w:rsidRPr="00ED1A81">
              <w:rPr>
                <w:color w:val="FFFFFF"/>
                <w:sz w:val="20"/>
              </w:rPr>
              <w:t>(adoption of the Concluding Observations)</w:t>
            </w:r>
          </w:p>
          <w:p w14:paraId="42289C34" w14:textId="77777777" w:rsidR="00B85E0C" w:rsidRPr="00F119F6" w:rsidRDefault="00B85E0C" w:rsidP="00A926A8">
            <w:pPr>
              <w:pBdr>
                <w:top w:val="nil"/>
                <w:left w:val="nil"/>
                <w:bottom w:val="nil"/>
                <w:right w:val="nil"/>
              </w:pBdr>
              <w:rPr>
                <w:color w:val="FFFFFF"/>
                <w:sz w:val="20"/>
              </w:rPr>
            </w:pPr>
            <w:r>
              <w:rPr>
                <w:color w:val="FFFFFF"/>
              </w:rPr>
              <w:t>March 26, 2015</w:t>
            </w:r>
            <w:r w:rsidRPr="002D0E07">
              <w:rPr>
                <w:color w:val="FFFFFF"/>
              </w:rPr>
              <w:t xml:space="preserve"> </w:t>
            </w:r>
            <w:r w:rsidRPr="00ED1A81">
              <w:rPr>
                <w:color w:val="FFFFFF"/>
                <w:sz w:val="20"/>
              </w:rPr>
              <w:t>(Deadline for the State follow-up report)</w:t>
            </w:r>
          </w:p>
          <w:p w14:paraId="2AFD50A8" w14:textId="77777777" w:rsidR="00B85E0C" w:rsidRPr="002D0E07" w:rsidRDefault="00B85E0C" w:rsidP="00A926A8">
            <w:pPr>
              <w:pBdr>
                <w:top w:val="nil"/>
                <w:left w:val="nil"/>
                <w:bottom w:val="nil"/>
                <w:right w:val="nil"/>
              </w:pBdr>
              <w:rPr>
                <w:color w:val="FFFFFF"/>
              </w:rPr>
            </w:pPr>
          </w:p>
          <w:p w14:paraId="530C07BC" w14:textId="5BBDFAC2" w:rsidR="00B85E0C" w:rsidRPr="002D0E07" w:rsidRDefault="00B85E0C" w:rsidP="00F45C61">
            <w:pPr>
              <w:pBdr>
                <w:top w:val="nil"/>
                <w:left w:val="nil"/>
                <w:bottom w:val="nil"/>
                <w:right w:val="nil"/>
              </w:pBdr>
              <w:rPr>
                <w:color w:val="FFFFFF"/>
                <w:sz w:val="20"/>
                <w:szCs w:val="20"/>
              </w:rPr>
            </w:pPr>
            <w:r w:rsidRPr="002D0E07">
              <w:rPr>
                <w:color w:val="FFFFFF"/>
              </w:rPr>
              <w:t xml:space="preserve">Current Status: </w:t>
            </w:r>
            <w:r w:rsidRPr="008614DE">
              <w:rPr>
                <w:color w:val="FFFFFF"/>
                <w:highlight w:val="darkGreen"/>
              </w:rPr>
              <w:t xml:space="preserve">Report of the State </w:t>
            </w:r>
            <w:r w:rsidR="00F45C61">
              <w:rPr>
                <w:color w:val="FFFFFF"/>
                <w:highlight w:val="darkGreen"/>
              </w:rPr>
              <w:t xml:space="preserve">submitted on April 1, 2015 </w:t>
            </w:r>
          </w:p>
        </w:tc>
      </w:tr>
    </w:tbl>
    <w:p w14:paraId="5F06970C" w14:textId="77777777" w:rsidR="00B85E0C" w:rsidRPr="00940409" w:rsidRDefault="00B85E0C" w:rsidP="00B85E0C">
      <w:pPr>
        <w:rPr>
          <w:sz w:val="10"/>
          <w:szCs w:val="10"/>
        </w:rPr>
      </w:pPr>
    </w:p>
    <w:p w14:paraId="1ADD9D00" w14:textId="77777777" w:rsidR="00B85E0C" w:rsidRPr="00163C82" w:rsidRDefault="00B85E0C" w:rsidP="00B85E0C">
      <w:pPr>
        <w:jc w:val="center"/>
        <w:rPr>
          <w:b/>
          <w:sz w:val="24"/>
          <w:szCs w:val="24"/>
        </w:rPr>
      </w:pPr>
      <w:r w:rsidRPr="00163C82">
        <w:rPr>
          <w:b/>
          <w:sz w:val="24"/>
          <w:szCs w:val="24"/>
        </w:rPr>
        <w:t xml:space="preserve">The </w:t>
      </w:r>
      <w:proofErr w:type="spellStart"/>
      <w:r w:rsidRPr="00163C82">
        <w:rPr>
          <w:b/>
          <w:sz w:val="24"/>
          <w:szCs w:val="24"/>
        </w:rPr>
        <w:t>Center</w:t>
      </w:r>
      <w:proofErr w:type="spellEnd"/>
      <w:r w:rsidRPr="00163C82">
        <w:rPr>
          <w:b/>
          <w:sz w:val="24"/>
          <w:szCs w:val="24"/>
        </w:rPr>
        <w:t xml:space="preserve"> for Victims of Torture</w:t>
      </w:r>
    </w:p>
    <w:p w14:paraId="0463B0C8" w14:textId="77777777" w:rsidR="00F45C61" w:rsidRDefault="00F45C61" w:rsidP="00F45C61">
      <w:pPr>
        <w:pStyle w:val="ListParagraph"/>
        <w:numPr>
          <w:ilvl w:val="0"/>
          <w:numId w:val="2"/>
        </w:numPr>
        <w:jc w:val="both"/>
        <w:rPr>
          <w:b/>
          <w:sz w:val="24"/>
          <w:szCs w:val="24"/>
        </w:rPr>
      </w:pPr>
      <w:r>
        <w:rPr>
          <w:b/>
          <w:sz w:val="24"/>
          <w:szCs w:val="24"/>
        </w:rPr>
        <w:t xml:space="preserve">The </w:t>
      </w:r>
      <w:proofErr w:type="spellStart"/>
      <w:r>
        <w:rPr>
          <w:b/>
          <w:sz w:val="24"/>
          <w:szCs w:val="24"/>
        </w:rPr>
        <w:t>Center</w:t>
      </w:r>
      <w:proofErr w:type="spellEnd"/>
      <w:r>
        <w:rPr>
          <w:b/>
          <w:sz w:val="24"/>
          <w:szCs w:val="24"/>
        </w:rPr>
        <w:t xml:space="preserve"> for Victims of Torture (CVT) is an international non-governmental organization dedicated to healing survivors of torture and to work for a world without torture. We provide direct care for those who have been tortured, build the capacity of partners who work to prevent and treat torture, and advocate for an end to torture. CVT is headquartered in Minneapolis, MN with offices in Washington, D.C., Jordan, Ethiopia, and Kenya. For further information, please consult CVT’s website at </w:t>
      </w:r>
      <w:hyperlink r:id="rId9" w:history="1">
        <w:r>
          <w:rPr>
            <w:rStyle w:val="Hyperlink"/>
            <w:b/>
            <w:sz w:val="24"/>
            <w:szCs w:val="24"/>
          </w:rPr>
          <w:t>www.cvt.org</w:t>
        </w:r>
      </w:hyperlink>
      <w:r>
        <w:rPr>
          <w:b/>
          <w:sz w:val="24"/>
          <w:szCs w:val="24"/>
        </w:rPr>
        <w:t xml:space="preserve">. </w:t>
      </w:r>
    </w:p>
    <w:p w14:paraId="2A3A1A5B" w14:textId="77777777" w:rsidR="00B85E0C" w:rsidRPr="007E2E1F" w:rsidRDefault="00B85E0C" w:rsidP="000340D2">
      <w:pPr>
        <w:pStyle w:val="ListParagraph"/>
        <w:numPr>
          <w:ilvl w:val="0"/>
          <w:numId w:val="2"/>
        </w:numPr>
        <w:jc w:val="both"/>
        <w:rPr>
          <w:b/>
          <w:sz w:val="24"/>
          <w:szCs w:val="24"/>
        </w:rPr>
      </w:pPr>
      <w:r w:rsidRPr="007E2E1F">
        <w:rPr>
          <w:b/>
          <w:sz w:val="24"/>
          <w:szCs w:val="24"/>
        </w:rPr>
        <w:t xml:space="preserve">This Advocacy Report Card will </w:t>
      </w:r>
      <w:proofErr w:type="gramStart"/>
      <w:r w:rsidRPr="007E2E1F">
        <w:rPr>
          <w:b/>
          <w:sz w:val="24"/>
          <w:szCs w:val="24"/>
        </w:rPr>
        <w:t>Assess</w:t>
      </w:r>
      <w:proofErr w:type="gramEnd"/>
      <w:r w:rsidRPr="007E2E1F">
        <w:rPr>
          <w:b/>
          <w:sz w:val="24"/>
          <w:szCs w:val="24"/>
        </w:rPr>
        <w:t xml:space="preserve">: </w:t>
      </w:r>
      <w:r w:rsidR="000340D2" w:rsidRPr="007E2E1F">
        <w:rPr>
          <w:b/>
          <w:sz w:val="24"/>
          <w:szCs w:val="24"/>
        </w:rPr>
        <w:t>Accountabil</w:t>
      </w:r>
      <w:r w:rsidR="007E2E1F">
        <w:rPr>
          <w:b/>
          <w:sz w:val="24"/>
          <w:szCs w:val="24"/>
        </w:rPr>
        <w:t>ity for human rights violations</w:t>
      </w:r>
      <w:r w:rsidR="000340D2" w:rsidRPr="007E2E1F">
        <w:rPr>
          <w:b/>
          <w:sz w:val="24"/>
          <w:szCs w:val="24"/>
        </w:rPr>
        <w:t xml:space="preserve"> </w:t>
      </w:r>
      <w:r w:rsidR="007E2E1F">
        <w:rPr>
          <w:b/>
          <w:sz w:val="24"/>
          <w:szCs w:val="24"/>
        </w:rPr>
        <w:t>(</w:t>
      </w:r>
      <w:r w:rsidR="000340D2" w:rsidRPr="007E2E1F">
        <w:rPr>
          <w:b/>
          <w:sz w:val="24"/>
          <w:szCs w:val="24"/>
        </w:rPr>
        <w:t>Paragraph 5</w:t>
      </w:r>
      <w:r w:rsidR="007E2E1F">
        <w:rPr>
          <w:b/>
          <w:sz w:val="24"/>
          <w:szCs w:val="24"/>
        </w:rPr>
        <w:t>) and Detainees at Guantanamo</w:t>
      </w:r>
      <w:r w:rsidR="000340D2" w:rsidRPr="007E2E1F">
        <w:rPr>
          <w:b/>
          <w:sz w:val="24"/>
          <w:szCs w:val="24"/>
        </w:rPr>
        <w:t xml:space="preserve"> </w:t>
      </w:r>
      <w:r w:rsidR="007E2E1F">
        <w:rPr>
          <w:b/>
          <w:sz w:val="24"/>
          <w:szCs w:val="24"/>
        </w:rPr>
        <w:t>(</w:t>
      </w:r>
      <w:r w:rsidR="000340D2" w:rsidRPr="007E2E1F">
        <w:rPr>
          <w:b/>
          <w:sz w:val="24"/>
          <w:szCs w:val="24"/>
        </w:rPr>
        <w:t>Paragraph 21</w:t>
      </w:r>
      <w:r w:rsidR="007E2E1F">
        <w:rPr>
          <w:b/>
          <w:sz w:val="24"/>
          <w:szCs w:val="24"/>
        </w:rPr>
        <w:t>)</w:t>
      </w:r>
      <w:r w:rsidR="000340D2" w:rsidRPr="007E2E1F">
        <w:rPr>
          <w:b/>
          <w:sz w:val="24"/>
          <w:szCs w:val="24"/>
        </w:rPr>
        <w:t>.</w:t>
      </w:r>
      <w:r w:rsidR="000340D2" w:rsidRPr="007E2E1F">
        <w:rPr>
          <w:sz w:val="24"/>
          <w:szCs w:val="24"/>
        </w:rPr>
        <w:t xml:space="preserve"> </w:t>
      </w:r>
    </w:p>
    <w:p w14:paraId="1211D4D3" w14:textId="77777777" w:rsidR="00B85E0C" w:rsidRPr="007E2E1F" w:rsidRDefault="00B85E0C" w:rsidP="000340D2">
      <w:pPr>
        <w:jc w:val="both"/>
        <w:rPr>
          <w:b/>
          <w:sz w:val="24"/>
          <w:szCs w:val="24"/>
        </w:rPr>
      </w:pPr>
    </w:p>
    <w:p w14:paraId="511E6C3B" w14:textId="77777777" w:rsidR="00B85E0C" w:rsidRPr="00163C82" w:rsidRDefault="00B85E0C" w:rsidP="000340D2">
      <w:pPr>
        <w:jc w:val="center"/>
        <w:rPr>
          <w:i/>
          <w:sz w:val="24"/>
          <w:szCs w:val="24"/>
        </w:rPr>
      </w:pPr>
      <w:r w:rsidRPr="007E2E1F">
        <w:rPr>
          <w:i/>
          <w:sz w:val="24"/>
          <w:szCs w:val="24"/>
        </w:rPr>
        <w:t xml:space="preserve">As of </w:t>
      </w:r>
      <w:r w:rsidR="000340D2" w:rsidRPr="007E2E1F">
        <w:rPr>
          <w:i/>
          <w:sz w:val="24"/>
          <w:szCs w:val="24"/>
        </w:rPr>
        <w:t>26</w:t>
      </w:r>
      <w:r w:rsidRPr="007E2E1F">
        <w:rPr>
          <w:i/>
          <w:sz w:val="24"/>
          <w:szCs w:val="24"/>
        </w:rPr>
        <w:t xml:space="preserve"> / </w:t>
      </w:r>
      <w:r w:rsidR="000340D2" w:rsidRPr="007E2E1F">
        <w:rPr>
          <w:i/>
          <w:sz w:val="24"/>
          <w:szCs w:val="24"/>
        </w:rPr>
        <w:t>MARCH</w:t>
      </w:r>
      <w:r w:rsidRPr="007E2E1F">
        <w:rPr>
          <w:i/>
          <w:sz w:val="24"/>
          <w:szCs w:val="24"/>
        </w:rPr>
        <w:t xml:space="preserve"> / 2015</w:t>
      </w:r>
    </w:p>
    <w:p w14:paraId="172AFB83" w14:textId="77777777" w:rsidR="00B85E0C" w:rsidRPr="00163C82" w:rsidRDefault="00B85E0C" w:rsidP="00B85E0C">
      <w:pPr>
        <w:rPr>
          <w:rFonts w:asciiTheme="majorHAnsi" w:hAnsiTheme="majorHAnsi"/>
          <w:sz w:val="24"/>
          <w:szCs w:val="24"/>
        </w:rPr>
      </w:pPr>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4"/>
        <w:gridCol w:w="10024"/>
      </w:tblGrid>
      <w:tr w:rsidR="00B85E0C" w:rsidRPr="00163C82" w14:paraId="75321E0F" w14:textId="77777777" w:rsidTr="00A926A8">
        <w:trPr>
          <w:trHeight w:val="322"/>
          <w:jc w:val="center"/>
        </w:trPr>
        <w:tc>
          <w:tcPr>
            <w:tcW w:w="10808" w:type="dxa"/>
            <w:gridSpan w:val="2"/>
            <w:tcBorders>
              <w:bottom w:val="single" w:sz="18" w:space="0" w:color="auto"/>
            </w:tcBorders>
            <w:vAlign w:val="center"/>
          </w:tcPr>
          <w:p w14:paraId="66FF8F87" w14:textId="77777777" w:rsidR="00B85E0C" w:rsidRPr="00163C82" w:rsidRDefault="00B85E0C" w:rsidP="00A926A8">
            <w:pPr>
              <w:pStyle w:val="Header"/>
              <w:tabs>
                <w:tab w:val="clear" w:pos="4320"/>
                <w:tab w:val="clear" w:pos="8640"/>
              </w:tabs>
              <w:ind w:right="-153"/>
              <w:rPr>
                <w:rFonts w:asciiTheme="majorHAnsi" w:hAnsiTheme="majorHAnsi"/>
                <w:b/>
              </w:rPr>
            </w:pPr>
            <w:r w:rsidRPr="00163C82">
              <w:rPr>
                <w:rFonts w:asciiTheme="majorHAnsi" w:hAnsiTheme="majorHAnsi"/>
                <w:b/>
              </w:rPr>
              <w:t>Assessment Grades of the Human Rights Committee for the State follow-up Reply/Action:</w:t>
            </w:r>
            <w:r w:rsidRPr="00163C82">
              <w:rPr>
                <w:rStyle w:val="FootnoteReference"/>
                <w:rFonts w:asciiTheme="majorHAnsi" w:hAnsiTheme="majorHAnsi"/>
              </w:rPr>
              <w:t xml:space="preserve"> </w:t>
            </w:r>
            <w:r w:rsidRPr="00163C82">
              <w:rPr>
                <w:rStyle w:val="FootnoteReference"/>
                <w:rFonts w:asciiTheme="majorHAnsi" w:hAnsiTheme="majorHAnsi"/>
              </w:rPr>
              <w:footnoteReference w:id="1"/>
            </w:r>
          </w:p>
        </w:tc>
      </w:tr>
      <w:tr w:rsidR="00B85E0C" w:rsidRPr="00163C82" w14:paraId="16F7071C" w14:textId="77777777" w:rsidTr="00A926A8">
        <w:trPr>
          <w:trHeight w:val="322"/>
          <w:jc w:val="center"/>
        </w:trPr>
        <w:tc>
          <w:tcPr>
            <w:tcW w:w="10808" w:type="dxa"/>
            <w:gridSpan w:val="2"/>
            <w:tcBorders>
              <w:top w:val="single" w:sz="18" w:space="0" w:color="auto"/>
            </w:tcBorders>
            <w:vAlign w:val="center"/>
          </w:tcPr>
          <w:p w14:paraId="1EB8147F" w14:textId="77777777" w:rsidR="00B85E0C" w:rsidRPr="00163C82" w:rsidRDefault="00B85E0C" w:rsidP="00A926A8">
            <w:pPr>
              <w:pStyle w:val="Header"/>
              <w:tabs>
                <w:tab w:val="clear" w:pos="4320"/>
                <w:tab w:val="clear" w:pos="8640"/>
              </w:tabs>
              <w:ind w:right="-153"/>
              <w:rPr>
                <w:rFonts w:asciiTheme="majorHAnsi" w:hAnsiTheme="majorHAnsi"/>
                <w:b/>
              </w:rPr>
            </w:pPr>
            <w:r w:rsidRPr="00163C82">
              <w:rPr>
                <w:rFonts w:asciiTheme="majorHAnsi" w:hAnsiTheme="majorHAnsi"/>
                <w:b/>
              </w:rPr>
              <w:t xml:space="preserve">Reply/Action of the State party satisfactory:  </w:t>
            </w:r>
          </w:p>
        </w:tc>
      </w:tr>
      <w:tr w:rsidR="00B85E0C" w:rsidRPr="00163C82" w14:paraId="14E935F2" w14:textId="77777777" w:rsidTr="00A926A8">
        <w:trPr>
          <w:trHeight w:val="322"/>
          <w:jc w:val="center"/>
        </w:trPr>
        <w:tc>
          <w:tcPr>
            <w:tcW w:w="784" w:type="dxa"/>
            <w:tcBorders>
              <w:top w:val="nil"/>
            </w:tcBorders>
            <w:vAlign w:val="center"/>
          </w:tcPr>
          <w:p w14:paraId="1DD86EC7" w14:textId="77777777" w:rsidR="00B85E0C" w:rsidRPr="00163C82" w:rsidRDefault="00B85E0C" w:rsidP="00A926A8">
            <w:pPr>
              <w:pStyle w:val="Header"/>
              <w:tabs>
                <w:tab w:val="clear" w:pos="4320"/>
                <w:tab w:val="clear" w:pos="8640"/>
              </w:tabs>
              <w:ind w:right="-153"/>
              <w:rPr>
                <w:rFonts w:asciiTheme="majorHAnsi" w:hAnsiTheme="majorHAnsi"/>
              </w:rPr>
            </w:pPr>
            <w:r w:rsidRPr="00163C82">
              <w:rPr>
                <w:rFonts w:asciiTheme="majorHAnsi" w:hAnsiTheme="majorHAnsi"/>
              </w:rPr>
              <w:t>A:</w:t>
            </w:r>
          </w:p>
        </w:tc>
        <w:tc>
          <w:tcPr>
            <w:tcW w:w="10024" w:type="dxa"/>
            <w:tcBorders>
              <w:top w:val="nil"/>
            </w:tcBorders>
            <w:vAlign w:val="center"/>
          </w:tcPr>
          <w:p w14:paraId="131E8536" w14:textId="77777777" w:rsidR="00B85E0C" w:rsidRPr="00163C82" w:rsidRDefault="00B85E0C" w:rsidP="00A926A8">
            <w:pPr>
              <w:pStyle w:val="Header"/>
              <w:tabs>
                <w:tab w:val="clear" w:pos="4320"/>
                <w:tab w:val="clear" w:pos="8640"/>
              </w:tabs>
              <w:ind w:right="-153"/>
              <w:rPr>
                <w:rFonts w:asciiTheme="majorHAnsi" w:hAnsiTheme="majorHAnsi"/>
              </w:rPr>
            </w:pPr>
            <w:r w:rsidRPr="00163C82">
              <w:rPr>
                <w:rFonts w:asciiTheme="majorHAnsi" w:hAnsiTheme="majorHAnsi"/>
              </w:rPr>
              <w:t>Response largely satisfactory</w:t>
            </w:r>
          </w:p>
        </w:tc>
      </w:tr>
      <w:tr w:rsidR="00B85E0C" w:rsidRPr="00163C82" w14:paraId="656607FF" w14:textId="77777777" w:rsidTr="00A926A8">
        <w:trPr>
          <w:trHeight w:val="322"/>
          <w:jc w:val="center"/>
        </w:trPr>
        <w:tc>
          <w:tcPr>
            <w:tcW w:w="10808" w:type="dxa"/>
            <w:gridSpan w:val="2"/>
            <w:tcBorders>
              <w:top w:val="nil"/>
            </w:tcBorders>
            <w:vAlign w:val="center"/>
          </w:tcPr>
          <w:p w14:paraId="51C749C6" w14:textId="77777777" w:rsidR="00B85E0C" w:rsidRPr="00163C82" w:rsidRDefault="00B85E0C" w:rsidP="00A926A8">
            <w:pPr>
              <w:pStyle w:val="Header"/>
              <w:tabs>
                <w:tab w:val="clear" w:pos="4320"/>
                <w:tab w:val="clear" w:pos="8640"/>
              </w:tabs>
              <w:ind w:right="-153"/>
              <w:rPr>
                <w:rFonts w:asciiTheme="majorHAnsi" w:hAnsiTheme="majorHAnsi"/>
                <w:b/>
              </w:rPr>
            </w:pPr>
            <w:r w:rsidRPr="00163C82">
              <w:rPr>
                <w:rFonts w:asciiTheme="majorHAnsi" w:hAnsiTheme="majorHAnsi"/>
                <w:b/>
              </w:rPr>
              <w:t>Reply/Action of the State party partially satisfactory:</w:t>
            </w:r>
          </w:p>
        </w:tc>
      </w:tr>
      <w:tr w:rsidR="00B85E0C" w:rsidRPr="00163C82" w14:paraId="2BECC1F2" w14:textId="77777777" w:rsidTr="00A926A8">
        <w:trPr>
          <w:trHeight w:val="322"/>
          <w:jc w:val="center"/>
        </w:trPr>
        <w:tc>
          <w:tcPr>
            <w:tcW w:w="784" w:type="dxa"/>
            <w:tcBorders>
              <w:top w:val="nil"/>
            </w:tcBorders>
            <w:vAlign w:val="center"/>
          </w:tcPr>
          <w:p w14:paraId="164D9E07" w14:textId="77777777" w:rsidR="00B85E0C" w:rsidRPr="00163C82" w:rsidRDefault="00B85E0C" w:rsidP="00A926A8">
            <w:pPr>
              <w:pStyle w:val="Header"/>
              <w:tabs>
                <w:tab w:val="clear" w:pos="4320"/>
                <w:tab w:val="clear" w:pos="8640"/>
              </w:tabs>
              <w:ind w:right="-153"/>
              <w:rPr>
                <w:rFonts w:asciiTheme="majorHAnsi" w:hAnsiTheme="majorHAnsi"/>
              </w:rPr>
            </w:pPr>
            <w:r w:rsidRPr="00163C82">
              <w:rPr>
                <w:rFonts w:asciiTheme="majorHAnsi" w:hAnsiTheme="majorHAnsi"/>
              </w:rPr>
              <w:t>B1:</w:t>
            </w:r>
          </w:p>
        </w:tc>
        <w:tc>
          <w:tcPr>
            <w:tcW w:w="10024" w:type="dxa"/>
            <w:tcBorders>
              <w:top w:val="nil"/>
            </w:tcBorders>
            <w:vAlign w:val="center"/>
          </w:tcPr>
          <w:p w14:paraId="3AB42499" w14:textId="77777777" w:rsidR="00B85E0C" w:rsidRPr="00163C82" w:rsidRDefault="00B85E0C" w:rsidP="00A926A8">
            <w:pPr>
              <w:pStyle w:val="Header"/>
              <w:tabs>
                <w:tab w:val="clear" w:pos="4320"/>
                <w:tab w:val="clear" w:pos="8640"/>
              </w:tabs>
              <w:ind w:right="-153"/>
              <w:rPr>
                <w:rFonts w:asciiTheme="majorHAnsi" w:hAnsiTheme="majorHAnsi"/>
              </w:rPr>
            </w:pPr>
            <w:r w:rsidRPr="00163C82">
              <w:rPr>
                <w:rFonts w:asciiTheme="majorHAnsi" w:hAnsiTheme="majorHAnsi"/>
              </w:rPr>
              <w:t>Substantive action taken, but additional information required</w:t>
            </w:r>
          </w:p>
        </w:tc>
      </w:tr>
      <w:tr w:rsidR="00B85E0C" w:rsidRPr="00163C82" w14:paraId="45E35FC5" w14:textId="77777777" w:rsidTr="00A926A8">
        <w:trPr>
          <w:trHeight w:val="322"/>
          <w:jc w:val="center"/>
        </w:trPr>
        <w:tc>
          <w:tcPr>
            <w:tcW w:w="784" w:type="dxa"/>
            <w:tcBorders>
              <w:top w:val="nil"/>
            </w:tcBorders>
            <w:vAlign w:val="center"/>
          </w:tcPr>
          <w:p w14:paraId="34D93BE1" w14:textId="77777777" w:rsidR="00B85E0C" w:rsidRPr="00163C82" w:rsidRDefault="00B85E0C" w:rsidP="00A926A8">
            <w:pPr>
              <w:pStyle w:val="Header"/>
              <w:tabs>
                <w:tab w:val="clear" w:pos="4320"/>
                <w:tab w:val="clear" w:pos="8640"/>
              </w:tabs>
              <w:ind w:right="-153"/>
              <w:rPr>
                <w:rFonts w:asciiTheme="majorHAnsi" w:hAnsiTheme="majorHAnsi"/>
              </w:rPr>
            </w:pPr>
            <w:r w:rsidRPr="00163C82">
              <w:rPr>
                <w:rFonts w:asciiTheme="majorHAnsi" w:hAnsiTheme="majorHAnsi"/>
              </w:rPr>
              <w:t>B2:</w:t>
            </w:r>
          </w:p>
        </w:tc>
        <w:tc>
          <w:tcPr>
            <w:tcW w:w="10024" w:type="dxa"/>
            <w:tcBorders>
              <w:top w:val="nil"/>
            </w:tcBorders>
            <w:vAlign w:val="center"/>
          </w:tcPr>
          <w:p w14:paraId="0CDAEDD9" w14:textId="77777777" w:rsidR="00B85E0C" w:rsidRPr="00163C82" w:rsidRDefault="00B85E0C" w:rsidP="00A926A8">
            <w:pPr>
              <w:pStyle w:val="Header"/>
              <w:tabs>
                <w:tab w:val="clear" w:pos="4320"/>
                <w:tab w:val="clear" w:pos="8640"/>
              </w:tabs>
              <w:ind w:right="-153"/>
              <w:rPr>
                <w:rFonts w:asciiTheme="majorHAnsi" w:hAnsiTheme="majorHAnsi"/>
              </w:rPr>
            </w:pPr>
            <w:r w:rsidRPr="00163C82">
              <w:rPr>
                <w:rFonts w:asciiTheme="majorHAnsi" w:hAnsiTheme="majorHAnsi"/>
              </w:rPr>
              <w:t>Initial action taken, but additional information and measures required</w:t>
            </w:r>
          </w:p>
        </w:tc>
      </w:tr>
      <w:tr w:rsidR="00B85E0C" w:rsidRPr="00163C82" w14:paraId="605D8BCC" w14:textId="77777777" w:rsidTr="00A926A8">
        <w:trPr>
          <w:trHeight w:val="322"/>
          <w:jc w:val="center"/>
        </w:trPr>
        <w:tc>
          <w:tcPr>
            <w:tcW w:w="10808" w:type="dxa"/>
            <w:gridSpan w:val="2"/>
            <w:tcBorders>
              <w:top w:val="nil"/>
            </w:tcBorders>
            <w:vAlign w:val="center"/>
          </w:tcPr>
          <w:p w14:paraId="3EDDDC69" w14:textId="77777777" w:rsidR="00B85E0C" w:rsidRPr="00163C82" w:rsidRDefault="00B85E0C" w:rsidP="00A926A8">
            <w:pPr>
              <w:pStyle w:val="Header"/>
              <w:tabs>
                <w:tab w:val="clear" w:pos="4320"/>
                <w:tab w:val="clear" w:pos="8640"/>
              </w:tabs>
              <w:ind w:right="-153"/>
              <w:rPr>
                <w:rFonts w:asciiTheme="majorHAnsi" w:hAnsiTheme="majorHAnsi"/>
                <w:b/>
              </w:rPr>
            </w:pPr>
            <w:r w:rsidRPr="00163C82">
              <w:rPr>
                <w:rFonts w:asciiTheme="majorHAnsi" w:hAnsiTheme="majorHAnsi"/>
                <w:b/>
              </w:rPr>
              <w:t>Reply/Action of the State party not satisfactory</w:t>
            </w:r>
          </w:p>
        </w:tc>
      </w:tr>
      <w:tr w:rsidR="00B85E0C" w:rsidRPr="00163C82" w14:paraId="684EB015" w14:textId="77777777" w:rsidTr="00A926A8">
        <w:trPr>
          <w:trHeight w:val="322"/>
          <w:jc w:val="center"/>
        </w:trPr>
        <w:tc>
          <w:tcPr>
            <w:tcW w:w="784" w:type="dxa"/>
            <w:tcBorders>
              <w:top w:val="nil"/>
            </w:tcBorders>
            <w:vAlign w:val="center"/>
          </w:tcPr>
          <w:p w14:paraId="7FC90146" w14:textId="77777777" w:rsidR="00B85E0C" w:rsidRPr="00163C82" w:rsidRDefault="00B85E0C" w:rsidP="00A926A8">
            <w:pPr>
              <w:pStyle w:val="Header"/>
              <w:tabs>
                <w:tab w:val="clear" w:pos="4320"/>
                <w:tab w:val="clear" w:pos="8640"/>
              </w:tabs>
              <w:ind w:right="-153"/>
              <w:rPr>
                <w:rFonts w:asciiTheme="majorHAnsi" w:hAnsiTheme="majorHAnsi"/>
              </w:rPr>
            </w:pPr>
            <w:r w:rsidRPr="00163C82">
              <w:rPr>
                <w:rFonts w:asciiTheme="majorHAnsi" w:hAnsiTheme="majorHAnsi"/>
              </w:rPr>
              <w:t>C1:</w:t>
            </w:r>
          </w:p>
        </w:tc>
        <w:tc>
          <w:tcPr>
            <w:tcW w:w="10024" w:type="dxa"/>
            <w:tcBorders>
              <w:top w:val="nil"/>
            </w:tcBorders>
            <w:vAlign w:val="center"/>
          </w:tcPr>
          <w:p w14:paraId="5D42D769" w14:textId="77777777" w:rsidR="00B85E0C" w:rsidRPr="00163C82" w:rsidRDefault="00B85E0C" w:rsidP="00A926A8">
            <w:pPr>
              <w:widowControl w:val="0"/>
              <w:suppressAutoHyphens w:val="0"/>
              <w:autoSpaceDE w:val="0"/>
              <w:autoSpaceDN w:val="0"/>
              <w:adjustRightInd w:val="0"/>
              <w:rPr>
                <w:rFonts w:asciiTheme="majorHAnsi" w:eastAsiaTheme="minorEastAsia" w:hAnsiTheme="majorHAnsi" w:cs="Times"/>
                <w:lang w:val="en-US"/>
              </w:rPr>
            </w:pPr>
            <w:r w:rsidRPr="00163C82">
              <w:rPr>
                <w:rFonts w:asciiTheme="majorHAnsi" w:hAnsiTheme="majorHAnsi"/>
              </w:rPr>
              <w:t>R</w:t>
            </w:r>
            <w:proofErr w:type="spellStart"/>
            <w:r w:rsidRPr="00163C82">
              <w:rPr>
                <w:rFonts w:asciiTheme="majorHAnsi" w:eastAsiaTheme="minorEastAsia" w:hAnsiTheme="majorHAnsi" w:cs="Times"/>
                <w:lang w:val="en-US"/>
              </w:rPr>
              <w:t>esponse</w:t>
            </w:r>
            <w:proofErr w:type="spellEnd"/>
            <w:r w:rsidRPr="00163C82">
              <w:rPr>
                <w:rFonts w:asciiTheme="majorHAnsi" w:eastAsiaTheme="minorEastAsia" w:hAnsiTheme="majorHAnsi" w:cs="Times"/>
                <w:lang w:val="en-US"/>
              </w:rPr>
              <w:t xml:space="preserve"> received but actions taken do not implement the recommendation</w:t>
            </w:r>
          </w:p>
        </w:tc>
      </w:tr>
      <w:tr w:rsidR="00B85E0C" w:rsidRPr="00163C82" w14:paraId="621BCE16" w14:textId="77777777" w:rsidTr="00A926A8">
        <w:trPr>
          <w:trHeight w:val="322"/>
          <w:jc w:val="center"/>
        </w:trPr>
        <w:tc>
          <w:tcPr>
            <w:tcW w:w="784" w:type="dxa"/>
            <w:tcBorders>
              <w:top w:val="nil"/>
            </w:tcBorders>
            <w:vAlign w:val="center"/>
          </w:tcPr>
          <w:p w14:paraId="2DC606C6" w14:textId="77777777" w:rsidR="00B85E0C" w:rsidRPr="00163C82" w:rsidRDefault="00B85E0C" w:rsidP="00A926A8">
            <w:pPr>
              <w:pStyle w:val="Header"/>
              <w:tabs>
                <w:tab w:val="clear" w:pos="4320"/>
                <w:tab w:val="clear" w:pos="8640"/>
              </w:tabs>
              <w:ind w:right="-153"/>
              <w:rPr>
                <w:rFonts w:asciiTheme="majorHAnsi" w:hAnsiTheme="majorHAnsi"/>
              </w:rPr>
            </w:pPr>
            <w:r w:rsidRPr="00163C82">
              <w:rPr>
                <w:rFonts w:asciiTheme="majorHAnsi" w:hAnsiTheme="majorHAnsi"/>
              </w:rPr>
              <w:t>C2:</w:t>
            </w:r>
          </w:p>
        </w:tc>
        <w:tc>
          <w:tcPr>
            <w:tcW w:w="10024" w:type="dxa"/>
            <w:tcBorders>
              <w:top w:val="nil"/>
            </w:tcBorders>
            <w:vAlign w:val="center"/>
          </w:tcPr>
          <w:p w14:paraId="20FE980C" w14:textId="77777777" w:rsidR="00B85E0C" w:rsidRPr="00163C82" w:rsidRDefault="00B85E0C" w:rsidP="00A926A8">
            <w:pPr>
              <w:widowControl w:val="0"/>
              <w:suppressAutoHyphens w:val="0"/>
              <w:autoSpaceDE w:val="0"/>
              <w:autoSpaceDN w:val="0"/>
              <w:adjustRightInd w:val="0"/>
              <w:rPr>
                <w:rFonts w:asciiTheme="majorHAnsi" w:eastAsiaTheme="minorEastAsia" w:hAnsiTheme="majorHAnsi" w:cs="Times"/>
                <w:lang w:val="en-US"/>
              </w:rPr>
            </w:pPr>
            <w:r w:rsidRPr="00163C82">
              <w:rPr>
                <w:rFonts w:asciiTheme="majorHAnsi" w:eastAsiaTheme="minorEastAsia" w:hAnsiTheme="majorHAnsi" w:cs="Times"/>
                <w:lang w:val="en-US"/>
              </w:rPr>
              <w:t>Response received but not relevant to the recommendations</w:t>
            </w:r>
          </w:p>
        </w:tc>
      </w:tr>
      <w:tr w:rsidR="00B85E0C" w:rsidRPr="00163C82" w14:paraId="1AABBB6D" w14:textId="77777777" w:rsidTr="00A926A8">
        <w:trPr>
          <w:trHeight w:val="322"/>
          <w:jc w:val="center"/>
        </w:trPr>
        <w:tc>
          <w:tcPr>
            <w:tcW w:w="10808" w:type="dxa"/>
            <w:gridSpan w:val="2"/>
            <w:tcBorders>
              <w:top w:val="nil"/>
            </w:tcBorders>
            <w:vAlign w:val="center"/>
          </w:tcPr>
          <w:p w14:paraId="5FBE1801" w14:textId="77777777" w:rsidR="00B85E0C" w:rsidRPr="00163C82" w:rsidRDefault="00B85E0C" w:rsidP="00A926A8">
            <w:pPr>
              <w:pStyle w:val="Header"/>
              <w:tabs>
                <w:tab w:val="clear" w:pos="4320"/>
                <w:tab w:val="clear" w:pos="8640"/>
              </w:tabs>
              <w:ind w:right="-153"/>
              <w:rPr>
                <w:rFonts w:asciiTheme="majorHAnsi" w:hAnsiTheme="majorHAnsi"/>
                <w:b/>
              </w:rPr>
            </w:pPr>
            <w:r w:rsidRPr="00163C82">
              <w:rPr>
                <w:rFonts w:asciiTheme="majorHAnsi" w:hAnsiTheme="majorHAnsi"/>
                <w:b/>
              </w:rPr>
              <w:t>No cooperation with the Committee (NOT APPLICABLE FOR NGO REPORT)</w:t>
            </w:r>
          </w:p>
        </w:tc>
      </w:tr>
      <w:tr w:rsidR="00B85E0C" w:rsidRPr="00163C82" w14:paraId="541DED55" w14:textId="77777777" w:rsidTr="00A926A8">
        <w:trPr>
          <w:trHeight w:val="322"/>
          <w:jc w:val="center"/>
        </w:trPr>
        <w:tc>
          <w:tcPr>
            <w:tcW w:w="784" w:type="dxa"/>
            <w:tcBorders>
              <w:top w:val="nil"/>
            </w:tcBorders>
            <w:vAlign w:val="center"/>
          </w:tcPr>
          <w:p w14:paraId="49420F00" w14:textId="77777777" w:rsidR="00B85E0C" w:rsidRPr="00163C82" w:rsidRDefault="00B85E0C" w:rsidP="00A926A8">
            <w:pPr>
              <w:pStyle w:val="Header"/>
              <w:tabs>
                <w:tab w:val="clear" w:pos="4320"/>
                <w:tab w:val="clear" w:pos="8640"/>
              </w:tabs>
              <w:ind w:right="-153"/>
              <w:rPr>
                <w:rFonts w:asciiTheme="majorHAnsi" w:hAnsiTheme="majorHAnsi"/>
              </w:rPr>
            </w:pPr>
            <w:r w:rsidRPr="00163C82">
              <w:rPr>
                <w:rFonts w:asciiTheme="majorHAnsi" w:hAnsiTheme="majorHAnsi"/>
              </w:rPr>
              <w:lastRenderedPageBreak/>
              <w:t>D1:</w:t>
            </w:r>
          </w:p>
        </w:tc>
        <w:tc>
          <w:tcPr>
            <w:tcW w:w="10024" w:type="dxa"/>
            <w:tcBorders>
              <w:top w:val="nil"/>
            </w:tcBorders>
            <w:vAlign w:val="center"/>
          </w:tcPr>
          <w:p w14:paraId="06465B01" w14:textId="77777777" w:rsidR="00B85E0C" w:rsidRPr="00163C82" w:rsidRDefault="00B85E0C" w:rsidP="00A926A8">
            <w:pPr>
              <w:widowControl w:val="0"/>
              <w:suppressAutoHyphens w:val="0"/>
              <w:autoSpaceDE w:val="0"/>
              <w:autoSpaceDN w:val="0"/>
              <w:adjustRightInd w:val="0"/>
              <w:rPr>
                <w:rFonts w:asciiTheme="majorHAnsi" w:eastAsiaTheme="minorEastAsia" w:hAnsiTheme="majorHAnsi" w:cs="Times"/>
                <w:lang w:val="en-US"/>
              </w:rPr>
            </w:pPr>
            <w:r w:rsidRPr="00163C82">
              <w:rPr>
                <w:rFonts w:asciiTheme="majorHAnsi" w:eastAsiaTheme="minorEastAsia" w:hAnsiTheme="majorHAnsi" w:cs="Times"/>
                <w:lang w:val="en-US"/>
              </w:rPr>
              <w:t>No response received within the deadline, or no reply to a specific question in the report</w:t>
            </w:r>
          </w:p>
        </w:tc>
      </w:tr>
      <w:tr w:rsidR="00B85E0C" w:rsidRPr="00163C82" w14:paraId="1BC28BF8" w14:textId="77777777" w:rsidTr="00A926A8">
        <w:trPr>
          <w:trHeight w:val="322"/>
          <w:jc w:val="center"/>
        </w:trPr>
        <w:tc>
          <w:tcPr>
            <w:tcW w:w="784" w:type="dxa"/>
            <w:tcBorders>
              <w:top w:val="nil"/>
            </w:tcBorders>
            <w:vAlign w:val="center"/>
          </w:tcPr>
          <w:p w14:paraId="1B26CA05" w14:textId="77777777" w:rsidR="00B85E0C" w:rsidRPr="00163C82" w:rsidRDefault="00B85E0C" w:rsidP="00A926A8">
            <w:pPr>
              <w:pStyle w:val="Header"/>
              <w:tabs>
                <w:tab w:val="clear" w:pos="4320"/>
                <w:tab w:val="clear" w:pos="8640"/>
              </w:tabs>
              <w:ind w:right="-153"/>
              <w:rPr>
                <w:rFonts w:asciiTheme="majorHAnsi" w:hAnsiTheme="majorHAnsi"/>
              </w:rPr>
            </w:pPr>
            <w:r w:rsidRPr="00163C82">
              <w:rPr>
                <w:rFonts w:asciiTheme="majorHAnsi" w:hAnsiTheme="majorHAnsi"/>
              </w:rPr>
              <w:t>D2:</w:t>
            </w:r>
          </w:p>
        </w:tc>
        <w:tc>
          <w:tcPr>
            <w:tcW w:w="10024" w:type="dxa"/>
            <w:tcBorders>
              <w:top w:val="nil"/>
            </w:tcBorders>
            <w:vAlign w:val="center"/>
          </w:tcPr>
          <w:p w14:paraId="3A20EA1F" w14:textId="77777777" w:rsidR="00B85E0C" w:rsidRPr="00163C82" w:rsidRDefault="00B85E0C" w:rsidP="00A926A8">
            <w:pPr>
              <w:widowControl w:val="0"/>
              <w:suppressAutoHyphens w:val="0"/>
              <w:autoSpaceDE w:val="0"/>
              <w:autoSpaceDN w:val="0"/>
              <w:adjustRightInd w:val="0"/>
              <w:rPr>
                <w:rFonts w:asciiTheme="majorHAnsi" w:eastAsiaTheme="minorEastAsia" w:hAnsiTheme="majorHAnsi" w:cs="Times"/>
                <w:lang w:val="en-US"/>
              </w:rPr>
            </w:pPr>
            <w:r w:rsidRPr="00163C82">
              <w:rPr>
                <w:rFonts w:asciiTheme="majorHAnsi" w:eastAsiaTheme="minorEastAsia" w:hAnsiTheme="majorHAnsi" w:cs="Times"/>
                <w:lang w:val="en-US"/>
              </w:rPr>
              <w:t>No response received after reminder(s)</w:t>
            </w:r>
          </w:p>
        </w:tc>
      </w:tr>
      <w:tr w:rsidR="00B85E0C" w:rsidRPr="00163C82" w14:paraId="05241670" w14:textId="77777777" w:rsidTr="00A926A8">
        <w:trPr>
          <w:trHeight w:val="322"/>
          <w:jc w:val="center"/>
        </w:trPr>
        <w:tc>
          <w:tcPr>
            <w:tcW w:w="10808" w:type="dxa"/>
            <w:gridSpan w:val="2"/>
            <w:tcBorders>
              <w:top w:val="nil"/>
            </w:tcBorders>
            <w:vAlign w:val="center"/>
          </w:tcPr>
          <w:p w14:paraId="1180615E" w14:textId="77777777" w:rsidR="00B85E0C" w:rsidRPr="00163C82" w:rsidRDefault="00B85E0C" w:rsidP="00A926A8">
            <w:pPr>
              <w:pStyle w:val="Header"/>
              <w:tabs>
                <w:tab w:val="clear" w:pos="4320"/>
                <w:tab w:val="clear" w:pos="8640"/>
              </w:tabs>
              <w:ind w:right="-153"/>
              <w:rPr>
                <w:rFonts w:asciiTheme="majorHAnsi" w:hAnsiTheme="majorHAnsi"/>
                <w:b/>
              </w:rPr>
            </w:pPr>
            <w:r w:rsidRPr="00163C82">
              <w:rPr>
                <w:rFonts w:asciiTheme="majorHAnsi" w:hAnsiTheme="majorHAnsi"/>
                <w:b/>
              </w:rPr>
              <w:t>The measures taken are contrary to the Committee’s recommendations</w:t>
            </w:r>
          </w:p>
        </w:tc>
      </w:tr>
      <w:tr w:rsidR="00B85E0C" w:rsidRPr="00163C82" w14:paraId="42D47782" w14:textId="77777777" w:rsidTr="00A926A8">
        <w:trPr>
          <w:trHeight w:val="322"/>
          <w:jc w:val="center"/>
        </w:trPr>
        <w:tc>
          <w:tcPr>
            <w:tcW w:w="784" w:type="dxa"/>
            <w:tcBorders>
              <w:top w:val="nil"/>
              <w:bottom w:val="single" w:sz="18" w:space="0" w:color="auto"/>
            </w:tcBorders>
            <w:vAlign w:val="center"/>
          </w:tcPr>
          <w:p w14:paraId="547D7E82" w14:textId="77777777" w:rsidR="00B85E0C" w:rsidRPr="00163C82" w:rsidRDefault="00B85E0C" w:rsidP="00A926A8">
            <w:pPr>
              <w:pStyle w:val="Header"/>
              <w:tabs>
                <w:tab w:val="clear" w:pos="4320"/>
                <w:tab w:val="clear" w:pos="8640"/>
              </w:tabs>
              <w:ind w:right="-153"/>
              <w:rPr>
                <w:rFonts w:asciiTheme="majorHAnsi" w:hAnsiTheme="majorHAnsi"/>
              </w:rPr>
            </w:pPr>
            <w:r w:rsidRPr="00163C82">
              <w:rPr>
                <w:rFonts w:asciiTheme="majorHAnsi" w:hAnsiTheme="majorHAnsi"/>
              </w:rPr>
              <w:t>E:</w:t>
            </w:r>
          </w:p>
        </w:tc>
        <w:tc>
          <w:tcPr>
            <w:tcW w:w="10024" w:type="dxa"/>
            <w:tcBorders>
              <w:top w:val="nil"/>
              <w:bottom w:val="single" w:sz="18" w:space="0" w:color="auto"/>
            </w:tcBorders>
            <w:vAlign w:val="center"/>
          </w:tcPr>
          <w:p w14:paraId="6D6B276D" w14:textId="77777777" w:rsidR="00B85E0C" w:rsidRPr="00163C82" w:rsidRDefault="00B85E0C" w:rsidP="00A926A8">
            <w:pPr>
              <w:widowControl w:val="0"/>
              <w:suppressAutoHyphens w:val="0"/>
              <w:autoSpaceDE w:val="0"/>
              <w:autoSpaceDN w:val="0"/>
              <w:adjustRightInd w:val="0"/>
              <w:rPr>
                <w:rFonts w:asciiTheme="majorHAnsi" w:eastAsiaTheme="minorEastAsia" w:hAnsiTheme="majorHAnsi" w:cs="Times"/>
                <w:lang w:val="en-US"/>
              </w:rPr>
            </w:pPr>
            <w:r w:rsidRPr="00163C82">
              <w:rPr>
                <w:rFonts w:asciiTheme="majorHAnsi" w:eastAsiaTheme="minorEastAsia" w:hAnsiTheme="majorHAnsi" w:cs="Times"/>
                <w:lang w:val="en-US"/>
              </w:rPr>
              <w:t xml:space="preserve">The response indicates that the measures taken are contrary to the </w:t>
            </w:r>
            <w:r w:rsidRPr="00163C82">
              <w:rPr>
                <w:rFonts w:asciiTheme="majorHAnsi" w:eastAsiaTheme="minorEastAsia" w:hAnsiTheme="majorHAnsi"/>
                <w:lang w:val="en-US"/>
              </w:rPr>
              <w:t>Committee’s recommendations</w:t>
            </w:r>
          </w:p>
        </w:tc>
      </w:tr>
    </w:tbl>
    <w:p w14:paraId="6BF99A41" w14:textId="77777777" w:rsidR="00B85E0C" w:rsidRPr="00163C82" w:rsidRDefault="00B85E0C" w:rsidP="00B85E0C">
      <w:pPr>
        <w:spacing w:after="120"/>
        <w:jc w:val="both"/>
        <w:rPr>
          <w:b/>
          <w:sz w:val="24"/>
          <w:szCs w:val="24"/>
          <w:u w:val="single"/>
        </w:rPr>
      </w:pPr>
    </w:p>
    <w:p w14:paraId="619F9C42" w14:textId="77777777" w:rsidR="00B85E0C" w:rsidRPr="00163C82" w:rsidRDefault="00B85E0C" w:rsidP="00B85E0C">
      <w:pPr>
        <w:spacing w:after="120"/>
        <w:jc w:val="both"/>
        <w:rPr>
          <w:b/>
          <w:sz w:val="24"/>
          <w:szCs w:val="24"/>
          <w:u w:val="single"/>
        </w:rPr>
      </w:pPr>
      <w:r w:rsidRPr="00163C82">
        <w:rPr>
          <w:b/>
          <w:sz w:val="24"/>
          <w:szCs w:val="24"/>
          <w:u w:val="single"/>
        </w:rPr>
        <w:t>Accountability for past human rights violations</w:t>
      </w:r>
    </w:p>
    <w:p w14:paraId="433A7880" w14:textId="77777777" w:rsidR="00B85E0C" w:rsidRPr="00163C82" w:rsidRDefault="00B85E0C" w:rsidP="00B85E0C">
      <w:pPr>
        <w:spacing w:after="120"/>
        <w:jc w:val="both"/>
        <w:rPr>
          <w:sz w:val="24"/>
          <w:szCs w:val="24"/>
        </w:rPr>
      </w:pPr>
      <w:r w:rsidRPr="00163C82">
        <w:rPr>
          <w:b/>
          <w:sz w:val="24"/>
          <w:szCs w:val="24"/>
        </w:rPr>
        <w:t>Paragraph 5 (Accountability for past human rights violations):</w:t>
      </w:r>
      <w:r w:rsidRPr="00163C82">
        <w:rPr>
          <w:sz w:val="24"/>
          <w:szCs w:val="24"/>
        </w:rPr>
        <w:t xml:space="preserve"> “</w:t>
      </w:r>
      <w:r w:rsidRPr="00163C82">
        <w:rPr>
          <w:i/>
          <w:sz w:val="24"/>
          <w:szCs w:val="24"/>
        </w:rPr>
        <w:t>The Committee is concerned at the limited number of investigations, prosecutions and convictions of members of the Armed Forces and other agents of the United States Government, including private contractors, for unlawful killings during its international operations, and the use of torture or other cruel, inhuman or degrading treatment or punishment of detainees in United States custody, including outside its territory, as part of the so-called “enhanced interrogation techniques”. While welcoming Presidential Executive Order 13491 of 22 January 2009 terminating the programme of secret detention and interrogation operated by the Central Intelligence Agency (CIA), the Committee notes with concern that all reported investigations into enforced disappearances, torture and other cruel, inhuman or degrading treatment committed in the context of the CIA secret rendition, interrogation and detention programmes were closed in 2012, resulting in only a meagre number of criminal charges being brought against low-level operatives. The Committee is concerned that many details of the CIA programmes remain secret, thereby creating barriers to accountability and redress for victims (arts. 2, 6, 7, 9, 10 and 14).</w:t>
      </w:r>
      <w:r w:rsidRPr="00163C82">
        <w:rPr>
          <w:sz w:val="24"/>
          <w:szCs w:val="24"/>
        </w:rPr>
        <w:t>”…</w:t>
      </w:r>
    </w:p>
    <w:tbl>
      <w:tblPr>
        <w:tblStyle w:val="TableGrid"/>
        <w:tblW w:w="14130" w:type="dxa"/>
        <w:tblInd w:w="-162" w:type="dxa"/>
        <w:tblLayout w:type="fixed"/>
        <w:tblLook w:val="04A0" w:firstRow="1" w:lastRow="0" w:firstColumn="1" w:lastColumn="0" w:noHBand="0" w:noVBand="1"/>
      </w:tblPr>
      <w:tblGrid>
        <w:gridCol w:w="3674"/>
        <w:gridCol w:w="9466"/>
        <w:gridCol w:w="990"/>
      </w:tblGrid>
      <w:tr w:rsidR="00B85E0C" w:rsidRPr="00163C82" w14:paraId="34A9018B" w14:textId="77777777" w:rsidTr="00B85E0C">
        <w:tc>
          <w:tcPr>
            <w:tcW w:w="14130" w:type="dxa"/>
            <w:gridSpan w:val="3"/>
            <w:tcBorders>
              <w:top w:val="single" w:sz="4" w:space="0" w:color="auto"/>
              <w:left w:val="nil"/>
              <w:bottom w:val="single" w:sz="18" w:space="0" w:color="auto"/>
              <w:right w:val="nil"/>
            </w:tcBorders>
            <w:vAlign w:val="center"/>
          </w:tcPr>
          <w:p w14:paraId="352DAF40" w14:textId="77777777" w:rsidR="00B85E0C" w:rsidRPr="00163C82" w:rsidRDefault="00B85E0C" w:rsidP="00A926A8">
            <w:pPr>
              <w:spacing w:before="60" w:after="60"/>
              <w:ind w:right="-23"/>
              <w:jc w:val="center"/>
              <w:rPr>
                <w:b/>
              </w:rPr>
            </w:pPr>
            <w:r w:rsidRPr="00163C82">
              <w:rPr>
                <w:b/>
              </w:rPr>
              <w:t>NGO Assessment of the Action of the State party on the Recommendations made by the Committee</w:t>
            </w:r>
          </w:p>
        </w:tc>
      </w:tr>
      <w:tr w:rsidR="00B85E0C" w:rsidRPr="00163C82" w14:paraId="6B7EA127" w14:textId="77777777" w:rsidTr="00B85E0C">
        <w:tc>
          <w:tcPr>
            <w:tcW w:w="3674" w:type="dxa"/>
            <w:tcBorders>
              <w:top w:val="single" w:sz="18" w:space="0" w:color="auto"/>
              <w:left w:val="single" w:sz="4" w:space="0" w:color="auto"/>
              <w:bottom w:val="single" w:sz="4" w:space="0" w:color="auto"/>
            </w:tcBorders>
            <w:shd w:val="clear" w:color="auto" w:fill="E0E0E0"/>
            <w:vAlign w:val="center"/>
          </w:tcPr>
          <w:p w14:paraId="52ACFC6C" w14:textId="77777777" w:rsidR="00B85E0C" w:rsidRPr="00163C82" w:rsidRDefault="00B85E0C" w:rsidP="00A926A8">
            <w:pPr>
              <w:spacing w:before="60" w:after="60"/>
              <w:ind w:right="-23"/>
              <w:jc w:val="center"/>
              <w:rPr>
                <w:b/>
              </w:rPr>
            </w:pPr>
            <w:r w:rsidRPr="00163C82">
              <w:rPr>
                <w:b/>
              </w:rPr>
              <w:t>Recommendation by the Committee</w:t>
            </w:r>
          </w:p>
        </w:tc>
        <w:tc>
          <w:tcPr>
            <w:tcW w:w="10456" w:type="dxa"/>
            <w:gridSpan w:val="2"/>
            <w:tcBorders>
              <w:top w:val="single" w:sz="18" w:space="0" w:color="auto"/>
              <w:bottom w:val="single" w:sz="4" w:space="0" w:color="auto"/>
              <w:right w:val="single" w:sz="4" w:space="0" w:color="auto"/>
            </w:tcBorders>
            <w:shd w:val="clear" w:color="auto" w:fill="E0E0E0"/>
            <w:vAlign w:val="center"/>
          </w:tcPr>
          <w:p w14:paraId="515CADA6" w14:textId="77777777" w:rsidR="00B85E0C" w:rsidRPr="00163C82" w:rsidRDefault="00B85E0C" w:rsidP="00A926A8">
            <w:pPr>
              <w:spacing w:before="60" w:after="60"/>
              <w:ind w:right="-23"/>
              <w:jc w:val="both"/>
              <w:rPr>
                <w:i/>
              </w:rPr>
            </w:pPr>
            <w:r w:rsidRPr="00163C82">
              <w:rPr>
                <w:i/>
              </w:rPr>
              <w:t xml:space="preserve">The State party should ensure that all cases of unlawful killing, torture or other ill-treatment, unlawful detention or enforced disappearance are effectively, independently and impartially investigated, that perpetrators, including, in particular, persons in positions of command, are prosecuted and sanctioned, and that victims are provided with effective remedies. The responsibility of those who provided legal pretexts for manifestly illegal </w:t>
            </w:r>
            <w:proofErr w:type="spellStart"/>
            <w:r w:rsidRPr="00163C82">
              <w:rPr>
                <w:i/>
              </w:rPr>
              <w:t>behavior</w:t>
            </w:r>
            <w:proofErr w:type="spellEnd"/>
            <w:r w:rsidRPr="00163C82">
              <w:rPr>
                <w:i/>
              </w:rPr>
              <w:t xml:space="preserve"> should also be established. </w:t>
            </w:r>
          </w:p>
        </w:tc>
      </w:tr>
      <w:tr w:rsidR="00B85E0C" w:rsidRPr="00163C82" w14:paraId="070065F4" w14:textId="77777777" w:rsidTr="00B85E0C">
        <w:tc>
          <w:tcPr>
            <w:tcW w:w="3674" w:type="dxa"/>
            <w:tcBorders>
              <w:top w:val="single" w:sz="4" w:space="0" w:color="auto"/>
              <w:left w:val="single" w:sz="4" w:space="0" w:color="auto"/>
            </w:tcBorders>
            <w:vAlign w:val="center"/>
          </w:tcPr>
          <w:p w14:paraId="73F94BED" w14:textId="77777777" w:rsidR="00B85E0C" w:rsidRPr="00163C82" w:rsidRDefault="00B85E0C" w:rsidP="00A926A8">
            <w:pPr>
              <w:spacing w:before="60" w:after="60"/>
              <w:ind w:right="-23"/>
              <w:jc w:val="center"/>
              <w:rPr>
                <w:b/>
              </w:rPr>
            </w:pPr>
            <w:r w:rsidRPr="00163C82">
              <w:rPr>
                <w:b/>
              </w:rPr>
              <w:t>Actions taken by the State party</w:t>
            </w:r>
          </w:p>
        </w:tc>
        <w:tc>
          <w:tcPr>
            <w:tcW w:w="10456" w:type="dxa"/>
            <w:gridSpan w:val="2"/>
            <w:tcBorders>
              <w:top w:val="single" w:sz="4" w:space="0" w:color="auto"/>
              <w:right w:val="single" w:sz="4" w:space="0" w:color="auto"/>
            </w:tcBorders>
            <w:vAlign w:val="center"/>
          </w:tcPr>
          <w:p w14:paraId="3DE2BF8E" w14:textId="52F11EBB" w:rsidR="00B85E0C" w:rsidRDefault="00BB18B7" w:rsidP="00A926A8">
            <w:pPr>
              <w:ind w:right="-23"/>
              <w:jc w:val="both"/>
            </w:pPr>
            <w:r>
              <w:t xml:space="preserve">In March 2015, the Supreme Court of the United States rejected hearing the </w:t>
            </w:r>
            <w:r w:rsidR="00D14180">
              <w:t xml:space="preserve">civil </w:t>
            </w:r>
            <w:r>
              <w:t xml:space="preserve">cases of detainees alleging torture against the U.S. government. </w:t>
            </w:r>
            <w:r w:rsidR="00D14180">
              <w:t xml:space="preserve">One of the cases allowed the lower court </w:t>
            </w:r>
            <w:r w:rsidR="003B128C">
              <w:t>conclusion</w:t>
            </w:r>
            <w:r w:rsidR="00D14180">
              <w:t xml:space="preserve"> that so-called enemy combatants could not sue the government to stand.</w:t>
            </w:r>
            <w:r w:rsidR="00420C16">
              <w:rPr>
                <w:rStyle w:val="FootnoteReference"/>
              </w:rPr>
              <w:t xml:space="preserve"> </w:t>
            </w:r>
            <w:r w:rsidR="00420C16">
              <w:rPr>
                <w:rStyle w:val="FootnoteReference"/>
              </w:rPr>
              <w:footnoteReference w:id="2"/>
            </w:r>
            <w:r w:rsidR="00D14180">
              <w:t xml:space="preserve"> </w:t>
            </w:r>
            <w:r w:rsidR="00A926A8">
              <w:t>Thus</w:t>
            </w:r>
            <w:r w:rsidR="00420C16">
              <w:t xml:space="preserve"> far</w:t>
            </w:r>
            <w:r w:rsidR="00A926A8">
              <w:t xml:space="preserve">, no senior officials have </w:t>
            </w:r>
            <w:r w:rsidR="00A926A8">
              <w:lastRenderedPageBreak/>
              <w:t>been held accountable for involvement in the torture program and victims’ right to remedies through the courts have been rejected.</w:t>
            </w:r>
            <w:r w:rsidR="00420C16">
              <w:rPr>
                <w:rStyle w:val="FootnoteReference"/>
              </w:rPr>
              <w:footnoteReference w:id="3"/>
            </w:r>
            <w:r w:rsidR="00A926A8">
              <w:t xml:space="preserve"> </w:t>
            </w:r>
          </w:p>
          <w:p w14:paraId="3EDB7930" w14:textId="77777777" w:rsidR="00BB18B7" w:rsidRDefault="00BB18B7" w:rsidP="00A926A8">
            <w:pPr>
              <w:ind w:right="-23"/>
              <w:jc w:val="both"/>
            </w:pPr>
          </w:p>
          <w:p w14:paraId="04C4EEAC" w14:textId="3C309DF4" w:rsidR="00E872BB" w:rsidRDefault="00BD7E6A" w:rsidP="00A926A8">
            <w:pPr>
              <w:ind w:right="-23"/>
              <w:jc w:val="both"/>
            </w:pPr>
            <w:r>
              <w:t>Members of the Obama administration admitted that CIA</w:t>
            </w:r>
            <w:r w:rsidR="00FA10CB">
              <w:t xml:space="preserve"> conduct </w:t>
            </w:r>
            <w:r w:rsidR="0021689D">
              <w:t xml:space="preserve">under its detention and interrogation program </w:t>
            </w:r>
            <w:r w:rsidR="00FA10CB">
              <w:t>amounted to torture. In August 2014</w:t>
            </w:r>
            <w:r>
              <w:t>, President Obama publicly acknowledged that “we tortured some folks” and CIA Director John Brennan</w:t>
            </w:r>
            <w:r w:rsidR="00FA10CB">
              <w:t xml:space="preserve"> described some of the CIA’s former interrogation practices as “abhorrent.”</w:t>
            </w:r>
            <w:r w:rsidR="00420C16">
              <w:rPr>
                <w:rStyle w:val="FootnoteReference"/>
              </w:rPr>
              <w:footnoteReference w:id="4"/>
            </w:r>
            <w:r w:rsidR="00E872BB">
              <w:t xml:space="preserve"> Assistant Secretary of State Tom Malinowski told the Committee Against Torture that “any fair minded person” would believe the CIA’s practices were torture.</w:t>
            </w:r>
            <w:r w:rsidR="00420C16">
              <w:rPr>
                <w:rStyle w:val="FootnoteReference"/>
              </w:rPr>
              <w:footnoteReference w:id="5"/>
            </w:r>
          </w:p>
          <w:p w14:paraId="1204F3DC" w14:textId="77777777" w:rsidR="00BD7E6A" w:rsidRDefault="00E872BB" w:rsidP="00A926A8">
            <w:pPr>
              <w:ind w:right="-23"/>
              <w:jc w:val="both"/>
            </w:pPr>
            <w:r>
              <w:t xml:space="preserve"> </w:t>
            </w:r>
          </w:p>
          <w:p w14:paraId="630BFB50" w14:textId="065BF2AD" w:rsidR="00BB18B7" w:rsidRDefault="00BB18B7" w:rsidP="00A926A8">
            <w:pPr>
              <w:ind w:right="-23"/>
              <w:jc w:val="both"/>
            </w:pPr>
            <w:r>
              <w:t xml:space="preserve">Despite the release of </w:t>
            </w:r>
            <w:r w:rsidR="001E267B">
              <w:t>sections of the</w:t>
            </w:r>
            <w:r>
              <w:t xml:space="preserve"> Senate Select Committee on Intelligence’s report on CIA torture in December 2014</w:t>
            </w:r>
            <w:r w:rsidR="00E872BB">
              <w:t xml:space="preserve"> that detailed practices that undoubtedly amounted to torture</w:t>
            </w:r>
            <w:r>
              <w:t>, the Department of Justice reiterated its intention not to reopen an investigation into the CIA’</w:t>
            </w:r>
            <w:r w:rsidR="001E267B">
              <w:t>s conduct.</w:t>
            </w:r>
            <w:r w:rsidR="00D53CF1">
              <w:rPr>
                <w:rStyle w:val="FootnoteReference"/>
              </w:rPr>
              <w:footnoteReference w:id="6"/>
            </w:r>
            <w:r w:rsidR="001E267B">
              <w:t xml:space="preserve"> Furthermore, some agencies </w:t>
            </w:r>
            <w:r w:rsidR="00D14180">
              <w:t>claim to</w:t>
            </w:r>
            <w:r w:rsidR="001E267B">
              <w:t xml:space="preserve"> not</w:t>
            </w:r>
            <w:r w:rsidR="00D14180">
              <w:t xml:space="preserve"> have</w:t>
            </w:r>
            <w:r w:rsidR="001E267B">
              <w:t xml:space="preserve"> opened or read the full report, which remains classified.</w:t>
            </w:r>
            <w:r w:rsidR="00D53CF1">
              <w:rPr>
                <w:rStyle w:val="FootnoteReference"/>
              </w:rPr>
              <w:footnoteReference w:id="7"/>
            </w:r>
          </w:p>
          <w:p w14:paraId="15C407DA" w14:textId="77777777" w:rsidR="00D14180" w:rsidRDefault="00D14180" w:rsidP="00A926A8">
            <w:pPr>
              <w:ind w:right="-23"/>
              <w:jc w:val="both"/>
            </w:pPr>
          </w:p>
          <w:p w14:paraId="48904A94" w14:textId="77777777" w:rsidR="00BB18B7" w:rsidRDefault="00D14180" w:rsidP="003B128C">
            <w:pPr>
              <w:ind w:right="-23"/>
              <w:jc w:val="both"/>
            </w:pPr>
            <w:r>
              <w:t>The new chair of the Senate Select Committee on Intelligence, Senator Richard Burr, claimed that the previous chair, Senator Dianne Feinstein improperly transferred the report on CIA torture to various agencies and demanded its return.</w:t>
            </w:r>
            <w:r w:rsidR="004E2C73">
              <w:rPr>
                <w:rStyle w:val="FootnoteReference"/>
              </w:rPr>
              <w:footnoteReference w:id="8"/>
            </w:r>
            <w:r>
              <w:t xml:space="preserve"> </w:t>
            </w:r>
          </w:p>
          <w:p w14:paraId="6289EDCD" w14:textId="77777777" w:rsidR="00667A10" w:rsidRDefault="00667A10" w:rsidP="003B128C">
            <w:pPr>
              <w:ind w:right="-23"/>
              <w:jc w:val="both"/>
            </w:pPr>
          </w:p>
          <w:p w14:paraId="5DB51556" w14:textId="488911DB" w:rsidR="00667A10" w:rsidRPr="00163C82" w:rsidRDefault="00667A10" w:rsidP="003B128C">
            <w:pPr>
              <w:ind w:right="-23"/>
              <w:jc w:val="both"/>
            </w:pPr>
            <w:r>
              <w:t xml:space="preserve">On October 22, 2014, four members of a U.S. contractor were convicted of murder, manslaughter, and weapons charges for the killing of civilians in </w:t>
            </w:r>
            <w:proofErr w:type="spellStart"/>
            <w:r>
              <w:t>Nisour</w:t>
            </w:r>
            <w:proofErr w:type="spellEnd"/>
            <w:r>
              <w:t xml:space="preserve"> Square, Iraq. </w:t>
            </w:r>
          </w:p>
        </w:tc>
      </w:tr>
      <w:tr w:rsidR="00B85E0C" w:rsidRPr="00163C82" w14:paraId="3E3A9D42" w14:textId="77777777" w:rsidTr="00B85E0C">
        <w:tc>
          <w:tcPr>
            <w:tcW w:w="3674" w:type="dxa"/>
            <w:tcBorders>
              <w:left w:val="single" w:sz="4" w:space="0" w:color="auto"/>
            </w:tcBorders>
            <w:vAlign w:val="center"/>
          </w:tcPr>
          <w:p w14:paraId="3553EFB9" w14:textId="77777777" w:rsidR="00B85E0C" w:rsidRPr="00163C82" w:rsidRDefault="00B85E0C" w:rsidP="00A926A8">
            <w:pPr>
              <w:spacing w:before="60" w:after="60"/>
              <w:ind w:right="-23"/>
              <w:jc w:val="center"/>
              <w:rPr>
                <w:b/>
              </w:rPr>
            </w:pPr>
            <w:r w:rsidRPr="00163C82">
              <w:rPr>
                <w:b/>
              </w:rPr>
              <w:lastRenderedPageBreak/>
              <w:t>Current situation / Update of the Issue</w:t>
            </w:r>
          </w:p>
        </w:tc>
        <w:tc>
          <w:tcPr>
            <w:tcW w:w="10456" w:type="dxa"/>
            <w:gridSpan w:val="2"/>
            <w:tcBorders>
              <w:right w:val="single" w:sz="4" w:space="0" w:color="auto"/>
            </w:tcBorders>
            <w:vAlign w:val="center"/>
          </w:tcPr>
          <w:p w14:paraId="70205AE1" w14:textId="4526702F" w:rsidR="00B85E0C" w:rsidRDefault="00BB18B7" w:rsidP="004E2C73">
            <w:pPr>
              <w:tabs>
                <w:tab w:val="left" w:pos="10240"/>
              </w:tabs>
              <w:jc w:val="both"/>
            </w:pPr>
            <w:r>
              <w:t xml:space="preserve">The U.S. federal courts continue to block the right to redress for detainees that allege torture while in U.S. custody. The March 2015 decision by the Supreme Court not to hear two of the cases leaves in place decisions by the lower courts to reject the plaintiffs’ right to redress in all cases. </w:t>
            </w:r>
            <w:r w:rsidR="00BD7E6A">
              <w:t xml:space="preserve">The use of the state secrets </w:t>
            </w:r>
            <w:r w:rsidR="0013659A">
              <w:t xml:space="preserve">and immunity </w:t>
            </w:r>
            <w:r w:rsidR="00BD7E6A">
              <w:t>doctrine</w:t>
            </w:r>
            <w:r w:rsidR="0013659A">
              <w:t>s</w:t>
            </w:r>
            <w:r w:rsidR="00BD7E6A">
              <w:t xml:space="preserve"> in federal courts has blocked the right to an effective remedy for all victims of </w:t>
            </w:r>
            <w:r w:rsidR="002C2FAE">
              <w:t xml:space="preserve">U.S. </w:t>
            </w:r>
            <w:r w:rsidR="00BD7E6A">
              <w:t xml:space="preserve">torture that attempted to obtain redress in </w:t>
            </w:r>
            <w:r w:rsidR="002C2FAE">
              <w:t xml:space="preserve">U.S. </w:t>
            </w:r>
            <w:r w:rsidR="00BD7E6A">
              <w:t xml:space="preserve">court. </w:t>
            </w:r>
          </w:p>
          <w:p w14:paraId="244B5F4E" w14:textId="77777777" w:rsidR="00BD7E6A" w:rsidRDefault="00BD7E6A" w:rsidP="004E2C73">
            <w:pPr>
              <w:tabs>
                <w:tab w:val="left" w:pos="10240"/>
              </w:tabs>
              <w:jc w:val="both"/>
            </w:pPr>
          </w:p>
          <w:p w14:paraId="7A93E6A9" w14:textId="5E982A07" w:rsidR="00BD7E6A" w:rsidRDefault="00BD7E6A" w:rsidP="004E2C73">
            <w:pPr>
              <w:tabs>
                <w:tab w:val="left" w:pos="10240"/>
              </w:tabs>
              <w:jc w:val="both"/>
            </w:pPr>
            <w:r>
              <w:t>In its concluding observations in November 2014, the Committee Against Torture urged the United States to carry out impartial and effective investigations into allegations of torture and to provide effective remedies for victims including compensation and rehabilitation. To date, no actions have been taken to implement these recommendations.</w:t>
            </w:r>
            <w:r w:rsidR="004E2C73">
              <w:rPr>
                <w:rStyle w:val="FootnoteReference"/>
              </w:rPr>
              <w:footnoteReference w:id="9"/>
            </w:r>
            <w:r>
              <w:t xml:space="preserve"> </w:t>
            </w:r>
            <w:r w:rsidR="00380093">
              <w:t xml:space="preserve">No investigations have been conducted into the findings put forth by the Senate’s report on CIA torture. </w:t>
            </w:r>
            <w:r>
              <w:t xml:space="preserve"> </w:t>
            </w:r>
          </w:p>
          <w:p w14:paraId="600094C5" w14:textId="77777777" w:rsidR="003B1B59" w:rsidRDefault="003B1B59" w:rsidP="004E2C73">
            <w:pPr>
              <w:tabs>
                <w:tab w:val="left" w:pos="10240"/>
              </w:tabs>
              <w:jc w:val="both"/>
            </w:pPr>
          </w:p>
          <w:p w14:paraId="2DFF8268" w14:textId="0142CB66" w:rsidR="00BD7E6A" w:rsidRPr="00163C82" w:rsidRDefault="00842FA1" w:rsidP="004E2C73">
            <w:pPr>
              <w:tabs>
                <w:tab w:val="left" w:pos="10240"/>
              </w:tabs>
              <w:jc w:val="both"/>
            </w:pPr>
            <w:r>
              <w:t xml:space="preserve">Although the investigators that carried out the Department of Justice’s investigation into CIA interrogations said that they reviewed the full Senate report and did not find anything new, this contradicts reports that </w:t>
            </w:r>
            <w:r w:rsidR="00D14180">
              <w:t xml:space="preserve">surfaced in January that </w:t>
            </w:r>
            <w:r>
              <w:t>some agencies have not even opened the full report. In response to a Freedom of Information Act lawsuit in U.S. federal court, a government filing claimed that the Department of Justice and Department of State have not opened the package with the disc containing the full report, while the Federal Bureau of Investigation has not picked up its copy from the DOJ’s Office of Legislative Affairs.</w:t>
            </w:r>
            <w:r w:rsidR="004E2C73">
              <w:rPr>
                <w:rStyle w:val="FootnoteReference"/>
              </w:rPr>
              <w:footnoteReference w:id="10"/>
            </w:r>
            <w:r>
              <w:t xml:space="preserve"> The Department of </w:t>
            </w:r>
            <w:proofErr w:type="spellStart"/>
            <w:r>
              <w:t>Defense</w:t>
            </w:r>
            <w:proofErr w:type="spellEnd"/>
            <w:r>
              <w:t xml:space="preserve"> and Central Intelligence Agency have both allowed only limited access and made “very limited” use of the report, according to the filing.</w:t>
            </w:r>
            <w:r w:rsidR="004E2C73">
              <w:rPr>
                <w:rStyle w:val="FootnoteReference"/>
              </w:rPr>
              <w:footnoteReference w:id="11"/>
            </w:r>
            <w:r>
              <w:t xml:space="preserve"> </w:t>
            </w:r>
          </w:p>
        </w:tc>
      </w:tr>
      <w:tr w:rsidR="00B85E0C" w:rsidRPr="00163C82" w14:paraId="03B41241" w14:textId="77777777" w:rsidTr="00B85E0C">
        <w:tc>
          <w:tcPr>
            <w:tcW w:w="3674" w:type="dxa"/>
            <w:tcBorders>
              <w:left w:val="single" w:sz="4" w:space="0" w:color="auto"/>
            </w:tcBorders>
            <w:vAlign w:val="center"/>
          </w:tcPr>
          <w:p w14:paraId="69AFBFC5" w14:textId="01292A80" w:rsidR="00B85E0C" w:rsidRPr="00163C82" w:rsidRDefault="00B85E0C" w:rsidP="00A926A8">
            <w:pPr>
              <w:spacing w:before="60" w:after="60"/>
              <w:ind w:right="-23"/>
              <w:jc w:val="center"/>
              <w:rPr>
                <w:b/>
              </w:rPr>
            </w:pPr>
            <w:r w:rsidRPr="00163C82">
              <w:rPr>
                <w:b/>
              </w:rPr>
              <w:t>Impact of the Action of the State party (if any)</w:t>
            </w:r>
          </w:p>
        </w:tc>
        <w:tc>
          <w:tcPr>
            <w:tcW w:w="10456" w:type="dxa"/>
            <w:gridSpan w:val="2"/>
            <w:tcBorders>
              <w:right w:val="single" w:sz="4" w:space="0" w:color="auto"/>
            </w:tcBorders>
            <w:vAlign w:val="center"/>
          </w:tcPr>
          <w:p w14:paraId="437938B5" w14:textId="2D498D7C" w:rsidR="00B85E0C" w:rsidRDefault="001E267B" w:rsidP="002873BF">
            <w:pPr>
              <w:ind w:right="-23"/>
              <w:jc w:val="both"/>
            </w:pPr>
            <w:r>
              <w:t xml:space="preserve">The decision by some agencies, including the Departments of State and Justice, not to read the full CIA torture report impedes both accountability and non-repetition. </w:t>
            </w:r>
            <w:r w:rsidR="00E872BB">
              <w:t xml:space="preserve">Without reading the report, the agencies cannot know the full scope of the Senate’s findings and will not know whether the Department of Justice’s </w:t>
            </w:r>
            <w:r w:rsidR="002873BF">
              <w:t xml:space="preserve">(DOJ) </w:t>
            </w:r>
            <w:r w:rsidR="00E872BB">
              <w:t xml:space="preserve">own investigations were based on a complete record. </w:t>
            </w:r>
            <w:r w:rsidR="002873BF">
              <w:t>As the DOJ’s invest</w:t>
            </w:r>
            <w:r w:rsidR="00E917BC">
              <w:t>igative record remains private</w:t>
            </w:r>
            <w:r w:rsidR="002873BF">
              <w:t xml:space="preserve">, there is no public accounting for its thoroughness and impartiality. The decision by much of the administration not to open and read the full Senate report thus affects its decision not to </w:t>
            </w:r>
            <w:r w:rsidR="00E917BC">
              <w:lastRenderedPageBreak/>
              <w:t xml:space="preserve">fully </w:t>
            </w:r>
            <w:r w:rsidR="002873BF">
              <w:t xml:space="preserve">investigate and prosecute torturers. </w:t>
            </w:r>
          </w:p>
          <w:p w14:paraId="1C815411" w14:textId="77777777" w:rsidR="0086359B" w:rsidRDefault="0086359B" w:rsidP="002873BF">
            <w:pPr>
              <w:ind w:right="-23"/>
              <w:jc w:val="both"/>
            </w:pPr>
          </w:p>
          <w:p w14:paraId="4B840D47" w14:textId="77777777" w:rsidR="0086359B" w:rsidRDefault="0086359B" w:rsidP="00D14180">
            <w:pPr>
              <w:ind w:right="-23"/>
              <w:jc w:val="both"/>
            </w:pPr>
            <w:r>
              <w:t xml:space="preserve">The decision by some agencies to completely ignore </w:t>
            </w:r>
            <w:r w:rsidR="00D14180">
              <w:t>the existence of the full report, as well as Senator Burr’s demand that it be returned to the Senate, are</w:t>
            </w:r>
            <w:r>
              <w:t xml:space="preserve"> an apparent move to impede the right to an effective remedy and judicial redress.</w:t>
            </w:r>
            <w:r w:rsidR="00927D99">
              <w:t xml:space="preserve"> The </w:t>
            </w:r>
            <w:r w:rsidR="00445B45">
              <w:t>January 2015 filing in the Freedom of Information Act lawsuit that claims several agencies have not opened their copies of the full report indicates an intention to ensure that the public cannot obtain the report through such lawsuits.</w:t>
            </w:r>
            <w:r w:rsidR="00D14180">
              <w:t xml:space="preserve"> Such moves would impede the right to an effective remedy by obscuring the full details of CIA torture from the public and perpetuate the use of the state secrets doctrine to obstruct lawsuits. </w:t>
            </w:r>
          </w:p>
          <w:p w14:paraId="23FE46AB" w14:textId="77777777" w:rsidR="007679A8" w:rsidRDefault="007679A8" w:rsidP="00D14180">
            <w:pPr>
              <w:ind w:right="-23"/>
              <w:jc w:val="both"/>
            </w:pPr>
          </w:p>
          <w:p w14:paraId="165CDDC2" w14:textId="7E665EE5" w:rsidR="007679A8" w:rsidRPr="00163C82" w:rsidRDefault="007679A8" w:rsidP="003B128C">
            <w:pPr>
              <w:ind w:right="-23"/>
              <w:jc w:val="both"/>
            </w:pPr>
            <w:r>
              <w:t xml:space="preserve">The release of the CIA torture report led to a motion in the ongoing military </w:t>
            </w:r>
            <w:proofErr w:type="gramStart"/>
            <w:r>
              <w:t>commissions</w:t>
            </w:r>
            <w:proofErr w:type="gramEnd"/>
            <w:r>
              <w:t xml:space="preserve"> cases to declassify some experiences of detainees facing trial. A motion by the Prosecution in the ongoing military </w:t>
            </w:r>
            <w:proofErr w:type="gramStart"/>
            <w:r>
              <w:t>commissions</w:t>
            </w:r>
            <w:proofErr w:type="gramEnd"/>
            <w:r>
              <w:t xml:space="preserve"> cases would declassify some information about the methods used by the CIA against the defendants in these cases including the techniques, duration, frequency, sequencing, and the conditions of confinement.</w:t>
            </w:r>
            <w:r w:rsidR="004E2C73">
              <w:rPr>
                <w:rStyle w:val="FootnoteReference"/>
              </w:rPr>
              <w:footnoteReference w:id="12"/>
            </w:r>
            <w:r>
              <w:t xml:space="preserve"> This is a step towards a more fair military </w:t>
            </w:r>
            <w:proofErr w:type="gramStart"/>
            <w:r>
              <w:t>commissions</w:t>
            </w:r>
            <w:proofErr w:type="gramEnd"/>
            <w:r>
              <w:t xml:space="preserve"> trial process, however, much information remains classified even under this order. </w:t>
            </w:r>
          </w:p>
        </w:tc>
      </w:tr>
      <w:tr w:rsidR="00B85E0C" w:rsidRPr="00163C82" w14:paraId="6899EF49" w14:textId="77777777" w:rsidTr="00B85E0C">
        <w:tc>
          <w:tcPr>
            <w:tcW w:w="3674" w:type="dxa"/>
            <w:tcBorders>
              <w:left w:val="single" w:sz="4" w:space="0" w:color="auto"/>
              <w:bottom w:val="single" w:sz="18" w:space="0" w:color="auto"/>
            </w:tcBorders>
            <w:vAlign w:val="center"/>
          </w:tcPr>
          <w:p w14:paraId="2E2CF2A0" w14:textId="77777777" w:rsidR="00B85E0C" w:rsidRPr="00163C82" w:rsidRDefault="00B85E0C" w:rsidP="00A926A8">
            <w:pPr>
              <w:spacing w:before="60" w:after="60"/>
              <w:ind w:right="-23"/>
              <w:jc w:val="center"/>
              <w:rPr>
                <w:b/>
              </w:rPr>
            </w:pPr>
            <w:r w:rsidRPr="00163C82">
              <w:rPr>
                <w:b/>
              </w:rPr>
              <w:lastRenderedPageBreak/>
              <w:t>Other Comments</w:t>
            </w:r>
          </w:p>
        </w:tc>
        <w:tc>
          <w:tcPr>
            <w:tcW w:w="10456" w:type="dxa"/>
            <w:gridSpan w:val="2"/>
            <w:tcBorders>
              <w:bottom w:val="single" w:sz="18" w:space="0" w:color="auto"/>
              <w:right w:val="single" w:sz="4" w:space="0" w:color="auto"/>
            </w:tcBorders>
            <w:vAlign w:val="center"/>
          </w:tcPr>
          <w:p w14:paraId="0D64A1A5" w14:textId="77777777" w:rsidR="00B85E0C" w:rsidRPr="00163C82" w:rsidRDefault="00B85E0C" w:rsidP="00A926A8">
            <w:pPr>
              <w:ind w:right="-23"/>
              <w:jc w:val="both"/>
            </w:pPr>
          </w:p>
        </w:tc>
      </w:tr>
      <w:tr w:rsidR="00B85E0C" w:rsidRPr="00163C82" w14:paraId="30E3C505" w14:textId="77777777" w:rsidTr="00B85E0C">
        <w:tc>
          <w:tcPr>
            <w:tcW w:w="3674" w:type="dxa"/>
            <w:tcBorders>
              <w:top w:val="single" w:sz="18" w:space="0" w:color="auto"/>
              <w:left w:val="single" w:sz="4" w:space="0" w:color="auto"/>
              <w:bottom w:val="single" w:sz="4" w:space="0" w:color="auto"/>
            </w:tcBorders>
            <w:shd w:val="clear" w:color="auto" w:fill="E0E0E0"/>
            <w:vAlign w:val="center"/>
          </w:tcPr>
          <w:p w14:paraId="747DB422" w14:textId="77777777" w:rsidR="00B85E0C" w:rsidRPr="00163C82" w:rsidRDefault="00B85E0C" w:rsidP="00A926A8">
            <w:pPr>
              <w:spacing w:before="60" w:after="60"/>
              <w:ind w:right="-23"/>
              <w:jc w:val="center"/>
              <w:rPr>
                <w:b/>
              </w:rPr>
            </w:pPr>
            <w:r w:rsidRPr="00163C82">
              <w:rPr>
                <w:b/>
              </w:rPr>
              <w:t>Recommendation by the Committee</w:t>
            </w:r>
          </w:p>
        </w:tc>
        <w:tc>
          <w:tcPr>
            <w:tcW w:w="10456" w:type="dxa"/>
            <w:gridSpan w:val="2"/>
            <w:tcBorders>
              <w:top w:val="single" w:sz="18" w:space="0" w:color="auto"/>
              <w:bottom w:val="single" w:sz="4" w:space="0" w:color="auto"/>
              <w:right w:val="single" w:sz="4" w:space="0" w:color="auto"/>
            </w:tcBorders>
            <w:shd w:val="clear" w:color="auto" w:fill="E0E0E0"/>
            <w:vAlign w:val="center"/>
          </w:tcPr>
          <w:p w14:paraId="15747CC8" w14:textId="77777777" w:rsidR="00B85E0C" w:rsidRPr="00163C82" w:rsidRDefault="00B85E0C" w:rsidP="00A926A8">
            <w:pPr>
              <w:spacing w:before="60" w:after="60"/>
              <w:ind w:right="-23"/>
              <w:jc w:val="both"/>
              <w:rPr>
                <w:i/>
              </w:rPr>
            </w:pPr>
            <w:r w:rsidRPr="00163C82">
              <w:rPr>
                <w:i/>
              </w:rPr>
              <w:t>The State party should also consider the full incorporation of the doctrine of “command responsibility” in its criminal law and declassify and make public the report of the Senate Special Committee on Intelligence into the CIA secret detention programme;</w:t>
            </w:r>
            <w:r w:rsidRPr="00163C82">
              <w:rPr>
                <w:b/>
              </w:rPr>
              <w:t xml:space="preserve"> </w:t>
            </w:r>
          </w:p>
        </w:tc>
      </w:tr>
      <w:tr w:rsidR="00B85E0C" w:rsidRPr="00163C82" w14:paraId="49375864" w14:textId="77777777" w:rsidTr="00B85E0C">
        <w:tc>
          <w:tcPr>
            <w:tcW w:w="3674" w:type="dxa"/>
            <w:tcBorders>
              <w:top w:val="single" w:sz="4" w:space="0" w:color="auto"/>
              <w:left w:val="single" w:sz="4" w:space="0" w:color="auto"/>
            </w:tcBorders>
            <w:vAlign w:val="center"/>
          </w:tcPr>
          <w:p w14:paraId="2D0A2BC8" w14:textId="77777777" w:rsidR="00B85E0C" w:rsidRPr="00163C82" w:rsidRDefault="00B85E0C" w:rsidP="00A926A8">
            <w:pPr>
              <w:spacing w:before="60" w:after="60"/>
              <w:ind w:right="-23"/>
              <w:jc w:val="center"/>
              <w:rPr>
                <w:b/>
              </w:rPr>
            </w:pPr>
            <w:r w:rsidRPr="00163C82">
              <w:rPr>
                <w:b/>
              </w:rPr>
              <w:t>Actions taken by the State party</w:t>
            </w:r>
          </w:p>
        </w:tc>
        <w:tc>
          <w:tcPr>
            <w:tcW w:w="10456" w:type="dxa"/>
            <w:gridSpan w:val="2"/>
            <w:tcBorders>
              <w:top w:val="single" w:sz="4" w:space="0" w:color="auto"/>
              <w:right w:val="single" w:sz="4" w:space="0" w:color="auto"/>
            </w:tcBorders>
            <w:vAlign w:val="center"/>
          </w:tcPr>
          <w:p w14:paraId="7A3E5EC3" w14:textId="67F4AC88" w:rsidR="00BB18B7" w:rsidRDefault="001B379E" w:rsidP="00A926A8">
            <w:pPr>
              <w:ind w:right="-23"/>
              <w:jc w:val="both"/>
            </w:pPr>
            <w:r>
              <w:t>Redacted p</w:t>
            </w:r>
            <w:r w:rsidR="00571112">
              <w:t>arts of the</w:t>
            </w:r>
            <w:r w:rsidR="00BB18B7">
              <w:t xml:space="preserve"> Senate Select Committee on Intelligence’s report on CIA torture </w:t>
            </w:r>
            <w:r w:rsidR="00F91842">
              <w:t xml:space="preserve">– totally 500 pages - </w:t>
            </w:r>
            <w:r w:rsidR="00571112">
              <w:t>were</w:t>
            </w:r>
            <w:r w:rsidR="00BB18B7">
              <w:t xml:space="preserve"> released on December 9, 2014.</w:t>
            </w:r>
            <w:r w:rsidR="00571112">
              <w:t xml:space="preserve"> The Executive Summary and Findings and Conclusions of the report were released, which offered new information about the CIA’s secret detention and interrogation program. The Committee also transferred copies of the full 6</w:t>
            </w:r>
            <w:r w:rsidR="00D14180">
              <w:t>,</w:t>
            </w:r>
            <w:r w:rsidR="00F91842">
              <w:t>7</w:t>
            </w:r>
            <w:r w:rsidR="00571112">
              <w:t>00</w:t>
            </w:r>
            <w:r w:rsidR="00D14180">
              <w:t>-</w:t>
            </w:r>
            <w:r w:rsidR="00571112">
              <w:t xml:space="preserve">page report to relevant government agencies to fully review and ensure that the same mistakes are not repeated. </w:t>
            </w:r>
          </w:p>
          <w:p w14:paraId="2EDC7A53" w14:textId="77777777" w:rsidR="002715F3" w:rsidRDefault="002715F3" w:rsidP="00A926A8">
            <w:pPr>
              <w:ind w:right="-23"/>
              <w:jc w:val="both"/>
            </w:pPr>
          </w:p>
          <w:p w14:paraId="5E5A3BD2" w14:textId="40F45250" w:rsidR="00B85E0C" w:rsidRDefault="002715F3" w:rsidP="002715F3">
            <w:pPr>
              <w:ind w:right="-23"/>
              <w:jc w:val="both"/>
            </w:pPr>
            <w:r>
              <w:t>As noted above, in January Senator Burr and several government agencies attempt to thwart any future attempts to obtain public release of the full report</w:t>
            </w:r>
            <w:r w:rsidR="002C2FAE">
              <w:t xml:space="preserve"> (6,</w:t>
            </w:r>
            <w:r w:rsidR="00F91842">
              <w:t>7</w:t>
            </w:r>
            <w:r w:rsidR="002C2FAE">
              <w:t>00 pages)</w:t>
            </w:r>
            <w:r>
              <w:t xml:space="preserve">, which contains significantly more </w:t>
            </w:r>
            <w:r>
              <w:lastRenderedPageBreak/>
              <w:t>details than the released summary and findings</w:t>
            </w:r>
            <w:r w:rsidR="002C2FAE">
              <w:t xml:space="preserve"> (</w:t>
            </w:r>
            <w:r w:rsidR="00F91842">
              <w:t>5</w:t>
            </w:r>
            <w:r w:rsidR="002C2FAE">
              <w:t>00 pages)</w:t>
            </w:r>
            <w:r>
              <w:t>.</w:t>
            </w:r>
          </w:p>
          <w:p w14:paraId="46B5D1B0" w14:textId="77777777" w:rsidR="002C2FAE" w:rsidRDefault="002C2FAE" w:rsidP="002715F3">
            <w:pPr>
              <w:ind w:right="-23"/>
              <w:jc w:val="both"/>
            </w:pPr>
          </w:p>
          <w:p w14:paraId="62A403EC" w14:textId="26EEAC77" w:rsidR="002C2FAE" w:rsidRPr="00163C82" w:rsidRDefault="002C2FAE" w:rsidP="002715F3">
            <w:pPr>
              <w:ind w:right="-23"/>
              <w:jc w:val="both"/>
            </w:pPr>
            <w:r>
              <w:t>On March 31, 2015, a federal district court granted summary judgment to the United States in a Freedom of Information Act case that was seeking to declassify a CIA document (“The Panetta Review”) that SSCI Committee members claim confirms much of the details of the Senate’s own report. The court’s judgment will maintain classification of the document.</w:t>
            </w:r>
          </w:p>
        </w:tc>
      </w:tr>
      <w:tr w:rsidR="00B85E0C" w:rsidRPr="00163C82" w14:paraId="50DAA708" w14:textId="77777777" w:rsidTr="00B85E0C">
        <w:tc>
          <w:tcPr>
            <w:tcW w:w="3674" w:type="dxa"/>
            <w:tcBorders>
              <w:left w:val="single" w:sz="4" w:space="0" w:color="auto"/>
            </w:tcBorders>
            <w:vAlign w:val="center"/>
          </w:tcPr>
          <w:p w14:paraId="6B46BE21" w14:textId="77777777" w:rsidR="00B85E0C" w:rsidRPr="00163C82" w:rsidRDefault="00B85E0C" w:rsidP="00A926A8">
            <w:pPr>
              <w:spacing w:before="60" w:after="60"/>
              <w:ind w:right="-23"/>
              <w:jc w:val="center"/>
              <w:rPr>
                <w:b/>
              </w:rPr>
            </w:pPr>
            <w:r w:rsidRPr="00163C82">
              <w:rPr>
                <w:b/>
              </w:rPr>
              <w:lastRenderedPageBreak/>
              <w:t>Current situation / Update of the Issue</w:t>
            </w:r>
          </w:p>
        </w:tc>
        <w:tc>
          <w:tcPr>
            <w:tcW w:w="10456" w:type="dxa"/>
            <w:gridSpan w:val="2"/>
            <w:tcBorders>
              <w:right w:val="single" w:sz="4" w:space="0" w:color="auto"/>
            </w:tcBorders>
            <w:vAlign w:val="center"/>
          </w:tcPr>
          <w:p w14:paraId="49AC309B" w14:textId="223D10E2" w:rsidR="0086359B" w:rsidRDefault="00BB18B7" w:rsidP="00A926A8">
            <w:pPr>
              <w:ind w:right="-23"/>
              <w:jc w:val="both"/>
            </w:pPr>
            <w:r>
              <w:t xml:space="preserve">The release of the </w:t>
            </w:r>
            <w:r w:rsidR="00571112">
              <w:t xml:space="preserve">executive summary, findings, and recommendations of the </w:t>
            </w:r>
            <w:r>
              <w:t xml:space="preserve">CIA torture report was a positive </w:t>
            </w:r>
            <w:proofErr w:type="gramStart"/>
            <w:r>
              <w:t>step,</w:t>
            </w:r>
            <w:proofErr w:type="gramEnd"/>
            <w:r>
              <w:t xml:space="preserve"> however the </w:t>
            </w:r>
            <w:r w:rsidR="00F91842">
              <w:t>full report, which is nearly 6,7</w:t>
            </w:r>
            <w:r>
              <w:t xml:space="preserve">00 pages still remains classified. </w:t>
            </w:r>
            <w:r w:rsidR="002715F3">
              <w:t>The executive summary along with the findings and conclusions that we</w:t>
            </w:r>
            <w:r w:rsidR="00F91842">
              <w:t>re released only contain about 5</w:t>
            </w:r>
            <w:r w:rsidR="002715F3">
              <w:t>00 pages of information. The much larger report would provide a full public accounting</w:t>
            </w:r>
            <w:r w:rsidR="00B61F5F">
              <w:t xml:space="preserve"> of the CIA’s program</w:t>
            </w:r>
            <w:r w:rsidR="002715F3">
              <w:t xml:space="preserve">. </w:t>
            </w:r>
          </w:p>
          <w:p w14:paraId="19FE1506" w14:textId="77777777" w:rsidR="0086359B" w:rsidRDefault="0086359B" w:rsidP="00A926A8">
            <w:pPr>
              <w:ind w:right="-23"/>
              <w:jc w:val="both"/>
            </w:pPr>
          </w:p>
          <w:p w14:paraId="500E8E11" w14:textId="08AF31F6" w:rsidR="00B85E0C" w:rsidRDefault="00571112" w:rsidP="002715F3">
            <w:pPr>
              <w:ind w:right="-23"/>
              <w:jc w:val="both"/>
            </w:pPr>
            <w:r>
              <w:t xml:space="preserve">Furthermore, </w:t>
            </w:r>
            <w:r w:rsidR="00B61F5F">
              <w:t xml:space="preserve">because </w:t>
            </w:r>
            <w:r>
              <w:t>many of the govern</w:t>
            </w:r>
            <w:r w:rsidR="00B61F5F">
              <w:t xml:space="preserve">ment agencies that received copies of the full </w:t>
            </w:r>
            <w:r>
              <w:t xml:space="preserve">report claim that they have not opened the </w:t>
            </w:r>
            <w:proofErr w:type="gramStart"/>
            <w:r>
              <w:t>report</w:t>
            </w:r>
            <w:r w:rsidR="00B61F5F">
              <w:t>,</w:t>
            </w:r>
            <w:proofErr w:type="gramEnd"/>
            <w:r w:rsidR="00B61F5F">
              <w:t xml:space="preserve"> efforts to ensure accountability are hampered</w:t>
            </w:r>
            <w:r>
              <w:t>.</w:t>
            </w:r>
            <w:r w:rsidR="00B61F5F">
              <w:t xml:space="preserve"> Currently, all relevant agencies have copies of the report, but only the Department of </w:t>
            </w:r>
            <w:proofErr w:type="spellStart"/>
            <w:r w:rsidR="00B61F5F">
              <w:t>Defense</w:t>
            </w:r>
            <w:proofErr w:type="spellEnd"/>
            <w:r w:rsidR="00B61F5F">
              <w:t xml:space="preserve"> and the Central Intelligence Agencies claim to have read it at all. The Department of Justice has given contradictory statements, some claiming the report was not even opened, others claiming that </w:t>
            </w:r>
            <w:r w:rsidR="003B128C">
              <w:t>the DOJ read it</w:t>
            </w:r>
            <w:r w:rsidR="00B61F5F">
              <w:t xml:space="preserve"> and </w:t>
            </w:r>
            <w:r w:rsidR="003B128C">
              <w:t>the report</w:t>
            </w:r>
            <w:r w:rsidR="00B61F5F">
              <w:t xml:space="preserve"> provided no new information to investigators.</w:t>
            </w:r>
            <w:r w:rsidR="00EF5397">
              <w:rPr>
                <w:rStyle w:val="FootnoteReference"/>
              </w:rPr>
              <w:footnoteReference w:id="13"/>
            </w:r>
            <w:r w:rsidR="00B61F5F">
              <w:t xml:space="preserve"> A Freedom of Information Act lawsuit is ongoing to obtain full copies of the report</w:t>
            </w:r>
            <w:r w:rsidR="003B128C">
              <w:t xml:space="preserve"> for the public</w:t>
            </w:r>
            <w:r w:rsidR="00B61F5F">
              <w:t xml:space="preserve">. </w:t>
            </w:r>
          </w:p>
          <w:p w14:paraId="596CF07A" w14:textId="77777777" w:rsidR="00E139D1" w:rsidRDefault="00E139D1" w:rsidP="002715F3">
            <w:pPr>
              <w:ind w:right="-23"/>
              <w:jc w:val="both"/>
            </w:pPr>
          </w:p>
          <w:p w14:paraId="13F8F4F9" w14:textId="207A3BC3" w:rsidR="00E139D1" w:rsidRPr="00163C82" w:rsidRDefault="00E139D1" w:rsidP="002C2FAE">
            <w:pPr>
              <w:ind w:right="-23"/>
              <w:jc w:val="both"/>
            </w:pPr>
            <w:r>
              <w:t xml:space="preserve">In January Senator Burr also indicated that the committee that he oversees should return copies </w:t>
            </w:r>
            <w:r w:rsidR="002C2FAE">
              <w:t>of the Panetta Review.</w:t>
            </w:r>
            <w:r>
              <w:t xml:space="preserve"> CIA Director Brennan also stated that the Panetta Review would not be released by the CIA as it is an internal deliberative document that is not subject to the committee’s oversight. </w:t>
            </w:r>
            <w:r w:rsidR="003B128C">
              <w:t xml:space="preserve">If this document reaffirms the Senate’s findings, then it would contradict the public rhetoric of the CIA about the program and conclusions of the report. </w:t>
            </w:r>
          </w:p>
        </w:tc>
      </w:tr>
      <w:tr w:rsidR="00B85E0C" w:rsidRPr="00163C82" w14:paraId="2B1DECF0" w14:textId="77777777" w:rsidTr="00B85E0C">
        <w:tc>
          <w:tcPr>
            <w:tcW w:w="3674" w:type="dxa"/>
            <w:tcBorders>
              <w:left w:val="single" w:sz="4" w:space="0" w:color="auto"/>
            </w:tcBorders>
            <w:vAlign w:val="center"/>
          </w:tcPr>
          <w:p w14:paraId="6F46CF0C" w14:textId="77777777" w:rsidR="00B85E0C" w:rsidRPr="00163C82" w:rsidRDefault="00B85E0C" w:rsidP="00A926A8">
            <w:pPr>
              <w:spacing w:before="60" w:after="60"/>
              <w:ind w:right="-23"/>
              <w:jc w:val="center"/>
              <w:rPr>
                <w:b/>
              </w:rPr>
            </w:pPr>
            <w:r w:rsidRPr="00163C82">
              <w:rPr>
                <w:b/>
              </w:rPr>
              <w:t>Impact of the Action of the State party (if any)</w:t>
            </w:r>
          </w:p>
        </w:tc>
        <w:tc>
          <w:tcPr>
            <w:tcW w:w="10456" w:type="dxa"/>
            <w:gridSpan w:val="2"/>
            <w:tcBorders>
              <w:right w:val="single" w:sz="4" w:space="0" w:color="auto"/>
            </w:tcBorders>
            <w:vAlign w:val="center"/>
          </w:tcPr>
          <w:p w14:paraId="280A3848" w14:textId="53A26384" w:rsidR="00BB18B7" w:rsidRPr="00163C82" w:rsidRDefault="007679A8" w:rsidP="001B379E">
            <w:pPr>
              <w:ind w:right="-23"/>
              <w:jc w:val="both"/>
            </w:pPr>
            <w:r>
              <w:t xml:space="preserve">The release of the report has also had some impact on the impetus for legislation and executive reform. </w:t>
            </w:r>
            <w:r w:rsidR="00571112">
              <w:t xml:space="preserve">Senator Feinstein, </w:t>
            </w:r>
            <w:r w:rsidR="00F91842">
              <w:t>chairman of the</w:t>
            </w:r>
            <w:r w:rsidR="001B379E">
              <w:t xml:space="preserve"> Senate Intelligence Committee that initiated, investigated and released portions of the report</w:t>
            </w:r>
            <w:r w:rsidR="00571112">
              <w:t xml:space="preserve">, presented the administration and Congress with recommendations on </w:t>
            </w:r>
            <w:r w:rsidR="00571112">
              <w:lastRenderedPageBreak/>
              <w:t xml:space="preserve">ensuring that the actions are never repeated. These measures included legislative and administrative fixes that would </w:t>
            </w:r>
            <w:r w:rsidR="001B379E">
              <w:t>strengthen the absolute prohibition on torture in US law and policies</w:t>
            </w:r>
            <w:r w:rsidR="00571112">
              <w:t>.</w:t>
            </w:r>
            <w:r w:rsidR="00EF5397">
              <w:rPr>
                <w:rStyle w:val="FootnoteReference"/>
              </w:rPr>
              <w:footnoteReference w:id="14"/>
            </w:r>
            <w:r w:rsidR="00571112">
              <w:t xml:space="preserve"> </w:t>
            </w:r>
            <w:r>
              <w:t xml:space="preserve">However, no concrete action has been taken on these fronts yet. </w:t>
            </w:r>
          </w:p>
        </w:tc>
      </w:tr>
      <w:tr w:rsidR="00B85E0C" w:rsidRPr="00163C82" w14:paraId="2AE466D3" w14:textId="77777777" w:rsidTr="00B85E0C">
        <w:tc>
          <w:tcPr>
            <w:tcW w:w="3674" w:type="dxa"/>
            <w:tcBorders>
              <w:left w:val="single" w:sz="4" w:space="0" w:color="auto"/>
              <w:bottom w:val="single" w:sz="18" w:space="0" w:color="auto"/>
            </w:tcBorders>
            <w:vAlign w:val="center"/>
          </w:tcPr>
          <w:p w14:paraId="3617714E" w14:textId="77777777" w:rsidR="00B85E0C" w:rsidRPr="00163C82" w:rsidRDefault="00B85E0C" w:rsidP="00A926A8">
            <w:pPr>
              <w:spacing w:before="60" w:after="60"/>
              <w:ind w:right="-23"/>
              <w:jc w:val="center"/>
              <w:rPr>
                <w:b/>
              </w:rPr>
            </w:pPr>
            <w:r w:rsidRPr="00163C82">
              <w:rPr>
                <w:b/>
              </w:rPr>
              <w:lastRenderedPageBreak/>
              <w:t>Other Comments</w:t>
            </w:r>
          </w:p>
        </w:tc>
        <w:tc>
          <w:tcPr>
            <w:tcW w:w="10456" w:type="dxa"/>
            <w:gridSpan w:val="2"/>
            <w:tcBorders>
              <w:bottom w:val="single" w:sz="18" w:space="0" w:color="auto"/>
              <w:right w:val="single" w:sz="4" w:space="0" w:color="auto"/>
            </w:tcBorders>
            <w:vAlign w:val="center"/>
          </w:tcPr>
          <w:p w14:paraId="3C628711" w14:textId="77777777" w:rsidR="00B85E0C" w:rsidRPr="00163C82" w:rsidRDefault="00B85E0C" w:rsidP="00A926A8">
            <w:pPr>
              <w:ind w:right="-23"/>
              <w:jc w:val="both"/>
            </w:pPr>
          </w:p>
        </w:tc>
      </w:tr>
      <w:tr w:rsidR="00B85E0C" w:rsidRPr="00163C82" w14:paraId="343BFA6F" w14:textId="77777777" w:rsidTr="00B85E0C">
        <w:tc>
          <w:tcPr>
            <w:tcW w:w="13140" w:type="dxa"/>
            <w:gridSpan w:val="2"/>
            <w:tcBorders>
              <w:top w:val="single" w:sz="18" w:space="0" w:color="auto"/>
              <w:left w:val="single" w:sz="18" w:space="0" w:color="auto"/>
              <w:bottom w:val="single" w:sz="18" w:space="0" w:color="auto"/>
              <w:right w:val="single" w:sz="18" w:space="0" w:color="auto"/>
            </w:tcBorders>
            <w:shd w:val="clear" w:color="auto" w:fill="E0E0E0"/>
          </w:tcPr>
          <w:p w14:paraId="174989B7" w14:textId="77777777" w:rsidR="00B85E0C" w:rsidRPr="00163C82" w:rsidRDefault="00B85E0C" w:rsidP="00A926A8">
            <w:pPr>
              <w:tabs>
                <w:tab w:val="center" w:pos="6691"/>
                <w:tab w:val="left" w:pos="10336"/>
              </w:tabs>
              <w:spacing w:before="60"/>
              <w:jc w:val="center"/>
              <w:rPr>
                <w:b/>
              </w:rPr>
            </w:pPr>
            <w:r w:rsidRPr="00163C82">
              <w:rPr>
                <w:b/>
              </w:rPr>
              <w:t>Overall NGO Grades for the follow-up Action of the State party</w:t>
            </w:r>
            <w:r w:rsidRPr="00163C82">
              <w:rPr>
                <w:rStyle w:val="FootnoteReference"/>
                <w:b/>
              </w:rPr>
              <w:footnoteReference w:id="15"/>
            </w:r>
            <w:r w:rsidRPr="00163C82">
              <w:rPr>
                <w:b/>
              </w:rPr>
              <w:t>:</w:t>
            </w:r>
          </w:p>
          <w:p w14:paraId="7B34FBE2" w14:textId="77777777" w:rsidR="00B85E0C" w:rsidRPr="00163C82" w:rsidRDefault="00B85E0C" w:rsidP="00A926A8">
            <w:pPr>
              <w:tabs>
                <w:tab w:val="center" w:pos="6691"/>
                <w:tab w:val="left" w:pos="10336"/>
              </w:tabs>
              <w:jc w:val="center"/>
              <w:rPr>
                <w:rFonts w:asciiTheme="majorHAnsi" w:hAnsiTheme="majorHAnsi"/>
              </w:rPr>
            </w:pPr>
            <w:r w:rsidRPr="00163C82">
              <w:rPr>
                <w:b/>
              </w:rPr>
              <w:t xml:space="preserve">A: </w:t>
            </w:r>
            <w:r w:rsidRPr="00163C82">
              <w:rPr>
                <w:rFonts w:asciiTheme="majorHAnsi" w:hAnsiTheme="majorHAnsi"/>
              </w:rPr>
              <w:t xml:space="preserve">Action largely satisfactory; </w:t>
            </w:r>
            <w:r w:rsidRPr="00163C82">
              <w:rPr>
                <w:rFonts w:asciiTheme="majorHAnsi" w:hAnsiTheme="majorHAnsi"/>
                <w:b/>
              </w:rPr>
              <w:t>B1</w:t>
            </w:r>
            <w:r w:rsidRPr="00163C82">
              <w:rPr>
                <w:rFonts w:asciiTheme="majorHAnsi" w:hAnsiTheme="majorHAnsi"/>
              </w:rPr>
              <w:t xml:space="preserve">: Substantive action taken, but further action desirable; </w:t>
            </w:r>
            <w:r w:rsidRPr="00163C82">
              <w:rPr>
                <w:rFonts w:asciiTheme="majorHAnsi" w:hAnsiTheme="majorHAnsi"/>
                <w:b/>
              </w:rPr>
              <w:t>B2</w:t>
            </w:r>
            <w:r w:rsidRPr="00163C82">
              <w:rPr>
                <w:rFonts w:asciiTheme="majorHAnsi" w:hAnsiTheme="majorHAnsi"/>
              </w:rPr>
              <w:t>: Initial steps taken, but substantial action required;</w:t>
            </w:r>
          </w:p>
          <w:p w14:paraId="3AAFF51A" w14:textId="77777777" w:rsidR="00B85E0C" w:rsidRPr="00163C82" w:rsidRDefault="00B85E0C" w:rsidP="00A926A8">
            <w:pPr>
              <w:tabs>
                <w:tab w:val="center" w:pos="6691"/>
              </w:tabs>
              <w:spacing w:after="60"/>
              <w:jc w:val="center"/>
              <w:rPr>
                <w:b/>
              </w:rPr>
            </w:pPr>
            <w:r w:rsidRPr="00163C82">
              <w:rPr>
                <w:rFonts w:asciiTheme="majorHAnsi" w:hAnsiTheme="majorHAnsi"/>
                <w:b/>
              </w:rPr>
              <w:t>C1</w:t>
            </w:r>
            <w:r w:rsidRPr="00163C82">
              <w:rPr>
                <w:rFonts w:asciiTheme="majorHAnsi" w:hAnsiTheme="majorHAnsi"/>
              </w:rPr>
              <w:t xml:space="preserve">: Some actions taken, but recommendations are not really implemented; </w:t>
            </w:r>
            <w:r w:rsidRPr="00163C82">
              <w:rPr>
                <w:rFonts w:asciiTheme="majorHAnsi" w:hAnsiTheme="majorHAnsi"/>
                <w:b/>
              </w:rPr>
              <w:t>C2</w:t>
            </w:r>
            <w:r w:rsidRPr="00163C82">
              <w:rPr>
                <w:rFonts w:asciiTheme="majorHAnsi" w:hAnsiTheme="majorHAnsi"/>
              </w:rPr>
              <w:t xml:space="preserve">: No action taken; </w:t>
            </w:r>
            <w:r w:rsidRPr="00163C82">
              <w:rPr>
                <w:rFonts w:asciiTheme="majorHAnsi" w:hAnsiTheme="majorHAnsi"/>
                <w:b/>
              </w:rPr>
              <w:t>E</w:t>
            </w:r>
            <w:r w:rsidRPr="00163C82">
              <w:rPr>
                <w:rFonts w:asciiTheme="majorHAnsi" w:hAnsiTheme="majorHAnsi"/>
              </w:rPr>
              <w:t>: measures taken are contrary to the recommendations</w:t>
            </w:r>
          </w:p>
        </w:tc>
        <w:tc>
          <w:tcPr>
            <w:tcW w:w="990" w:type="dxa"/>
            <w:tcBorders>
              <w:top w:val="single" w:sz="18" w:space="0" w:color="auto"/>
              <w:left w:val="single" w:sz="18" w:space="0" w:color="auto"/>
              <w:bottom w:val="single" w:sz="18" w:space="0" w:color="auto"/>
              <w:right w:val="single" w:sz="18" w:space="0" w:color="auto"/>
            </w:tcBorders>
            <w:vAlign w:val="center"/>
          </w:tcPr>
          <w:p w14:paraId="0B5AC4C9" w14:textId="4ACA791D" w:rsidR="00B85E0C" w:rsidRPr="00163C82" w:rsidRDefault="000C485D" w:rsidP="00A926A8">
            <w:pPr>
              <w:spacing w:before="60" w:after="60"/>
              <w:jc w:val="center"/>
              <w:rPr>
                <w:b/>
              </w:rPr>
            </w:pPr>
            <w:r>
              <w:rPr>
                <w:b/>
              </w:rPr>
              <w:t>C1</w:t>
            </w:r>
          </w:p>
        </w:tc>
      </w:tr>
    </w:tbl>
    <w:p w14:paraId="7C033CA0" w14:textId="77777777" w:rsidR="00B85E0C" w:rsidRPr="00163C82" w:rsidRDefault="00B85E0C" w:rsidP="00B85E0C">
      <w:pPr>
        <w:rPr>
          <w:sz w:val="24"/>
          <w:szCs w:val="24"/>
        </w:rPr>
      </w:pPr>
    </w:p>
    <w:p w14:paraId="382B42F9" w14:textId="77777777" w:rsidR="00B85E0C" w:rsidRPr="00163C82" w:rsidRDefault="00B85E0C" w:rsidP="00B85E0C">
      <w:pPr>
        <w:tabs>
          <w:tab w:val="left" w:pos="2028"/>
        </w:tabs>
        <w:rPr>
          <w:sz w:val="24"/>
          <w:szCs w:val="24"/>
        </w:rPr>
      </w:pPr>
    </w:p>
    <w:p w14:paraId="6EB528CA" w14:textId="77777777" w:rsidR="00B85E0C" w:rsidRPr="00163C82" w:rsidRDefault="00B85E0C" w:rsidP="00B85E0C">
      <w:pPr>
        <w:tabs>
          <w:tab w:val="left" w:pos="2028"/>
        </w:tabs>
        <w:rPr>
          <w:sz w:val="24"/>
          <w:szCs w:val="24"/>
        </w:rPr>
      </w:pPr>
    </w:p>
    <w:p w14:paraId="36EAC186" w14:textId="77777777" w:rsidR="00B85E0C" w:rsidRPr="00163C82" w:rsidRDefault="00B85E0C" w:rsidP="00B85E0C">
      <w:pPr>
        <w:spacing w:after="120"/>
        <w:jc w:val="both"/>
        <w:rPr>
          <w:b/>
          <w:sz w:val="24"/>
          <w:szCs w:val="24"/>
          <w:u w:val="single"/>
        </w:rPr>
      </w:pPr>
      <w:r w:rsidRPr="00163C82">
        <w:rPr>
          <w:b/>
          <w:sz w:val="24"/>
          <w:szCs w:val="24"/>
          <w:u w:val="single"/>
        </w:rPr>
        <w:t>Detainees at Guantánamo Bay</w:t>
      </w:r>
    </w:p>
    <w:p w14:paraId="670EFA22" w14:textId="77777777" w:rsidR="00B85E0C" w:rsidRPr="00163C82" w:rsidRDefault="00B85E0C" w:rsidP="00B85E0C">
      <w:pPr>
        <w:spacing w:after="120"/>
        <w:jc w:val="both"/>
        <w:rPr>
          <w:sz w:val="24"/>
          <w:szCs w:val="24"/>
        </w:rPr>
      </w:pPr>
      <w:r w:rsidRPr="00163C82">
        <w:rPr>
          <w:b/>
          <w:sz w:val="24"/>
          <w:szCs w:val="24"/>
        </w:rPr>
        <w:t>Paragraph 21 (Detainees at Guantanamo Bay):</w:t>
      </w:r>
      <w:r w:rsidRPr="00163C82">
        <w:rPr>
          <w:sz w:val="24"/>
          <w:szCs w:val="24"/>
        </w:rPr>
        <w:t xml:space="preserve"> “While noting the President’s commitment to closing the Guantánamo Bay facility and the appointment of Special Envoys at the United States Departments of State and of </w:t>
      </w:r>
      <w:proofErr w:type="spellStart"/>
      <w:r w:rsidRPr="00163C82">
        <w:rPr>
          <w:sz w:val="24"/>
          <w:szCs w:val="24"/>
        </w:rPr>
        <w:t>Defense</w:t>
      </w:r>
      <w:proofErr w:type="spellEnd"/>
      <w:r w:rsidRPr="00163C82">
        <w:rPr>
          <w:sz w:val="24"/>
          <w:szCs w:val="24"/>
        </w:rPr>
        <w:t xml:space="preserve"> to continue to pursue the transfer of designated detainees, the Committee regrets that no timeline for closure of the facility has been provided. The Committee is also concerned that detainees held in Guantánamo Bay and in military facilities in Afghanistan are not dealt with through the ordinary criminal justice system after a protracted period of over a decade, in some cases (arts. 7, 9, 10 and 14).”</w:t>
      </w:r>
    </w:p>
    <w:tbl>
      <w:tblPr>
        <w:tblStyle w:val="TableGrid"/>
        <w:tblW w:w="13968" w:type="dxa"/>
        <w:tblLayout w:type="fixed"/>
        <w:tblLook w:val="04A0" w:firstRow="1" w:lastRow="0" w:firstColumn="1" w:lastColumn="0" w:noHBand="0" w:noVBand="1"/>
      </w:tblPr>
      <w:tblGrid>
        <w:gridCol w:w="2376"/>
        <w:gridCol w:w="11592"/>
      </w:tblGrid>
      <w:tr w:rsidR="00B85E0C" w:rsidRPr="00163C82" w14:paraId="1D90D2AB" w14:textId="77777777" w:rsidTr="00B85E0C">
        <w:tc>
          <w:tcPr>
            <w:tcW w:w="13968" w:type="dxa"/>
            <w:gridSpan w:val="2"/>
            <w:tcBorders>
              <w:top w:val="single" w:sz="4" w:space="0" w:color="auto"/>
              <w:left w:val="nil"/>
              <w:bottom w:val="single" w:sz="18" w:space="0" w:color="auto"/>
              <w:right w:val="nil"/>
            </w:tcBorders>
            <w:vAlign w:val="center"/>
          </w:tcPr>
          <w:p w14:paraId="449EDCFE" w14:textId="77777777" w:rsidR="00B85E0C" w:rsidRPr="00163C82" w:rsidRDefault="00B85E0C" w:rsidP="00A926A8">
            <w:pPr>
              <w:spacing w:before="60" w:after="60"/>
              <w:ind w:right="-23"/>
              <w:jc w:val="center"/>
              <w:rPr>
                <w:b/>
              </w:rPr>
            </w:pPr>
            <w:r w:rsidRPr="00163C82">
              <w:rPr>
                <w:b/>
              </w:rPr>
              <w:t>NGO Assessment of the Action of the State party on the Recommendations made by the Committee</w:t>
            </w:r>
          </w:p>
        </w:tc>
      </w:tr>
      <w:tr w:rsidR="00B85E0C" w:rsidRPr="00163C82" w14:paraId="4F78A8D7" w14:textId="77777777" w:rsidTr="00B85E0C">
        <w:tc>
          <w:tcPr>
            <w:tcW w:w="2376" w:type="dxa"/>
            <w:tcBorders>
              <w:top w:val="single" w:sz="18" w:space="0" w:color="auto"/>
              <w:left w:val="single" w:sz="4" w:space="0" w:color="auto"/>
              <w:bottom w:val="single" w:sz="4" w:space="0" w:color="auto"/>
            </w:tcBorders>
            <w:shd w:val="clear" w:color="auto" w:fill="E0E0E0"/>
            <w:vAlign w:val="center"/>
          </w:tcPr>
          <w:p w14:paraId="57EEAE28" w14:textId="77777777" w:rsidR="00B85E0C" w:rsidRPr="00163C82" w:rsidRDefault="00B85E0C" w:rsidP="00A926A8">
            <w:pPr>
              <w:spacing w:before="60" w:after="60"/>
              <w:ind w:right="-23"/>
              <w:jc w:val="center"/>
              <w:rPr>
                <w:b/>
              </w:rPr>
            </w:pPr>
            <w:r w:rsidRPr="00163C82">
              <w:rPr>
                <w:b/>
              </w:rPr>
              <w:t>Recommendation by the Committee</w:t>
            </w:r>
          </w:p>
        </w:tc>
        <w:tc>
          <w:tcPr>
            <w:tcW w:w="11592" w:type="dxa"/>
            <w:tcBorders>
              <w:top w:val="single" w:sz="18" w:space="0" w:color="auto"/>
              <w:bottom w:val="single" w:sz="4" w:space="0" w:color="auto"/>
              <w:right w:val="single" w:sz="4" w:space="0" w:color="auto"/>
            </w:tcBorders>
            <w:shd w:val="clear" w:color="auto" w:fill="E0E0E0"/>
            <w:vAlign w:val="center"/>
          </w:tcPr>
          <w:p w14:paraId="7A9C0BAB" w14:textId="77777777" w:rsidR="00B85E0C" w:rsidRPr="00163C82" w:rsidRDefault="00B85E0C" w:rsidP="00A926A8">
            <w:pPr>
              <w:spacing w:before="60" w:after="60"/>
              <w:ind w:right="-23"/>
              <w:jc w:val="both"/>
              <w:rPr>
                <w:i/>
              </w:rPr>
            </w:pPr>
            <w:r w:rsidRPr="00163C82">
              <w:rPr>
                <w:i/>
              </w:rPr>
              <w:t xml:space="preserve">The State party should expedite the transfer of detainees designated for transfer, including to Yemen, as well as the process of periodic review for Guantánamo detainees and ensure either their trial or their immediate release and the closure of the Guantánamo Bay facility. </w:t>
            </w:r>
          </w:p>
        </w:tc>
      </w:tr>
      <w:tr w:rsidR="00B85E0C" w:rsidRPr="00163C82" w14:paraId="42BC75F6" w14:textId="77777777" w:rsidTr="00B85E0C">
        <w:tc>
          <w:tcPr>
            <w:tcW w:w="2376" w:type="dxa"/>
            <w:tcBorders>
              <w:top w:val="single" w:sz="4" w:space="0" w:color="auto"/>
              <w:left w:val="single" w:sz="4" w:space="0" w:color="auto"/>
            </w:tcBorders>
            <w:vAlign w:val="center"/>
          </w:tcPr>
          <w:p w14:paraId="62F2148C" w14:textId="77777777" w:rsidR="00B85E0C" w:rsidRPr="00163C82" w:rsidRDefault="00B85E0C" w:rsidP="00A926A8">
            <w:pPr>
              <w:spacing w:before="60" w:after="60"/>
              <w:ind w:right="-23"/>
              <w:jc w:val="center"/>
              <w:rPr>
                <w:b/>
              </w:rPr>
            </w:pPr>
            <w:r w:rsidRPr="00163C82">
              <w:rPr>
                <w:b/>
              </w:rPr>
              <w:t>Actions taken by the State party</w:t>
            </w:r>
          </w:p>
        </w:tc>
        <w:tc>
          <w:tcPr>
            <w:tcW w:w="11592" w:type="dxa"/>
            <w:tcBorders>
              <w:top w:val="single" w:sz="4" w:space="0" w:color="auto"/>
              <w:right w:val="single" w:sz="4" w:space="0" w:color="auto"/>
            </w:tcBorders>
            <w:vAlign w:val="center"/>
          </w:tcPr>
          <w:p w14:paraId="7C0B33E5" w14:textId="02FA3817" w:rsidR="00E156EC" w:rsidRDefault="00DF243D" w:rsidP="00E01AE7">
            <w:pPr>
              <w:ind w:right="-23"/>
              <w:jc w:val="both"/>
            </w:pPr>
            <w:r>
              <w:t>Since March 2014, 30 detainees have been transferred from the Guant</w:t>
            </w:r>
            <w:r w:rsidRPr="00163C82">
              <w:t>á</w:t>
            </w:r>
            <w:r>
              <w:t xml:space="preserve">namo Bay facility to home or third countries. </w:t>
            </w:r>
            <w:r w:rsidR="00E54FA9">
              <w:t>O</w:t>
            </w:r>
            <w:r w:rsidR="00382952">
              <w:t xml:space="preserve">n May 30, 2014 five detainees were transferred to Qatar in exchange for U.S. </w:t>
            </w:r>
            <w:proofErr w:type="spellStart"/>
            <w:r w:rsidR="00382952">
              <w:t>Sgt.</w:t>
            </w:r>
            <w:proofErr w:type="spellEnd"/>
            <w:r w:rsidR="00382952">
              <w:t xml:space="preserve"> Bowe </w:t>
            </w:r>
            <w:proofErr w:type="spellStart"/>
            <w:r w:rsidR="00382952">
              <w:t>Bergdahl</w:t>
            </w:r>
            <w:proofErr w:type="spellEnd"/>
            <w:r w:rsidR="00382952">
              <w:t xml:space="preserve">, who was held by the Taliban. In November 2014, three detainees were sent to Georgia, all of them from Yemen. Two other detainees </w:t>
            </w:r>
            <w:r w:rsidR="00382952">
              <w:lastRenderedPageBreak/>
              <w:t xml:space="preserve">were sent to Slovakia, one from Yemen and one from Tunisia. </w:t>
            </w:r>
            <w:r w:rsidR="00E01AE7">
              <w:t xml:space="preserve">In December 2014, six detainees were transferred to Uruguay, four Afghan detainees were repatriated to Afghanistan, </w:t>
            </w:r>
            <w:r w:rsidR="00924B9E">
              <w:t xml:space="preserve">and </w:t>
            </w:r>
            <w:r w:rsidR="00E01AE7">
              <w:t xml:space="preserve">another five were transferred to Kazakhstan. </w:t>
            </w:r>
            <w:r w:rsidR="003F484A">
              <w:t>So far in 2015, five Yemeni detainees were transferred out of the prison, four to Oman and one to Estonia.</w:t>
            </w:r>
            <w:r w:rsidR="00EF5397">
              <w:rPr>
                <w:rStyle w:val="FootnoteReference"/>
              </w:rPr>
              <w:footnoteReference w:id="16"/>
            </w:r>
            <w:r w:rsidR="003F484A">
              <w:t xml:space="preserve"> </w:t>
            </w:r>
          </w:p>
          <w:p w14:paraId="54D2CDC1" w14:textId="77777777" w:rsidR="00305180" w:rsidRDefault="00305180" w:rsidP="00E01AE7">
            <w:pPr>
              <w:ind w:right="-23"/>
              <w:jc w:val="both"/>
            </w:pPr>
          </w:p>
          <w:p w14:paraId="362C3ECE" w14:textId="032934F1" w:rsidR="00305180" w:rsidRDefault="00E54FA9" w:rsidP="00E01AE7">
            <w:pPr>
              <w:ind w:right="-23"/>
              <w:jc w:val="both"/>
            </w:pPr>
            <w:r>
              <w:t>In December 2014, t</w:t>
            </w:r>
            <w:r w:rsidR="00305180">
              <w:t xml:space="preserve">he U.S. </w:t>
            </w:r>
            <w:r w:rsidR="00305180" w:rsidRPr="00163C82">
              <w:t>Congress passed</w:t>
            </w:r>
            <w:r w:rsidR="00A66E34">
              <w:t>, and the President signed,</w:t>
            </w:r>
            <w:r w:rsidR="00305180" w:rsidRPr="00163C82">
              <w:t xml:space="preserve"> the National </w:t>
            </w:r>
            <w:proofErr w:type="spellStart"/>
            <w:r w:rsidR="00305180" w:rsidRPr="00163C82">
              <w:t>Defense</w:t>
            </w:r>
            <w:proofErr w:type="spellEnd"/>
            <w:r w:rsidR="00305180" w:rsidRPr="00163C82">
              <w:t xml:space="preserve"> Authorization Act </w:t>
            </w:r>
            <w:r w:rsidR="00A66E34">
              <w:t xml:space="preserve">for </w:t>
            </w:r>
            <w:r>
              <w:t>F</w:t>
            </w:r>
            <w:r w:rsidR="00A66E34">
              <w:t xml:space="preserve">iscal </w:t>
            </w:r>
            <w:r>
              <w:t>Y</w:t>
            </w:r>
            <w:r w:rsidR="00A66E34">
              <w:t>ear</w:t>
            </w:r>
            <w:r>
              <w:t xml:space="preserve"> 2014</w:t>
            </w:r>
            <w:r w:rsidR="00305180" w:rsidRPr="00924B9E">
              <w:t>,</w:t>
            </w:r>
            <w:r w:rsidR="00305180" w:rsidRPr="00163C82">
              <w:t xml:space="preserve"> which included </w:t>
            </w:r>
            <w:r w:rsidR="00305180" w:rsidRPr="0086222C">
              <w:t xml:space="preserve">measures </w:t>
            </w:r>
            <w:r w:rsidR="0086222C">
              <w:t xml:space="preserve">that </w:t>
            </w:r>
            <w:r w:rsidR="002D71DC">
              <w:t xml:space="preserve">lowered the barriers on transferring detainees overseas while still banning transfers to the United States. </w:t>
            </w:r>
            <w:r w:rsidR="00305180">
              <w:t xml:space="preserve">This allowed the administration to </w:t>
            </w:r>
            <w:r w:rsidR="0086222C">
              <w:t xml:space="preserve">continue </w:t>
            </w:r>
            <w:r w:rsidR="002D71DC">
              <w:t xml:space="preserve">foreign </w:t>
            </w:r>
            <w:r w:rsidR="0086222C">
              <w:t>transfer</w:t>
            </w:r>
            <w:r w:rsidR="002D71DC">
              <w:t>s of</w:t>
            </w:r>
            <w:r w:rsidR="00305180">
              <w:t xml:space="preserve"> </w:t>
            </w:r>
            <w:r w:rsidR="009A3451">
              <w:t>detainees, including to Yemen.</w:t>
            </w:r>
            <w:r w:rsidR="002079FA">
              <w:rPr>
                <w:rStyle w:val="FootnoteReference"/>
              </w:rPr>
              <w:footnoteReference w:id="17"/>
            </w:r>
            <w:r w:rsidR="009A3451">
              <w:t xml:space="preserve"> However, the </w:t>
            </w:r>
            <w:r w:rsidR="004D051D">
              <w:t xml:space="preserve">administration has not transferred any detainees to Yemen citing the </w:t>
            </w:r>
            <w:r w:rsidR="009A3451">
              <w:t xml:space="preserve">security situation </w:t>
            </w:r>
            <w:r w:rsidR="004D051D">
              <w:t>there</w:t>
            </w:r>
            <w:r w:rsidR="009A3451">
              <w:t xml:space="preserve">. </w:t>
            </w:r>
          </w:p>
          <w:p w14:paraId="044E663F" w14:textId="77777777" w:rsidR="002D71DC" w:rsidRDefault="002D71DC" w:rsidP="00E01AE7">
            <w:pPr>
              <w:ind w:right="-23"/>
              <w:jc w:val="both"/>
            </w:pPr>
          </w:p>
          <w:p w14:paraId="1700FAFB" w14:textId="77777777" w:rsidR="002D71DC" w:rsidRDefault="002D71DC" w:rsidP="002D71DC">
            <w:pPr>
              <w:ind w:right="-23"/>
              <w:jc w:val="both"/>
            </w:pPr>
            <w:r w:rsidRPr="00163C82">
              <w:t xml:space="preserve">In his </w:t>
            </w:r>
            <w:r>
              <w:t>S</w:t>
            </w:r>
            <w:r w:rsidRPr="00163C82">
              <w:t xml:space="preserve">tate of the Union address on </w:t>
            </w:r>
            <w:r>
              <w:t>January 20, 2015</w:t>
            </w:r>
            <w:r w:rsidRPr="00163C82">
              <w:t xml:space="preserve">, President Obama recommitted </w:t>
            </w:r>
            <w:r>
              <w:t>his administration</w:t>
            </w:r>
            <w:r w:rsidRPr="00163C82">
              <w:t xml:space="preserve"> to closing the Guantanamo Bay detention facility.</w:t>
            </w:r>
            <w:r>
              <w:rPr>
                <w:rStyle w:val="FootnoteReference"/>
              </w:rPr>
              <w:footnoteReference w:id="18"/>
            </w:r>
          </w:p>
          <w:p w14:paraId="5A722892" w14:textId="77777777" w:rsidR="00E156EC" w:rsidRDefault="00E156EC" w:rsidP="00E01AE7">
            <w:pPr>
              <w:ind w:right="-23"/>
              <w:jc w:val="both"/>
            </w:pPr>
          </w:p>
          <w:p w14:paraId="688B4AAB" w14:textId="6A4C08D6" w:rsidR="00B85E0C" w:rsidRPr="00163C82" w:rsidRDefault="003F484A" w:rsidP="008F4694">
            <w:pPr>
              <w:ind w:right="-23"/>
              <w:jc w:val="both"/>
            </w:pPr>
            <w:r>
              <w:t xml:space="preserve">In addition, </w:t>
            </w:r>
            <w:r w:rsidR="008F4694">
              <w:t xml:space="preserve">since March 2014, twelve detainees have had hearings before </w:t>
            </w:r>
            <w:r>
              <w:t xml:space="preserve">the </w:t>
            </w:r>
            <w:r w:rsidR="00E156EC">
              <w:t>Periodic Review Board</w:t>
            </w:r>
            <w:r w:rsidR="008F4694">
              <w:t xml:space="preserve">. Seven detainees were approved for transfer while four were not approved and will continue to be held without charge or trial. </w:t>
            </w:r>
            <w:r w:rsidR="009348FE">
              <w:t xml:space="preserve">A </w:t>
            </w:r>
            <w:r w:rsidR="008F4694">
              <w:t>f</w:t>
            </w:r>
            <w:r w:rsidR="00924B9E">
              <w:t>inal determination</w:t>
            </w:r>
            <w:r w:rsidR="009348FE">
              <w:t xml:space="preserve"> has</w:t>
            </w:r>
            <w:r w:rsidR="00924B9E">
              <w:t xml:space="preserve"> not been made in </w:t>
            </w:r>
            <w:r w:rsidR="009348FE">
              <w:t>one</w:t>
            </w:r>
            <w:r w:rsidR="00924B9E">
              <w:t xml:space="preserve"> case.</w:t>
            </w:r>
            <w:r w:rsidR="009348FE">
              <w:rPr>
                <w:rStyle w:val="FootnoteReference"/>
              </w:rPr>
              <w:footnoteReference w:id="19"/>
            </w:r>
            <w:r w:rsidR="00924B9E">
              <w:t xml:space="preserve"> </w:t>
            </w:r>
          </w:p>
        </w:tc>
      </w:tr>
      <w:tr w:rsidR="00B85E0C" w:rsidRPr="00163C82" w14:paraId="1306E6C7" w14:textId="77777777" w:rsidTr="00B85E0C">
        <w:tc>
          <w:tcPr>
            <w:tcW w:w="2376" w:type="dxa"/>
            <w:tcBorders>
              <w:left w:val="single" w:sz="4" w:space="0" w:color="auto"/>
            </w:tcBorders>
            <w:vAlign w:val="center"/>
          </w:tcPr>
          <w:p w14:paraId="5306312A" w14:textId="77777777" w:rsidR="00B85E0C" w:rsidRPr="00163C82" w:rsidRDefault="00B85E0C" w:rsidP="00A926A8">
            <w:pPr>
              <w:spacing w:before="60" w:after="60"/>
              <w:ind w:right="-23"/>
              <w:jc w:val="center"/>
              <w:rPr>
                <w:b/>
              </w:rPr>
            </w:pPr>
            <w:r w:rsidRPr="00163C82">
              <w:rPr>
                <w:b/>
              </w:rPr>
              <w:lastRenderedPageBreak/>
              <w:t>Current situation / Update of the Issue</w:t>
            </w:r>
          </w:p>
        </w:tc>
        <w:tc>
          <w:tcPr>
            <w:tcW w:w="11592" w:type="dxa"/>
            <w:tcBorders>
              <w:right w:val="single" w:sz="4" w:space="0" w:color="auto"/>
            </w:tcBorders>
            <w:vAlign w:val="center"/>
          </w:tcPr>
          <w:p w14:paraId="64725C5A" w14:textId="4A3C7694" w:rsidR="005A738E" w:rsidRDefault="006F7A9E" w:rsidP="003C0F37">
            <w:pPr>
              <w:ind w:right="-23"/>
              <w:jc w:val="both"/>
            </w:pPr>
            <w:r>
              <w:t xml:space="preserve">The United States continues to detain 122 men at the Guantanamo Bay prison. Of the 122 detainees, 57 </w:t>
            </w:r>
            <w:r w:rsidR="005A738E">
              <w:t xml:space="preserve">men </w:t>
            </w:r>
            <w:r>
              <w:t>have been cleared for transfer by relevant U.S. national security and intelligence agencies (48 men have been cleared since</w:t>
            </w:r>
            <w:r w:rsidR="005A738E">
              <w:t xml:space="preserve"> at least 2009, many of which were cleared under the Bush administration), 33 men continue to be held without charge until the “end of hostilities”</w:t>
            </w:r>
            <w:r w:rsidR="005A738E">
              <w:rPr>
                <w:rStyle w:val="FootnoteReference"/>
              </w:rPr>
              <w:footnoteReference w:id="20"/>
            </w:r>
            <w:r w:rsidR="005A738E">
              <w:t xml:space="preserve">, 22 are slated for possible prosecution, 7 currently face trial by military commissions, and </w:t>
            </w:r>
            <w:r>
              <w:t xml:space="preserve">3 have been convicted by military commissions and are serving or awaiting sentencing. </w:t>
            </w:r>
          </w:p>
          <w:p w14:paraId="502F0545" w14:textId="77777777" w:rsidR="005A738E" w:rsidRDefault="005A738E" w:rsidP="003C0F37">
            <w:pPr>
              <w:ind w:right="-23"/>
              <w:jc w:val="both"/>
            </w:pPr>
          </w:p>
          <w:p w14:paraId="0B38476A" w14:textId="77777777" w:rsidR="00743990" w:rsidRDefault="00064BA9" w:rsidP="003C0F37">
            <w:pPr>
              <w:ind w:right="-23"/>
              <w:jc w:val="both"/>
            </w:pPr>
            <w:r>
              <w:t xml:space="preserve">Since the Periodic Review Board process began in 2013, only 13 detainees have had hearings. </w:t>
            </w:r>
            <w:r w:rsidRPr="00064BA9">
              <w:t xml:space="preserve">The PRB has cleared nine detainees and has repatriated two of the nine. It has declined to clear four detainees but has ordered a new hearing for one of the four. </w:t>
            </w:r>
            <w:r w:rsidR="00F931B4">
              <w:t xml:space="preserve">Fifty-five </w:t>
            </w:r>
            <w:r>
              <w:t>detainees remain eligible for review by the Periodic Review Board</w:t>
            </w:r>
            <w:r w:rsidR="00F931B4">
              <w:t xml:space="preserve"> - </w:t>
            </w:r>
            <w:r w:rsidR="00683155">
              <w:t>3</w:t>
            </w:r>
            <w:r w:rsidR="006364EE">
              <w:t>3</w:t>
            </w:r>
            <w:r w:rsidR="00683155">
              <w:t xml:space="preserve"> </w:t>
            </w:r>
            <w:r w:rsidR="00E156EC">
              <w:t xml:space="preserve">held in </w:t>
            </w:r>
            <w:r w:rsidR="00E156EC">
              <w:lastRenderedPageBreak/>
              <w:t>indefinite detention</w:t>
            </w:r>
            <w:r w:rsidR="00683155">
              <w:t xml:space="preserve"> and 2</w:t>
            </w:r>
            <w:r w:rsidR="006364EE">
              <w:t>2</w:t>
            </w:r>
            <w:r w:rsidR="00683155">
              <w:t xml:space="preserve"> referred for prosecution</w:t>
            </w:r>
            <w:r w:rsidR="00F931B4">
              <w:t xml:space="preserve"> – but have not been considered by the PRBs. At the current rate, PRB hearings will not be completed for all eligible detainees until 2020. </w:t>
            </w:r>
          </w:p>
          <w:p w14:paraId="0858C932" w14:textId="77777777" w:rsidR="00743990" w:rsidRDefault="00743990" w:rsidP="003C0F37">
            <w:pPr>
              <w:ind w:right="-23"/>
              <w:jc w:val="both"/>
            </w:pPr>
          </w:p>
          <w:p w14:paraId="6ADF4993" w14:textId="5489EC9A" w:rsidR="00E156EC" w:rsidRDefault="00730A03" w:rsidP="003C0F37">
            <w:pPr>
              <w:ind w:right="-23"/>
              <w:jc w:val="both"/>
            </w:pPr>
            <w:r w:rsidRPr="00163C82">
              <w:t xml:space="preserve">Additionally, the U.S. Senate is considering legislation that would roll </w:t>
            </w:r>
            <w:proofErr w:type="gramStart"/>
            <w:r w:rsidRPr="00163C82">
              <w:t>back</w:t>
            </w:r>
            <w:proofErr w:type="gramEnd"/>
            <w:r w:rsidRPr="00163C82">
              <w:t xml:space="preserve"> much of the progress made </w:t>
            </w:r>
            <w:r w:rsidR="00E5288F">
              <w:t xml:space="preserve">in 2014 on easing foreign transfer </w:t>
            </w:r>
            <w:r w:rsidRPr="00163C82">
              <w:t>restrictions. The legislation would, in e</w:t>
            </w:r>
            <w:r w:rsidR="00E5288F">
              <w:t>ffect</w:t>
            </w:r>
            <w:r w:rsidRPr="00163C82">
              <w:t>, ban all future transfers of Guantanamo detainees</w:t>
            </w:r>
            <w:r w:rsidR="00E5288F">
              <w:t xml:space="preserve"> to any country for 2 years and reinstate </w:t>
            </w:r>
            <w:r w:rsidR="001B583E">
              <w:t>the previous stricter transfer restrictions and make them permanent</w:t>
            </w:r>
            <w:r>
              <w:t>.</w:t>
            </w:r>
            <w:r w:rsidR="008E5DEC">
              <w:rPr>
                <w:rStyle w:val="FootnoteReference"/>
              </w:rPr>
              <w:footnoteReference w:id="21"/>
            </w:r>
            <w:r>
              <w:t xml:space="preserve"> </w:t>
            </w:r>
          </w:p>
          <w:p w14:paraId="13167049" w14:textId="77777777" w:rsidR="00E156EC" w:rsidRDefault="00E156EC" w:rsidP="003C0F37">
            <w:pPr>
              <w:ind w:right="-23"/>
              <w:jc w:val="both"/>
            </w:pPr>
          </w:p>
          <w:p w14:paraId="5EDE58F0" w14:textId="1EB4BC71" w:rsidR="00B85E0C" w:rsidRPr="00163C82" w:rsidRDefault="001B583E" w:rsidP="001B583E">
            <w:pPr>
              <w:ind w:right="-23"/>
              <w:jc w:val="both"/>
            </w:pPr>
            <w:r>
              <w:t>Finally, o</w:t>
            </w:r>
            <w:r w:rsidR="00134811" w:rsidRPr="00163C82">
              <w:t xml:space="preserve">n </w:t>
            </w:r>
            <w:r w:rsidR="003F484A">
              <w:t xml:space="preserve">December 31, 2014 </w:t>
            </w:r>
            <w:r w:rsidR="00134811" w:rsidRPr="00163C82">
              <w:t>the U.S. State Department envoy for c</w:t>
            </w:r>
            <w:r w:rsidR="00305180">
              <w:t xml:space="preserve">losing Guantanamo resigned and </w:t>
            </w:r>
            <w:r w:rsidR="00134811" w:rsidRPr="00163C82">
              <w:t xml:space="preserve">has not </w:t>
            </w:r>
            <w:r w:rsidR="00825E66" w:rsidRPr="00163C82">
              <w:t>been replaced.</w:t>
            </w:r>
            <w:r w:rsidR="008E5DEC">
              <w:rPr>
                <w:rStyle w:val="FootnoteReference"/>
              </w:rPr>
              <w:footnoteReference w:id="22"/>
            </w:r>
            <w:r w:rsidR="00825E66" w:rsidRPr="00163C82">
              <w:t xml:space="preserve"> </w:t>
            </w:r>
          </w:p>
        </w:tc>
      </w:tr>
      <w:tr w:rsidR="00B85E0C" w:rsidRPr="00163C82" w14:paraId="269FD637" w14:textId="77777777" w:rsidTr="00B85E0C">
        <w:tc>
          <w:tcPr>
            <w:tcW w:w="2376" w:type="dxa"/>
            <w:tcBorders>
              <w:left w:val="single" w:sz="4" w:space="0" w:color="auto"/>
            </w:tcBorders>
            <w:vAlign w:val="center"/>
          </w:tcPr>
          <w:p w14:paraId="0AD00FE0" w14:textId="77777777" w:rsidR="00B85E0C" w:rsidRPr="00163C82" w:rsidRDefault="00B85E0C" w:rsidP="00A926A8">
            <w:pPr>
              <w:spacing w:before="60" w:after="60"/>
              <w:ind w:right="-23"/>
              <w:jc w:val="center"/>
              <w:rPr>
                <w:b/>
              </w:rPr>
            </w:pPr>
            <w:r w:rsidRPr="00163C82">
              <w:rPr>
                <w:b/>
              </w:rPr>
              <w:lastRenderedPageBreak/>
              <w:t>Impact of the Action of the State party (if any)</w:t>
            </w:r>
          </w:p>
        </w:tc>
        <w:tc>
          <w:tcPr>
            <w:tcW w:w="11592" w:type="dxa"/>
            <w:tcBorders>
              <w:right w:val="single" w:sz="4" w:space="0" w:color="auto"/>
            </w:tcBorders>
            <w:vAlign w:val="center"/>
          </w:tcPr>
          <w:p w14:paraId="6AFDC4F6" w14:textId="06173C52" w:rsidR="00B85E0C" w:rsidRDefault="00730A03" w:rsidP="00683155">
            <w:pPr>
              <w:ind w:right="-23"/>
              <w:jc w:val="both"/>
            </w:pPr>
            <w:r>
              <w:t>As a result of the Obama administration’s transfer of detainees</w:t>
            </w:r>
            <w:r w:rsidR="003F4B2A">
              <w:t xml:space="preserve"> to foreign countries</w:t>
            </w:r>
            <w:r>
              <w:t xml:space="preserve">, the population of the prison facility has been reduced to 122. The </w:t>
            </w:r>
            <w:r w:rsidR="00805AE2">
              <w:t>plurality of detainees has</w:t>
            </w:r>
            <w:r>
              <w:t xml:space="preserve"> been cleared for </w:t>
            </w:r>
            <w:r w:rsidR="00805AE2">
              <w:t>transfer</w:t>
            </w:r>
            <w:r>
              <w:t xml:space="preserve">, but </w:t>
            </w:r>
            <w:r w:rsidR="00805AE2">
              <w:t xml:space="preserve">the administration has not transferred any cleared detainees since January 2015. It is unclear how the ongoing vacancy of the State Department envoy is impacting efforts to continue transferring cleared detainees from the prison facility. </w:t>
            </w:r>
          </w:p>
          <w:p w14:paraId="28F18F17" w14:textId="77777777" w:rsidR="00805AE2" w:rsidRDefault="00805AE2" w:rsidP="00683155">
            <w:pPr>
              <w:ind w:right="-23"/>
              <w:jc w:val="both"/>
            </w:pPr>
          </w:p>
          <w:p w14:paraId="50784F6F" w14:textId="63F25139" w:rsidR="00805AE2" w:rsidRDefault="0013733B" w:rsidP="00805AE2">
            <w:pPr>
              <w:ind w:right="-23"/>
              <w:jc w:val="both"/>
            </w:pPr>
            <w:r>
              <w:t xml:space="preserve">Current legislation before the </w:t>
            </w:r>
            <w:r w:rsidR="00805AE2">
              <w:t>U.S. Congress</w:t>
            </w:r>
            <w:r>
              <w:t xml:space="preserve"> is cause for great concern to the Obama administration’s efforts to close the detention facility at Guantanamo Bay as well as a possibility that a future administration may decide to keep it open.</w:t>
            </w:r>
            <w:r w:rsidR="00805AE2">
              <w:t xml:space="preserve"> </w:t>
            </w:r>
          </w:p>
          <w:p w14:paraId="247A013D" w14:textId="77777777" w:rsidR="00683155" w:rsidRDefault="00683155" w:rsidP="00683155">
            <w:pPr>
              <w:ind w:right="-23"/>
              <w:jc w:val="both"/>
            </w:pPr>
          </w:p>
          <w:p w14:paraId="27EA7B97" w14:textId="77777777" w:rsidR="00683155" w:rsidRDefault="00683155" w:rsidP="00805AE2">
            <w:pPr>
              <w:ind w:right="-23"/>
              <w:jc w:val="both"/>
            </w:pPr>
            <w:r>
              <w:t xml:space="preserve">The slow pace of the Periodic Review Board process has left </w:t>
            </w:r>
            <w:r w:rsidR="00805AE2">
              <w:t>5</w:t>
            </w:r>
            <w:r>
              <w:t xml:space="preserve">5 detainees in the prison whose cases have not been reviewed, </w:t>
            </w:r>
            <w:r w:rsidR="00805AE2">
              <w:t>and raising serious concern of whether detainees will be afforded a review during the Obama administration’s remaining tenure.</w:t>
            </w:r>
            <w:r>
              <w:t xml:space="preserve"> </w:t>
            </w:r>
          </w:p>
          <w:p w14:paraId="69941D7B" w14:textId="77777777" w:rsidR="0013733B" w:rsidRDefault="0013733B" w:rsidP="00805AE2">
            <w:pPr>
              <w:ind w:right="-23"/>
              <w:jc w:val="both"/>
            </w:pPr>
          </w:p>
          <w:p w14:paraId="778E3BFA" w14:textId="690E64DB" w:rsidR="0013733B" w:rsidRPr="00163C82" w:rsidRDefault="00DA70BC" w:rsidP="00805AE2">
            <w:pPr>
              <w:ind w:right="-23"/>
              <w:jc w:val="both"/>
            </w:pPr>
            <w:r>
              <w:t>The continued, prolonged detention without charge or trial of most of the 122 detainees held at the prison in Guantanamo Bay can cause serious physical and psychological harms and can rise to the level of cruel, inhuman and degrading treatment, in violation of articles 7 and 10 of the ICCPR.</w:t>
            </w:r>
            <w:r>
              <w:rPr>
                <w:rStyle w:val="FootnoteReference"/>
              </w:rPr>
              <w:footnoteReference w:id="23"/>
            </w:r>
          </w:p>
        </w:tc>
      </w:tr>
      <w:tr w:rsidR="00B85E0C" w:rsidRPr="00163C82" w14:paraId="2A0D4EEF" w14:textId="77777777" w:rsidTr="00B85E0C">
        <w:tc>
          <w:tcPr>
            <w:tcW w:w="2376" w:type="dxa"/>
            <w:tcBorders>
              <w:left w:val="single" w:sz="4" w:space="0" w:color="auto"/>
              <w:bottom w:val="single" w:sz="18" w:space="0" w:color="auto"/>
            </w:tcBorders>
            <w:vAlign w:val="center"/>
          </w:tcPr>
          <w:p w14:paraId="5CE9C123" w14:textId="77777777" w:rsidR="00B85E0C" w:rsidRPr="00163C82" w:rsidRDefault="00B85E0C" w:rsidP="00A926A8">
            <w:pPr>
              <w:spacing w:before="60" w:after="60"/>
              <w:ind w:right="-23"/>
              <w:jc w:val="center"/>
              <w:rPr>
                <w:b/>
              </w:rPr>
            </w:pPr>
            <w:r w:rsidRPr="00163C82">
              <w:rPr>
                <w:b/>
              </w:rPr>
              <w:lastRenderedPageBreak/>
              <w:t>Other Comments</w:t>
            </w:r>
          </w:p>
        </w:tc>
        <w:tc>
          <w:tcPr>
            <w:tcW w:w="11592" w:type="dxa"/>
            <w:tcBorders>
              <w:bottom w:val="single" w:sz="18" w:space="0" w:color="auto"/>
              <w:right w:val="single" w:sz="4" w:space="0" w:color="auto"/>
            </w:tcBorders>
            <w:vAlign w:val="center"/>
          </w:tcPr>
          <w:p w14:paraId="0EA34EA8" w14:textId="45D7E410" w:rsidR="00A64EE3" w:rsidRPr="00163C82" w:rsidRDefault="00A64EE3" w:rsidP="00805AE2">
            <w:pPr>
              <w:ind w:right="-23"/>
              <w:jc w:val="both"/>
            </w:pPr>
          </w:p>
        </w:tc>
      </w:tr>
      <w:tr w:rsidR="00B85E0C" w:rsidRPr="00163C82" w14:paraId="3358FE3E" w14:textId="77777777" w:rsidTr="00B85E0C">
        <w:tc>
          <w:tcPr>
            <w:tcW w:w="2376" w:type="dxa"/>
            <w:tcBorders>
              <w:top w:val="single" w:sz="18" w:space="0" w:color="auto"/>
              <w:left w:val="single" w:sz="4" w:space="0" w:color="auto"/>
              <w:bottom w:val="single" w:sz="4" w:space="0" w:color="auto"/>
            </w:tcBorders>
            <w:shd w:val="clear" w:color="auto" w:fill="E0E0E0"/>
            <w:vAlign w:val="center"/>
          </w:tcPr>
          <w:p w14:paraId="5B9A00BD" w14:textId="77777777" w:rsidR="00B85E0C" w:rsidRPr="00163C82" w:rsidRDefault="00B85E0C" w:rsidP="00A926A8">
            <w:pPr>
              <w:spacing w:before="60" w:after="60"/>
              <w:ind w:right="-23"/>
              <w:jc w:val="center"/>
              <w:rPr>
                <w:b/>
              </w:rPr>
            </w:pPr>
            <w:r w:rsidRPr="00163C82">
              <w:rPr>
                <w:b/>
              </w:rPr>
              <w:t>Recommendation by the Committee</w:t>
            </w:r>
          </w:p>
        </w:tc>
        <w:tc>
          <w:tcPr>
            <w:tcW w:w="11592" w:type="dxa"/>
            <w:tcBorders>
              <w:top w:val="single" w:sz="18" w:space="0" w:color="auto"/>
              <w:bottom w:val="single" w:sz="4" w:space="0" w:color="auto"/>
              <w:right w:val="single" w:sz="4" w:space="0" w:color="auto"/>
            </w:tcBorders>
            <w:shd w:val="clear" w:color="auto" w:fill="E0E0E0"/>
            <w:vAlign w:val="center"/>
          </w:tcPr>
          <w:p w14:paraId="3E1B2B4D" w14:textId="77777777" w:rsidR="00B85E0C" w:rsidRPr="00163C82" w:rsidRDefault="00B85E0C" w:rsidP="00A926A8">
            <w:pPr>
              <w:spacing w:before="60" w:after="60"/>
              <w:ind w:right="-23"/>
              <w:jc w:val="both"/>
              <w:rPr>
                <w:i/>
              </w:rPr>
            </w:pPr>
            <w:r w:rsidRPr="00163C82">
              <w:rPr>
                <w:i/>
              </w:rPr>
              <w:t>(The State party) should end the system of administrative detention without charge or trial and ensure that any criminal cases against detainees held in Guantánamo and in military facilities in Afghanistan are dealt with through the criminal justice system rather than military commissions, and that those detainees are afforded the fair trial guarantees enshrined in article 14 of the Covenant.</w:t>
            </w:r>
          </w:p>
        </w:tc>
      </w:tr>
      <w:tr w:rsidR="00B85E0C" w:rsidRPr="00163C82" w14:paraId="3DD65E46" w14:textId="77777777" w:rsidTr="00B85E0C">
        <w:tc>
          <w:tcPr>
            <w:tcW w:w="2376" w:type="dxa"/>
            <w:tcBorders>
              <w:top w:val="single" w:sz="4" w:space="0" w:color="auto"/>
              <w:left w:val="single" w:sz="4" w:space="0" w:color="auto"/>
            </w:tcBorders>
            <w:vAlign w:val="center"/>
          </w:tcPr>
          <w:p w14:paraId="781E5F1F" w14:textId="77777777" w:rsidR="00B85E0C" w:rsidRPr="00163C82" w:rsidRDefault="00B85E0C" w:rsidP="00A926A8">
            <w:pPr>
              <w:spacing w:before="60" w:after="60"/>
              <w:ind w:right="-23"/>
              <w:jc w:val="center"/>
              <w:rPr>
                <w:b/>
              </w:rPr>
            </w:pPr>
            <w:r w:rsidRPr="00163C82">
              <w:rPr>
                <w:b/>
              </w:rPr>
              <w:t>Actions taken by the State party</w:t>
            </w:r>
          </w:p>
        </w:tc>
        <w:tc>
          <w:tcPr>
            <w:tcW w:w="11592" w:type="dxa"/>
            <w:tcBorders>
              <w:top w:val="single" w:sz="4" w:space="0" w:color="auto"/>
              <w:right w:val="single" w:sz="4" w:space="0" w:color="auto"/>
            </w:tcBorders>
            <w:vAlign w:val="center"/>
          </w:tcPr>
          <w:p w14:paraId="403416DB" w14:textId="3BFB1040" w:rsidR="00810A3F" w:rsidRDefault="00810A3F" w:rsidP="00382952">
            <w:pPr>
              <w:ind w:right="-23"/>
              <w:jc w:val="both"/>
            </w:pPr>
            <w:r>
              <w:t xml:space="preserve">The only action taken to implement this recommendation has been the transfer of one detainee in Afghanistan to face a federal trial in the United States. In </w:t>
            </w:r>
            <w:r w:rsidR="008B00B5">
              <w:t>October</w:t>
            </w:r>
            <w:r>
              <w:t xml:space="preserve"> 2014, </w:t>
            </w:r>
            <w:proofErr w:type="spellStart"/>
            <w:r>
              <w:t>Irek</w:t>
            </w:r>
            <w:proofErr w:type="spellEnd"/>
            <w:r>
              <w:t xml:space="preserve"> </w:t>
            </w:r>
            <w:proofErr w:type="spellStart"/>
            <w:r>
              <w:t>Hamidull</w:t>
            </w:r>
            <w:r w:rsidR="00E041EC">
              <w:t>i</w:t>
            </w:r>
            <w:r>
              <w:t>n</w:t>
            </w:r>
            <w:proofErr w:type="spellEnd"/>
            <w:r>
              <w:t>, who had been detained in Afghanistan, was transferred to the United States for trial in federal court in Virginia. He made his first court appearance in November 2014.</w:t>
            </w:r>
            <w:r w:rsidR="00E041EC">
              <w:rPr>
                <w:rStyle w:val="FootnoteReference"/>
              </w:rPr>
              <w:footnoteReference w:id="24"/>
            </w:r>
            <w:r>
              <w:t xml:space="preserve"> </w:t>
            </w:r>
          </w:p>
          <w:p w14:paraId="7B20B670" w14:textId="77777777" w:rsidR="007C19B5" w:rsidRDefault="007C19B5" w:rsidP="00382952">
            <w:pPr>
              <w:ind w:right="-23"/>
              <w:jc w:val="both"/>
            </w:pPr>
          </w:p>
          <w:p w14:paraId="295DAD4C" w14:textId="7858A380" w:rsidR="00810A3F" w:rsidRDefault="00296B7D" w:rsidP="00382952">
            <w:pPr>
              <w:ind w:right="-23"/>
              <w:jc w:val="both"/>
            </w:pPr>
            <w:r>
              <w:t xml:space="preserve">On December 10, 2014, the United States handed over control of its last detention </w:t>
            </w:r>
            <w:proofErr w:type="spellStart"/>
            <w:r>
              <w:t>center</w:t>
            </w:r>
            <w:proofErr w:type="spellEnd"/>
            <w:r>
              <w:t xml:space="preserve"> in Afghanistan to the government of Afghanistan. The United States no longer operates any detention facilities in Afghanistan.</w:t>
            </w:r>
            <w:r>
              <w:rPr>
                <w:rStyle w:val="FootnoteReference"/>
              </w:rPr>
              <w:footnoteReference w:id="25"/>
            </w:r>
            <w:r>
              <w:t xml:space="preserve"> </w:t>
            </w:r>
          </w:p>
          <w:p w14:paraId="7B855FDB" w14:textId="77777777" w:rsidR="00296B7D" w:rsidRDefault="00296B7D" w:rsidP="00382952">
            <w:pPr>
              <w:ind w:right="-23"/>
              <w:jc w:val="both"/>
            </w:pPr>
          </w:p>
          <w:p w14:paraId="09CDF901" w14:textId="45E3DAAD" w:rsidR="00B85E0C" w:rsidRPr="00163C82" w:rsidRDefault="00382952" w:rsidP="00382952">
            <w:pPr>
              <w:ind w:right="-23"/>
              <w:jc w:val="both"/>
            </w:pPr>
            <w:r>
              <w:t xml:space="preserve">The National </w:t>
            </w:r>
            <w:proofErr w:type="spellStart"/>
            <w:r>
              <w:t>Defense</w:t>
            </w:r>
            <w:proofErr w:type="spellEnd"/>
            <w:r>
              <w:t xml:space="preserve"> Authorization Act, passed in December 2014 continues to restrict the transfer of detainees from Guantanamo to the United States</w:t>
            </w:r>
            <w:r w:rsidR="000C37CE">
              <w:t xml:space="preserve"> for prosecution, detention, or any other purpose</w:t>
            </w:r>
            <w:r>
              <w:t>.</w:t>
            </w:r>
            <w:r w:rsidR="00E041EC">
              <w:rPr>
                <w:rStyle w:val="FootnoteReference"/>
              </w:rPr>
              <w:footnoteReference w:id="26"/>
            </w:r>
            <w:r>
              <w:t xml:space="preserve"> </w:t>
            </w:r>
            <w:r w:rsidR="00B06396" w:rsidRPr="00163C82">
              <w:t xml:space="preserve">Although no new detainees were brought to Guantanamo, those subject to military commissions continue to be tried in the military system. </w:t>
            </w:r>
          </w:p>
        </w:tc>
      </w:tr>
      <w:tr w:rsidR="00B85E0C" w:rsidRPr="00163C82" w14:paraId="2F924792" w14:textId="77777777" w:rsidTr="00B85E0C">
        <w:tc>
          <w:tcPr>
            <w:tcW w:w="2376" w:type="dxa"/>
            <w:tcBorders>
              <w:left w:val="single" w:sz="4" w:space="0" w:color="auto"/>
            </w:tcBorders>
            <w:vAlign w:val="center"/>
          </w:tcPr>
          <w:p w14:paraId="63EB8522" w14:textId="77777777" w:rsidR="00B85E0C" w:rsidRPr="00163C82" w:rsidRDefault="00B85E0C" w:rsidP="00A926A8">
            <w:pPr>
              <w:spacing w:before="60" w:after="60"/>
              <w:ind w:right="-23"/>
              <w:jc w:val="center"/>
              <w:rPr>
                <w:b/>
              </w:rPr>
            </w:pPr>
            <w:r w:rsidRPr="00163C82">
              <w:rPr>
                <w:b/>
              </w:rPr>
              <w:t>Current situation / Update of the Issue</w:t>
            </w:r>
          </w:p>
        </w:tc>
        <w:tc>
          <w:tcPr>
            <w:tcW w:w="11592" w:type="dxa"/>
            <w:tcBorders>
              <w:right w:val="single" w:sz="4" w:space="0" w:color="auto"/>
            </w:tcBorders>
            <w:vAlign w:val="center"/>
          </w:tcPr>
          <w:p w14:paraId="5D5F6428" w14:textId="2153A23D" w:rsidR="00B85E0C" w:rsidRPr="00163C82" w:rsidRDefault="000C37CE" w:rsidP="005E4EBC">
            <w:pPr>
              <w:ind w:right="-23"/>
              <w:jc w:val="both"/>
            </w:pPr>
            <w:r>
              <w:t>9</w:t>
            </w:r>
            <w:r w:rsidR="00AF3D2C">
              <w:t>0</w:t>
            </w:r>
            <w:r w:rsidR="00163C82" w:rsidRPr="00163C82">
              <w:t xml:space="preserve"> </w:t>
            </w:r>
            <w:r w:rsidR="00163C82">
              <w:t xml:space="preserve">of the </w:t>
            </w:r>
            <w:r>
              <w:t>122</w:t>
            </w:r>
            <w:r w:rsidR="00163C82">
              <w:t xml:space="preserve"> </w:t>
            </w:r>
            <w:r w:rsidR="00163C82" w:rsidRPr="00163C82">
              <w:t>detainees</w:t>
            </w:r>
            <w:r>
              <w:t xml:space="preserve"> remaining</w:t>
            </w:r>
            <w:r w:rsidR="00163C82" w:rsidRPr="00163C82">
              <w:t xml:space="preserve"> at the Guantanamo detention facility are held in detention without trial</w:t>
            </w:r>
            <w:r>
              <w:t>, with 5</w:t>
            </w:r>
            <w:r w:rsidR="00AF3D2C">
              <w:t>7</w:t>
            </w:r>
            <w:r>
              <w:t xml:space="preserve"> of them cleared for </w:t>
            </w:r>
            <w:r w:rsidR="00AF3D2C">
              <w:t>release</w:t>
            </w:r>
            <w:r>
              <w:t>. 2</w:t>
            </w:r>
            <w:r w:rsidR="00AF3D2C">
              <w:t>2</w:t>
            </w:r>
            <w:r>
              <w:t xml:space="preserve"> </w:t>
            </w:r>
            <w:r w:rsidR="00163C82" w:rsidRPr="00163C82">
              <w:t xml:space="preserve">others have been referred for </w:t>
            </w:r>
            <w:r w:rsidR="005E4EBC">
              <w:t xml:space="preserve">possible </w:t>
            </w:r>
            <w:r w:rsidR="00163C82" w:rsidRPr="00163C82">
              <w:t xml:space="preserve">prosecution, </w:t>
            </w:r>
            <w:r w:rsidR="007866C5">
              <w:t xml:space="preserve">but </w:t>
            </w:r>
            <w:r w:rsidR="005E4EBC">
              <w:t>are eligible for review by the PRB process</w:t>
            </w:r>
            <w:r w:rsidR="007866C5">
              <w:t>. T</w:t>
            </w:r>
            <w:r w:rsidR="0086222C">
              <w:t>en</w:t>
            </w:r>
            <w:r w:rsidR="007866C5">
              <w:t xml:space="preserve"> detainees</w:t>
            </w:r>
            <w:r w:rsidR="005E4EBC">
              <w:t xml:space="preserve"> are currently on trial, </w:t>
            </w:r>
            <w:r w:rsidR="00163C82" w:rsidRPr="00163C82">
              <w:t>have been sentenced</w:t>
            </w:r>
            <w:r w:rsidR="005E4EBC">
              <w:t xml:space="preserve"> or are awaiting sentence</w:t>
            </w:r>
            <w:r w:rsidR="00163C82" w:rsidRPr="00163C82">
              <w:t>. Trials in the military commissions are subject to continued delays as</w:t>
            </w:r>
            <w:r>
              <w:t xml:space="preserve"> various</w:t>
            </w:r>
            <w:r w:rsidR="00163C82" w:rsidRPr="00163C82">
              <w:t xml:space="preserve"> procedural issues are litigated. </w:t>
            </w:r>
            <w:r w:rsidR="00BB1FB3">
              <w:t xml:space="preserve">A finding of </w:t>
            </w:r>
            <w:r w:rsidR="00E041EC">
              <w:t>unlawful</w:t>
            </w:r>
            <w:r w:rsidR="00BB1FB3">
              <w:t xml:space="preserve"> command influence by a military </w:t>
            </w:r>
            <w:proofErr w:type="gramStart"/>
            <w:r w:rsidR="00BB1FB3">
              <w:t>commissions</w:t>
            </w:r>
            <w:proofErr w:type="gramEnd"/>
            <w:r w:rsidR="00BB1FB3">
              <w:t xml:space="preserve"> trial judge led the military to rescind an order forcing military commissions judges to live in Guantanamo during the course of the trials.</w:t>
            </w:r>
            <w:r w:rsidR="00E041EC">
              <w:rPr>
                <w:rStyle w:val="FootnoteReference"/>
              </w:rPr>
              <w:footnoteReference w:id="27"/>
            </w:r>
            <w:r w:rsidR="00BB1FB3">
              <w:t xml:space="preserve"> </w:t>
            </w:r>
          </w:p>
        </w:tc>
      </w:tr>
      <w:tr w:rsidR="00B85E0C" w:rsidRPr="00163C82" w14:paraId="2A350B10" w14:textId="77777777" w:rsidTr="00B85E0C">
        <w:tc>
          <w:tcPr>
            <w:tcW w:w="2376" w:type="dxa"/>
            <w:tcBorders>
              <w:left w:val="single" w:sz="4" w:space="0" w:color="auto"/>
            </w:tcBorders>
            <w:vAlign w:val="center"/>
          </w:tcPr>
          <w:p w14:paraId="19D07B3E" w14:textId="77777777" w:rsidR="00B85E0C" w:rsidRPr="00163C82" w:rsidRDefault="00B85E0C" w:rsidP="00A926A8">
            <w:pPr>
              <w:spacing w:before="60" w:after="60"/>
              <w:ind w:right="-23"/>
              <w:jc w:val="center"/>
              <w:rPr>
                <w:b/>
              </w:rPr>
            </w:pPr>
            <w:r w:rsidRPr="00163C82">
              <w:rPr>
                <w:b/>
              </w:rPr>
              <w:lastRenderedPageBreak/>
              <w:t>Impact of the Action of the State party (if any)</w:t>
            </w:r>
          </w:p>
        </w:tc>
        <w:tc>
          <w:tcPr>
            <w:tcW w:w="11592" w:type="dxa"/>
            <w:tcBorders>
              <w:right w:val="single" w:sz="4" w:space="0" w:color="auto"/>
            </w:tcBorders>
            <w:vAlign w:val="center"/>
          </w:tcPr>
          <w:p w14:paraId="6E14ACC6" w14:textId="1E9AF369" w:rsidR="00B85E0C" w:rsidRPr="00163C82" w:rsidRDefault="008B00B5" w:rsidP="00A926A8">
            <w:pPr>
              <w:ind w:right="-23"/>
              <w:jc w:val="both"/>
            </w:pPr>
            <w:r>
              <w:t xml:space="preserve">The passage of the December 2014 NDAA banning transfers to the United States has forced military commissions trials to continue. It has prevented the possible federal prosecution </w:t>
            </w:r>
            <w:r w:rsidR="00305180">
              <w:t>of any Guantanamo detainees</w:t>
            </w:r>
            <w:r w:rsidR="0086222C">
              <w:t>, although the Obama administration reserved the right to interpret the provision of the NDAA that prevents transfers to the United States in a manner that avoids a constitutional separation of powers issue</w:t>
            </w:r>
            <w:r w:rsidR="00305180">
              <w:t xml:space="preserve">. </w:t>
            </w:r>
          </w:p>
        </w:tc>
      </w:tr>
      <w:tr w:rsidR="00B85E0C" w:rsidRPr="00163C82" w14:paraId="4B346F7B" w14:textId="77777777" w:rsidTr="00B85E0C">
        <w:tc>
          <w:tcPr>
            <w:tcW w:w="2376" w:type="dxa"/>
            <w:tcBorders>
              <w:left w:val="single" w:sz="4" w:space="0" w:color="auto"/>
              <w:bottom w:val="single" w:sz="18" w:space="0" w:color="auto"/>
            </w:tcBorders>
            <w:vAlign w:val="center"/>
          </w:tcPr>
          <w:p w14:paraId="4FF62447" w14:textId="77777777" w:rsidR="00B85E0C" w:rsidRPr="00163C82" w:rsidRDefault="00B85E0C" w:rsidP="00A926A8">
            <w:pPr>
              <w:spacing w:before="60" w:after="60"/>
              <w:ind w:right="-23"/>
              <w:jc w:val="center"/>
              <w:rPr>
                <w:b/>
              </w:rPr>
            </w:pPr>
            <w:r w:rsidRPr="00163C82">
              <w:rPr>
                <w:b/>
              </w:rPr>
              <w:t>Other Comments</w:t>
            </w:r>
          </w:p>
        </w:tc>
        <w:tc>
          <w:tcPr>
            <w:tcW w:w="11592" w:type="dxa"/>
            <w:tcBorders>
              <w:bottom w:val="single" w:sz="18" w:space="0" w:color="auto"/>
              <w:right w:val="single" w:sz="4" w:space="0" w:color="auto"/>
            </w:tcBorders>
            <w:vAlign w:val="center"/>
          </w:tcPr>
          <w:p w14:paraId="30DA8BDD" w14:textId="7F81B893" w:rsidR="00B85E0C" w:rsidRPr="00163C82" w:rsidRDefault="00810A3F" w:rsidP="00C12250">
            <w:pPr>
              <w:ind w:right="-23"/>
              <w:jc w:val="both"/>
            </w:pPr>
            <w:r>
              <w:t xml:space="preserve">The ban on transfer of detainees to the United States continues to be a cause for concern, particularly as federal courts have successfully and efficiently prosecuted thousands of terrorism cases. In April 2014, the trial of </w:t>
            </w:r>
            <w:proofErr w:type="spellStart"/>
            <w:r>
              <w:t>Sulaiman</w:t>
            </w:r>
            <w:proofErr w:type="spellEnd"/>
            <w:r>
              <w:t xml:space="preserve"> Abu </w:t>
            </w:r>
            <w:proofErr w:type="spellStart"/>
            <w:r>
              <w:t>Ghaith</w:t>
            </w:r>
            <w:proofErr w:type="spellEnd"/>
            <w:r>
              <w:t xml:space="preserve"> in U.S. federal court took 22 days. </w:t>
            </w:r>
            <w:r w:rsidR="00C12250">
              <w:t xml:space="preserve">The military commission trial of </w:t>
            </w:r>
            <w:proofErr w:type="spellStart"/>
            <w:r w:rsidR="00C12250">
              <w:t>Abd</w:t>
            </w:r>
            <w:proofErr w:type="spellEnd"/>
            <w:r w:rsidR="00C12250">
              <w:t xml:space="preserve"> Al Rahman Al-</w:t>
            </w:r>
            <w:proofErr w:type="spellStart"/>
            <w:r w:rsidR="00C12250">
              <w:t>Nashiri</w:t>
            </w:r>
            <w:proofErr w:type="spellEnd"/>
            <w:r w:rsidR="008B00B5">
              <w:t>, which initially started in 2009, continues to this day. The 9/11 military commission trial initially started in 2008. It is still in a procedural phase.</w:t>
            </w:r>
          </w:p>
        </w:tc>
      </w:tr>
    </w:tbl>
    <w:p w14:paraId="35A5A57D" w14:textId="77777777" w:rsidR="00B85E0C" w:rsidRPr="00163C82" w:rsidRDefault="00B85E0C" w:rsidP="00B85E0C">
      <w:pPr>
        <w:rPr>
          <w:sz w:val="24"/>
          <w:szCs w:val="24"/>
        </w:rPr>
      </w:pPr>
    </w:p>
    <w:tbl>
      <w:tblPr>
        <w:tblStyle w:val="TableGrid"/>
        <w:tblW w:w="13968" w:type="dxa"/>
        <w:tblLayout w:type="fixed"/>
        <w:tblLook w:val="04A0" w:firstRow="1" w:lastRow="0" w:firstColumn="1" w:lastColumn="0" w:noHBand="0" w:noVBand="1"/>
      </w:tblPr>
      <w:tblGrid>
        <w:gridCol w:w="12978"/>
        <w:gridCol w:w="990"/>
      </w:tblGrid>
      <w:tr w:rsidR="00B85E0C" w:rsidRPr="00163C82" w14:paraId="7E181A9D" w14:textId="77777777" w:rsidTr="00B85E0C">
        <w:tc>
          <w:tcPr>
            <w:tcW w:w="12978" w:type="dxa"/>
            <w:tcBorders>
              <w:top w:val="single" w:sz="18" w:space="0" w:color="auto"/>
              <w:left w:val="single" w:sz="18" w:space="0" w:color="auto"/>
              <w:bottom w:val="single" w:sz="18" w:space="0" w:color="auto"/>
              <w:right w:val="single" w:sz="18" w:space="0" w:color="auto"/>
            </w:tcBorders>
            <w:shd w:val="clear" w:color="auto" w:fill="E0E0E0"/>
          </w:tcPr>
          <w:p w14:paraId="2ECA8427" w14:textId="77777777" w:rsidR="00B85E0C" w:rsidRPr="00163C82" w:rsidRDefault="00B85E0C" w:rsidP="00A926A8">
            <w:pPr>
              <w:tabs>
                <w:tab w:val="center" w:pos="6691"/>
                <w:tab w:val="left" w:pos="10336"/>
              </w:tabs>
              <w:spacing w:before="60"/>
              <w:jc w:val="center"/>
              <w:rPr>
                <w:b/>
              </w:rPr>
            </w:pPr>
            <w:r w:rsidRPr="00163C82">
              <w:rPr>
                <w:b/>
              </w:rPr>
              <w:t>Overall NGO Grades for the follow-up Action of the State party</w:t>
            </w:r>
            <w:r w:rsidRPr="00163C82">
              <w:rPr>
                <w:rStyle w:val="FootnoteReference"/>
                <w:b/>
              </w:rPr>
              <w:footnoteReference w:id="28"/>
            </w:r>
            <w:r w:rsidRPr="00163C82">
              <w:rPr>
                <w:b/>
              </w:rPr>
              <w:t>:</w:t>
            </w:r>
          </w:p>
          <w:p w14:paraId="2A3C9A8B" w14:textId="77777777" w:rsidR="00B85E0C" w:rsidRPr="00163C82" w:rsidRDefault="00B85E0C" w:rsidP="00A926A8">
            <w:pPr>
              <w:tabs>
                <w:tab w:val="center" w:pos="6691"/>
                <w:tab w:val="left" w:pos="10336"/>
              </w:tabs>
              <w:jc w:val="center"/>
              <w:rPr>
                <w:rFonts w:asciiTheme="majorHAnsi" w:hAnsiTheme="majorHAnsi"/>
              </w:rPr>
            </w:pPr>
            <w:r w:rsidRPr="00163C82">
              <w:rPr>
                <w:b/>
              </w:rPr>
              <w:t xml:space="preserve">A: </w:t>
            </w:r>
            <w:r w:rsidRPr="00163C82">
              <w:rPr>
                <w:rFonts w:asciiTheme="majorHAnsi" w:hAnsiTheme="majorHAnsi"/>
              </w:rPr>
              <w:t xml:space="preserve">Action largely satisfactory; </w:t>
            </w:r>
            <w:r w:rsidRPr="00163C82">
              <w:rPr>
                <w:rFonts w:asciiTheme="majorHAnsi" w:hAnsiTheme="majorHAnsi"/>
                <w:b/>
              </w:rPr>
              <w:t>B1</w:t>
            </w:r>
            <w:r w:rsidRPr="00163C82">
              <w:rPr>
                <w:rFonts w:asciiTheme="majorHAnsi" w:hAnsiTheme="majorHAnsi"/>
              </w:rPr>
              <w:t xml:space="preserve">: Substantive action taken, but further action desirable; </w:t>
            </w:r>
            <w:r w:rsidRPr="00163C82">
              <w:rPr>
                <w:rFonts w:asciiTheme="majorHAnsi" w:hAnsiTheme="majorHAnsi"/>
                <w:b/>
              </w:rPr>
              <w:t>B2</w:t>
            </w:r>
            <w:r w:rsidRPr="00163C82">
              <w:rPr>
                <w:rFonts w:asciiTheme="majorHAnsi" w:hAnsiTheme="majorHAnsi"/>
              </w:rPr>
              <w:t>: Initial steps taken, but substantial action required;</w:t>
            </w:r>
          </w:p>
          <w:p w14:paraId="7201A02F" w14:textId="77777777" w:rsidR="00B85E0C" w:rsidRPr="00163C82" w:rsidRDefault="00B85E0C" w:rsidP="00A926A8">
            <w:pPr>
              <w:tabs>
                <w:tab w:val="center" w:pos="6691"/>
              </w:tabs>
              <w:spacing w:after="60"/>
              <w:jc w:val="center"/>
              <w:rPr>
                <w:b/>
              </w:rPr>
            </w:pPr>
            <w:r w:rsidRPr="00163C82">
              <w:rPr>
                <w:rFonts w:asciiTheme="majorHAnsi" w:hAnsiTheme="majorHAnsi"/>
                <w:b/>
              </w:rPr>
              <w:t>C1</w:t>
            </w:r>
            <w:r w:rsidRPr="00163C82">
              <w:rPr>
                <w:rFonts w:asciiTheme="majorHAnsi" w:hAnsiTheme="majorHAnsi"/>
              </w:rPr>
              <w:t xml:space="preserve">: Some actions taken, but recommendations are not really implemented; </w:t>
            </w:r>
            <w:r w:rsidRPr="00163C82">
              <w:rPr>
                <w:rFonts w:asciiTheme="majorHAnsi" w:hAnsiTheme="majorHAnsi"/>
                <w:b/>
              </w:rPr>
              <w:t>C2</w:t>
            </w:r>
            <w:r w:rsidRPr="00163C82">
              <w:rPr>
                <w:rFonts w:asciiTheme="majorHAnsi" w:hAnsiTheme="majorHAnsi"/>
              </w:rPr>
              <w:t xml:space="preserve">: No action taken; </w:t>
            </w:r>
            <w:r w:rsidRPr="00163C82">
              <w:rPr>
                <w:rFonts w:asciiTheme="majorHAnsi" w:hAnsiTheme="majorHAnsi"/>
                <w:b/>
              </w:rPr>
              <w:t>E</w:t>
            </w:r>
            <w:r w:rsidRPr="00163C82">
              <w:rPr>
                <w:rFonts w:asciiTheme="majorHAnsi" w:hAnsiTheme="majorHAnsi"/>
              </w:rPr>
              <w:t>: measures taken are contrary to the recommendations</w:t>
            </w:r>
          </w:p>
        </w:tc>
        <w:tc>
          <w:tcPr>
            <w:tcW w:w="990" w:type="dxa"/>
            <w:tcBorders>
              <w:top w:val="single" w:sz="18" w:space="0" w:color="auto"/>
              <w:left w:val="single" w:sz="18" w:space="0" w:color="auto"/>
              <w:bottom w:val="single" w:sz="18" w:space="0" w:color="auto"/>
              <w:right w:val="single" w:sz="18" w:space="0" w:color="auto"/>
            </w:tcBorders>
            <w:vAlign w:val="center"/>
          </w:tcPr>
          <w:p w14:paraId="436B152C" w14:textId="786A9E90" w:rsidR="00B85E0C" w:rsidRPr="00163C82" w:rsidRDefault="005E4EBC" w:rsidP="00A926A8">
            <w:pPr>
              <w:spacing w:before="60" w:after="60"/>
              <w:jc w:val="center"/>
              <w:rPr>
                <w:b/>
              </w:rPr>
            </w:pPr>
            <w:r>
              <w:rPr>
                <w:b/>
              </w:rPr>
              <w:t>B2</w:t>
            </w:r>
          </w:p>
        </w:tc>
      </w:tr>
    </w:tbl>
    <w:p w14:paraId="7DC1ECDF" w14:textId="77777777" w:rsidR="00B85E0C" w:rsidRPr="00163C82" w:rsidRDefault="00B85E0C" w:rsidP="00B85E0C">
      <w:pPr>
        <w:tabs>
          <w:tab w:val="left" w:pos="2028"/>
        </w:tabs>
        <w:rPr>
          <w:sz w:val="24"/>
          <w:szCs w:val="24"/>
        </w:rPr>
      </w:pPr>
    </w:p>
    <w:p w14:paraId="4834431E" w14:textId="77777777" w:rsidR="00B85E0C" w:rsidRPr="00163C82" w:rsidRDefault="00B85E0C">
      <w:pPr>
        <w:rPr>
          <w:sz w:val="24"/>
          <w:szCs w:val="24"/>
        </w:rPr>
      </w:pPr>
    </w:p>
    <w:sectPr w:rsidR="00B85E0C" w:rsidRPr="00163C82" w:rsidSect="00B85E0C">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AC3CEEA" w14:textId="77777777" w:rsidR="00F90A94" w:rsidRDefault="00F90A94" w:rsidP="00B85E0C">
      <w:r>
        <w:separator/>
      </w:r>
    </w:p>
  </w:endnote>
  <w:endnote w:type="continuationSeparator" w:id="0">
    <w:p w14:paraId="1EFE612B" w14:textId="77777777" w:rsidR="00F90A94" w:rsidRDefault="00F90A94" w:rsidP="00B85E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63F3608" w14:textId="77777777" w:rsidR="00F90A94" w:rsidRDefault="00F90A94" w:rsidP="00B85E0C">
      <w:r>
        <w:separator/>
      </w:r>
    </w:p>
  </w:footnote>
  <w:footnote w:type="continuationSeparator" w:id="0">
    <w:p w14:paraId="5D6C4285" w14:textId="77777777" w:rsidR="00F90A94" w:rsidRDefault="00F90A94" w:rsidP="00B85E0C">
      <w:r>
        <w:continuationSeparator/>
      </w:r>
    </w:p>
  </w:footnote>
  <w:footnote w:id="1">
    <w:p w14:paraId="173621F3" w14:textId="77777777" w:rsidR="0086222C" w:rsidRPr="00D53CF1" w:rsidRDefault="0086222C" w:rsidP="00B85E0C">
      <w:pPr>
        <w:rPr>
          <w:sz w:val="20"/>
          <w:szCs w:val="20"/>
        </w:rPr>
      </w:pPr>
      <w:r w:rsidRPr="00D53CF1">
        <w:rPr>
          <w:rStyle w:val="FootnoteReference"/>
          <w:sz w:val="20"/>
          <w:szCs w:val="20"/>
        </w:rPr>
        <w:footnoteRef/>
      </w:r>
      <w:r w:rsidRPr="00D53CF1">
        <w:rPr>
          <w:sz w:val="20"/>
          <w:szCs w:val="20"/>
        </w:rPr>
        <w:t xml:space="preserve"> </w:t>
      </w:r>
      <w:r w:rsidRPr="00D53CF1">
        <w:rPr>
          <w:rFonts w:asciiTheme="majorHAnsi" w:hAnsiTheme="majorHAnsi"/>
          <w:sz w:val="20"/>
          <w:szCs w:val="20"/>
        </w:rPr>
        <w:t xml:space="preserve"> </w:t>
      </w:r>
      <w:r w:rsidRPr="00D53CF1">
        <w:rPr>
          <w:sz w:val="20"/>
          <w:szCs w:val="20"/>
        </w:rPr>
        <w:t xml:space="preserve">In accordance with rule 71, paragraph 5, of the Committee’s rules of procedure, the State party should provide, within one year, relevant information on its implementation of the Committee’s recommendations made in paragraphs 5, 10, 21 and 22 above. </w:t>
      </w:r>
      <w:proofErr w:type="gramStart"/>
      <w:r w:rsidRPr="00D53CF1">
        <w:rPr>
          <w:sz w:val="20"/>
          <w:szCs w:val="20"/>
        </w:rPr>
        <w:t>Para.</w:t>
      </w:r>
      <w:proofErr w:type="gramEnd"/>
      <w:r w:rsidRPr="00D53CF1">
        <w:rPr>
          <w:sz w:val="20"/>
          <w:szCs w:val="20"/>
        </w:rPr>
        <w:t xml:space="preserve"> 27 of the Concluding Observations of the HR Committee on the 4</w:t>
      </w:r>
      <w:r w:rsidRPr="00D53CF1">
        <w:rPr>
          <w:sz w:val="20"/>
          <w:szCs w:val="20"/>
          <w:vertAlign w:val="superscript"/>
        </w:rPr>
        <w:t>th</w:t>
      </w:r>
      <w:r w:rsidRPr="00D53CF1">
        <w:rPr>
          <w:sz w:val="20"/>
          <w:szCs w:val="20"/>
        </w:rPr>
        <w:t xml:space="preserve"> periodic report of the United States of America (CCPR/C/USA/CO/4)</w:t>
      </w:r>
    </w:p>
  </w:footnote>
  <w:footnote w:id="2">
    <w:p w14:paraId="56B3BCC1" w14:textId="255963B7" w:rsidR="00420C16" w:rsidRPr="00D53CF1" w:rsidRDefault="00E917BC" w:rsidP="00420C16">
      <w:pPr>
        <w:pStyle w:val="FootnoteText"/>
        <w:rPr>
          <w:sz w:val="20"/>
          <w:szCs w:val="20"/>
          <w:lang w:val="en-US"/>
        </w:rPr>
      </w:pPr>
      <w:r>
        <w:rPr>
          <w:sz w:val="20"/>
          <w:szCs w:val="20"/>
        </w:rPr>
        <w:t xml:space="preserve"> </w:t>
      </w:r>
      <w:r w:rsidR="00420C16" w:rsidRPr="00D53CF1">
        <w:rPr>
          <w:rStyle w:val="FootnoteReference"/>
          <w:sz w:val="20"/>
          <w:szCs w:val="20"/>
        </w:rPr>
        <w:footnoteRef/>
      </w:r>
      <w:r w:rsidR="00420C16" w:rsidRPr="00D53CF1">
        <w:rPr>
          <w:sz w:val="20"/>
          <w:szCs w:val="20"/>
        </w:rPr>
        <w:t xml:space="preserve"> </w:t>
      </w:r>
      <w:r w:rsidR="00420C16" w:rsidRPr="00D53CF1">
        <w:rPr>
          <w:sz w:val="20"/>
          <w:szCs w:val="20"/>
          <w:lang w:val="en-US"/>
        </w:rPr>
        <w:t xml:space="preserve">Lawrence Hurley, “Supreme Court rejects cases on Guantanamo detainee treatment,” Reuters, Mar. 9, 2015, </w:t>
      </w:r>
      <w:hyperlink r:id="rId1" w:history="1">
        <w:r w:rsidR="00420C16" w:rsidRPr="00D53CF1">
          <w:rPr>
            <w:rStyle w:val="Hyperlink"/>
            <w:sz w:val="20"/>
            <w:szCs w:val="20"/>
            <w:lang w:val="en-US"/>
          </w:rPr>
          <w:t>http://www.reuters.com/article/2015/03/09/us-usa-court-guantanamo-idUSKBN0M51CI20150309</w:t>
        </w:r>
      </w:hyperlink>
      <w:r w:rsidR="00420C16" w:rsidRPr="00D53CF1">
        <w:rPr>
          <w:sz w:val="20"/>
          <w:szCs w:val="20"/>
          <w:lang w:val="en-US"/>
        </w:rPr>
        <w:t xml:space="preserve">. </w:t>
      </w:r>
    </w:p>
  </w:footnote>
  <w:footnote w:id="3">
    <w:p w14:paraId="0734C22E" w14:textId="5A925E18" w:rsidR="00420C16" w:rsidRPr="00D53CF1" w:rsidRDefault="00420C16">
      <w:pPr>
        <w:pStyle w:val="FootnoteText"/>
        <w:rPr>
          <w:sz w:val="20"/>
          <w:szCs w:val="20"/>
          <w:lang w:val="en-US"/>
        </w:rPr>
      </w:pPr>
      <w:r w:rsidRPr="00D53CF1">
        <w:rPr>
          <w:rStyle w:val="FootnoteReference"/>
          <w:sz w:val="20"/>
          <w:szCs w:val="20"/>
        </w:rPr>
        <w:footnoteRef/>
      </w:r>
      <w:r w:rsidRPr="00D53CF1">
        <w:rPr>
          <w:sz w:val="20"/>
          <w:szCs w:val="20"/>
        </w:rPr>
        <w:t xml:space="preserve"> </w:t>
      </w:r>
      <w:r w:rsidRPr="00D53CF1">
        <w:rPr>
          <w:sz w:val="20"/>
          <w:szCs w:val="20"/>
          <w:lang w:val="en-US"/>
        </w:rPr>
        <w:t xml:space="preserve">Todd Ruger, “Senate Report Tests U.S. State-Secrets Defense,” Roll Call, Dec. 10, 2014, </w:t>
      </w:r>
      <w:hyperlink r:id="rId2" w:history="1">
        <w:r w:rsidRPr="00D53CF1">
          <w:rPr>
            <w:rStyle w:val="Hyperlink"/>
            <w:sz w:val="20"/>
            <w:szCs w:val="20"/>
            <w:lang w:val="en-US"/>
          </w:rPr>
          <w:t>http://www.rollcall.com/news/senate_report_tests_us_state_secrets_defense-238606-1.html</w:t>
        </w:r>
      </w:hyperlink>
      <w:r w:rsidRPr="00D53CF1">
        <w:rPr>
          <w:sz w:val="20"/>
          <w:szCs w:val="20"/>
          <w:lang w:val="en-US"/>
        </w:rPr>
        <w:t xml:space="preserve">. </w:t>
      </w:r>
    </w:p>
  </w:footnote>
  <w:footnote w:id="4">
    <w:p w14:paraId="462EE254" w14:textId="48F11196" w:rsidR="00420C16" w:rsidRPr="00D53CF1" w:rsidRDefault="00420C16">
      <w:pPr>
        <w:pStyle w:val="FootnoteText"/>
        <w:rPr>
          <w:sz w:val="20"/>
          <w:szCs w:val="20"/>
          <w:lang w:val="en-US"/>
        </w:rPr>
      </w:pPr>
      <w:r w:rsidRPr="00D53CF1">
        <w:rPr>
          <w:rStyle w:val="FootnoteReference"/>
          <w:sz w:val="20"/>
          <w:szCs w:val="20"/>
        </w:rPr>
        <w:footnoteRef/>
      </w:r>
      <w:r w:rsidRPr="00D53CF1">
        <w:rPr>
          <w:sz w:val="20"/>
          <w:szCs w:val="20"/>
        </w:rPr>
        <w:t xml:space="preserve"> </w:t>
      </w:r>
      <w:r w:rsidRPr="00D53CF1">
        <w:rPr>
          <w:sz w:val="20"/>
          <w:szCs w:val="20"/>
          <w:lang w:val="en-US"/>
        </w:rPr>
        <w:t xml:space="preserve">“Obama: “We tortured some folks” after 9/11,” CBS/AP, Aug. 1, 2014, </w:t>
      </w:r>
      <w:hyperlink r:id="rId3" w:history="1">
        <w:r w:rsidRPr="00D53CF1">
          <w:rPr>
            <w:rStyle w:val="Hyperlink"/>
            <w:sz w:val="20"/>
            <w:szCs w:val="20"/>
            <w:lang w:val="en-US"/>
          </w:rPr>
          <w:t>http://www.cbsnews.com/news/obama-we-tortured-some-folks-after-911/</w:t>
        </w:r>
      </w:hyperlink>
      <w:r w:rsidRPr="00D53CF1">
        <w:rPr>
          <w:sz w:val="20"/>
          <w:szCs w:val="20"/>
          <w:lang w:val="en-US"/>
        </w:rPr>
        <w:t xml:space="preserve">; Mark </w:t>
      </w:r>
      <w:proofErr w:type="spellStart"/>
      <w:r w:rsidRPr="00D53CF1">
        <w:rPr>
          <w:sz w:val="20"/>
          <w:szCs w:val="20"/>
          <w:lang w:val="en-US"/>
        </w:rPr>
        <w:t>Hosenball</w:t>
      </w:r>
      <w:proofErr w:type="spellEnd"/>
      <w:r w:rsidRPr="00D53CF1">
        <w:rPr>
          <w:sz w:val="20"/>
          <w:szCs w:val="20"/>
          <w:lang w:val="en-US"/>
        </w:rPr>
        <w:t xml:space="preserve">, “CIA chief admits agency use ‘abhorrent’ methods on detainees,” Reuters, Dec. 11, 2014, </w:t>
      </w:r>
      <w:hyperlink r:id="rId4" w:history="1">
        <w:r w:rsidRPr="00D53CF1">
          <w:rPr>
            <w:rStyle w:val="Hyperlink"/>
            <w:sz w:val="20"/>
            <w:szCs w:val="20"/>
            <w:lang w:val="en-US"/>
          </w:rPr>
          <w:t>http://www.reuters.com/article/2014/12/11/us-usa-cia-torture-brennan-idUSKBN0JP29F20141211</w:t>
        </w:r>
      </w:hyperlink>
      <w:r w:rsidRPr="00D53CF1">
        <w:rPr>
          <w:sz w:val="20"/>
          <w:szCs w:val="20"/>
          <w:lang w:val="en-US"/>
        </w:rPr>
        <w:t xml:space="preserve">. </w:t>
      </w:r>
    </w:p>
  </w:footnote>
  <w:footnote w:id="5">
    <w:p w14:paraId="30286E50" w14:textId="656A54C8" w:rsidR="00420C16" w:rsidRPr="00D53CF1" w:rsidRDefault="00420C16">
      <w:pPr>
        <w:pStyle w:val="FootnoteText"/>
        <w:rPr>
          <w:sz w:val="20"/>
          <w:szCs w:val="20"/>
          <w:lang w:val="en-US"/>
        </w:rPr>
      </w:pPr>
      <w:r w:rsidRPr="00D53CF1">
        <w:rPr>
          <w:rStyle w:val="FootnoteReference"/>
          <w:sz w:val="20"/>
          <w:szCs w:val="20"/>
        </w:rPr>
        <w:footnoteRef/>
      </w:r>
      <w:r w:rsidRPr="00D53CF1">
        <w:rPr>
          <w:sz w:val="20"/>
          <w:szCs w:val="20"/>
        </w:rPr>
        <w:t xml:space="preserve"> </w:t>
      </w:r>
      <w:r w:rsidR="00D53CF1" w:rsidRPr="00D53CF1">
        <w:rPr>
          <w:sz w:val="20"/>
          <w:szCs w:val="20"/>
          <w:lang w:val="en-US"/>
        </w:rPr>
        <w:t xml:space="preserve">Tom Malinowski, Asst. </w:t>
      </w:r>
      <w:proofErr w:type="spellStart"/>
      <w:r w:rsidR="00D53CF1" w:rsidRPr="00D53CF1">
        <w:rPr>
          <w:sz w:val="20"/>
          <w:szCs w:val="20"/>
          <w:lang w:val="en-US"/>
        </w:rPr>
        <w:t>Sec’y</w:t>
      </w:r>
      <w:proofErr w:type="spellEnd"/>
      <w:r w:rsidR="00D53CF1" w:rsidRPr="00D53CF1">
        <w:rPr>
          <w:sz w:val="20"/>
          <w:szCs w:val="20"/>
          <w:lang w:val="en-US"/>
        </w:rPr>
        <w:t xml:space="preserve"> U.S. Dep’t of State, Opening Remarks at the Committee Against Torture, Nov. 12, 2014, </w:t>
      </w:r>
      <w:r w:rsidR="00D53CF1" w:rsidRPr="00D53CF1">
        <w:rPr>
          <w:i/>
          <w:sz w:val="20"/>
          <w:szCs w:val="20"/>
          <w:lang w:val="en-US"/>
        </w:rPr>
        <w:t>available at</w:t>
      </w:r>
      <w:r w:rsidR="00D53CF1" w:rsidRPr="00D53CF1">
        <w:rPr>
          <w:sz w:val="20"/>
          <w:szCs w:val="20"/>
          <w:lang w:val="en-US"/>
        </w:rPr>
        <w:t xml:space="preserve"> </w:t>
      </w:r>
      <w:hyperlink r:id="rId5" w:history="1">
        <w:r w:rsidR="00D53CF1" w:rsidRPr="00D53CF1">
          <w:rPr>
            <w:rStyle w:val="Hyperlink"/>
            <w:sz w:val="20"/>
            <w:szCs w:val="20"/>
            <w:lang w:val="en-US"/>
          </w:rPr>
          <w:t>https://geneva.usmission.gov/2014/11/12/malinowski-torture-and-degrading-treatment-and-punishment-are-forbidden-in-all-places-at-all-times-with-no-exceptions/</w:t>
        </w:r>
      </w:hyperlink>
      <w:r w:rsidR="00D53CF1" w:rsidRPr="00D53CF1">
        <w:rPr>
          <w:sz w:val="20"/>
          <w:szCs w:val="20"/>
          <w:lang w:val="en-US"/>
        </w:rPr>
        <w:t xml:space="preserve">. </w:t>
      </w:r>
    </w:p>
  </w:footnote>
  <w:footnote w:id="6">
    <w:p w14:paraId="149969F0" w14:textId="34CAA5C8" w:rsidR="00D53CF1" w:rsidRPr="00D53CF1" w:rsidRDefault="00D53CF1">
      <w:pPr>
        <w:pStyle w:val="FootnoteText"/>
        <w:rPr>
          <w:sz w:val="20"/>
          <w:szCs w:val="20"/>
          <w:lang w:val="en-US"/>
        </w:rPr>
      </w:pPr>
      <w:r w:rsidRPr="00D53CF1">
        <w:rPr>
          <w:rStyle w:val="FootnoteReference"/>
          <w:sz w:val="20"/>
          <w:szCs w:val="20"/>
        </w:rPr>
        <w:footnoteRef/>
      </w:r>
      <w:r w:rsidRPr="00D53CF1">
        <w:rPr>
          <w:sz w:val="20"/>
          <w:szCs w:val="20"/>
        </w:rPr>
        <w:t xml:space="preserve"> </w:t>
      </w:r>
      <w:r w:rsidRPr="00D53CF1">
        <w:rPr>
          <w:sz w:val="20"/>
          <w:szCs w:val="20"/>
          <w:lang w:val="en-US"/>
        </w:rPr>
        <w:t xml:space="preserve">Kevin Johnson, “Justice Department will not reopen torture inquiry,” USA Today, Dec. 10, 2014, </w:t>
      </w:r>
      <w:hyperlink r:id="rId6" w:history="1">
        <w:r w:rsidRPr="00D53CF1">
          <w:rPr>
            <w:rStyle w:val="Hyperlink"/>
            <w:sz w:val="20"/>
            <w:szCs w:val="20"/>
            <w:lang w:val="en-US"/>
          </w:rPr>
          <w:t>http://www.usatoday.com/story/news/politics/2014/12/09/justice-cia-torture/20138065/</w:t>
        </w:r>
      </w:hyperlink>
      <w:r w:rsidRPr="00D53CF1">
        <w:rPr>
          <w:sz w:val="20"/>
          <w:szCs w:val="20"/>
          <w:lang w:val="en-US"/>
        </w:rPr>
        <w:t xml:space="preserve">. </w:t>
      </w:r>
    </w:p>
  </w:footnote>
  <w:footnote w:id="7">
    <w:p w14:paraId="10798F7F" w14:textId="69F39C45" w:rsidR="00D53CF1" w:rsidRPr="00D53CF1" w:rsidRDefault="00D53CF1">
      <w:pPr>
        <w:pStyle w:val="FootnoteText"/>
        <w:rPr>
          <w:sz w:val="20"/>
          <w:szCs w:val="20"/>
          <w:lang w:val="en-US"/>
        </w:rPr>
      </w:pPr>
      <w:r w:rsidRPr="00D53CF1">
        <w:rPr>
          <w:rStyle w:val="FootnoteReference"/>
          <w:sz w:val="20"/>
          <w:szCs w:val="20"/>
        </w:rPr>
        <w:footnoteRef/>
      </w:r>
      <w:r w:rsidRPr="00D53CF1">
        <w:rPr>
          <w:sz w:val="20"/>
          <w:szCs w:val="20"/>
        </w:rPr>
        <w:t xml:space="preserve"> </w:t>
      </w:r>
      <w:r w:rsidRPr="00D53CF1">
        <w:rPr>
          <w:sz w:val="20"/>
          <w:szCs w:val="20"/>
          <w:lang w:val="en-US"/>
        </w:rPr>
        <w:t xml:space="preserve">“SSCI Chairman to CIA: We’ll Hide Your Documents if You Hide </w:t>
      </w:r>
      <w:proofErr w:type="gramStart"/>
      <w:r w:rsidRPr="00D53CF1">
        <w:rPr>
          <w:sz w:val="20"/>
          <w:szCs w:val="20"/>
          <w:lang w:val="en-US"/>
        </w:rPr>
        <w:t>Ours</w:t>
      </w:r>
      <w:proofErr w:type="gramEnd"/>
      <w:r w:rsidRPr="00D53CF1">
        <w:rPr>
          <w:sz w:val="20"/>
          <w:szCs w:val="20"/>
          <w:lang w:val="en-US"/>
        </w:rPr>
        <w:t xml:space="preserve">,” Open the Government, Jan. 23, 2015, </w:t>
      </w:r>
      <w:hyperlink r:id="rId7" w:history="1">
        <w:r w:rsidRPr="00D53CF1">
          <w:rPr>
            <w:rStyle w:val="Hyperlink"/>
            <w:sz w:val="20"/>
            <w:szCs w:val="20"/>
            <w:lang w:val="en-US"/>
          </w:rPr>
          <w:t>http://www.openthegovernment.org/node/4778</w:t>
        </w:r>
      </w:hyperlink>
      <w:r w:rsidRPr="00D53CF1">
        <w:rPr>
          <w:sz w:val="20"/>
          <w:szCs w:val="20"/>
          <w:lang w:val="en-US"/>
        </w:rPr>
        <w:t xml:space="preserve">. </w:t>
      </w:r>
    </w:p>
  </w:footnote>
  <w:footnote w:id="8">
    <w:p w14:paraId="45CAA0A1" w14:textId="495783C2" w:rsidR="004E2C73" w:rsidRPr="004E2C73" w:rsidRDefault="004E2C73">
      <w:pPr>
        <w:pStyle w:val="FootnoteText"/>
        <w:rPr>
          <w:sz w:val="20"/>
          <w:szCs w:val="20"/>
          <w:lang w:val="en-US"/>
        </w:rPr>
      </w:pPr>
      <w:r w:rsidRPr="004E2C73">
        <w:rPr>
          <w:rStyle w:val="FootnoteReference"/>
          <w:sz w:val="20"/>
          <w:szCs w:val="20"/>
        </w:rPr>
        <w:footnoteRef/>
      </w:r>
      <w:r w:rsidRPr="004E2C73">
        <w:rPr>
          <w:sz w:val="20"/>
          <w:szCs w:val="20"/>
        </w:rPr>
        <w:t xml:space="preserve"> </w:t>
      </w:r>
      <w:r w:rsidRPr="004E2C73">
        <w:rPr>
          <w:i/>
          <w:sz w:val="20"/>
          <w:szCs w:val="20"/>
          <w:lang w:val="en-US"/>
        </w:rPr>
        <w:t>Id.</w:t>
      </w:r>
    </w:p>
  </w:footnote>
  <w:footnote w:id="9">
    <w:p w14:paraId="0E913B0B" w14:textId="7A5DDFF9" w:rsidR="004E2C73" w:rsidRPr="004E2C73" w:rsidRDefault="004E2C73">
      <w:pPr>
        <w:pStyle w:val="FootnoteText"/>
        <w:rPr>
          <w:sz w:val="20"/>
          <w:szCs w:val="20"/>
          <w:lang w:val="en-US"/>
        </w:rPr>
      </w:pPr>
      <w:r w:rsidRPr="004E2C73">
        <w:rPr>
          <w:rStyle w:val="FootnoteReference"/>
          <w:sz w:val="20"/>
          <w:szCs w:val="20"/>
        </w:rPr>
        <w:footnoteRef/>
      </w:r>
      <w:r w:rsidRPr="004E2C73">
        <w:rPr>
          <w:sz w:val="20"/>
          <w:szCs w:val="20"/>
        </w:rPr>
        <w:t xml:space="preserve"> </w:t>
      </w:r>
      <w:r w:rsidRPr="004E2C73">
        <w:rPr>
          <w:sz w:val="20"/>
          <w:szCs w:val="20"/>
          <w:lang w:val="en-US"/>
        </w:rPr>
        <w:t>Committee Against Torture</w:t>
      </w:r>
      <w:r>
        <w:rPr>
          <w:sz w:val="20"/>
          <w:szCs w:val="20"/>
          <w:lang w:val="en-US"/>
        </w:rPr>
        <w:t xml:space="preserve">, Concluding Observations to the U.S. Third through Fifth Periodic Report, </w:t>
      </w:r>
      <w:r w:rsidRPr="004E2C73">
        <w:rPr>
          <w:sz w:val="20"/>
          <w:szCs w:val="20"/>
          <w:lang w:val="en-US"/>
        </w:rPr>
        <w:t>CAT/C/USA/CO/3-5</w:t>
      </w:r>
      <w:r>
        <w:rPr>
          <w:sz w:val="20"/>
          <w:szCs w:val="20"/>
          <w:lang w:val="en-US"/>
        </w:rPr>
        <w:t xml:space="preserve">, Dec. 19, 2015, </w:t>
      </w:r>
      <w:r w:rsidRPr="004E2C73">
        <w:rPr>
          <w:i/>
          <w:sz w:val="20"/>
          <w:szCs w:val="20"/>
          <w:lang w:val="en-US"/>
        </w:rPr>
        <w:t>available at</w:t>
      </w:r>
      <w:r>
        <w:rPr>
          <w:sz w:val="20"/>
          <w:szCs w:val="20"/>
          <w:lang w:val="en-US"/>
        </w:rPr>
        <w:t xml:space="preserve"> </w:t>
      </w:r>
      <w:hyperlink r:id="rId8" w:history="1">
        <w:r w:rsidRPr="00BA243F">
          <w:rPr>
            <w:rStyle w:val="Hyperlink"/>
            <w:sz w:val="20"/>
            <w:szCs w:val="20"/>
            <w:lang w:val="en-US"/>
          </w:rPr>
          <w:t>http://tbinternet.ohchr.org/_layouts/treatybodyexternal/Download.aspx?symbolno=CAT%2fC%2fUSA%2fCO%2f3-5&amp;Lang=en</w:t>
        </w:r>
      </w:hyperlink>
      <w:r>
        <w:rPr>
          <w:sz w:val="20"/>
          <w:szCs w:val="20"/>
          <w:lang w:val="en-US"/>
        </w:rPr>
        <w:t xml:space="preserve">. </w:t>
      </w:r>
    </w:p>
  </w:footnote>
  <w:footnote w:id="10">
    <w:p w14:paraId="3C8DED4C" w14:textId="41952784" w:rsidR="004E2C73" w:rsidRPr="004E2C73" w:rsidRDefault="004E2C73">
      <w:pPr>
        <w:pStyle w:val="FootnoteText"/>
        <w:rPr>
          <w:sz w:val="20"/>
          <w:szCs w:val="20"/>
          <w:lang w:val="en-US"/>
        </w:rPr>
      </w:pPr>
      <w:r w:rsidRPr="004E2C73">
        <w:rPr>
          <w:rStyle w:val="FootnoteReference"/>
          <w:sz w:val="20"/>
          <w:szCs w:val="20"/>
        </w:rPr>
        <w:footnoteRef/>
      </w:r>
      <w:r w:rsidRPr="004E2C73">
        <w:rPr>
          <w:sz w:val="20"/>
          <w:szCs w:val="20"/>
        </w:rPr>
        <w:t xml:space="preserve"> </w:t>
      </w:r>
      <w:r w:rsidRPr="004E2C73">
        <w:rPr>
          <w:sz w:val="20"/>
          <w:szCs w:val="20"/>
          <w:lang w:val="en-US"/>
        </w:rPr>
        <w:t xml:space="preserve">“SSCI Chairman to CIA: We’ll Hide Your Documents if You Hide Ours,” Open the Government, Jan. 23, 2015, </w:t>
      </w:r>
      <w:hyperlink r:id="rId9" w:history="1">
        <w:r w:rsidRPr="004E2C73">
          <w:rPr>
            <w:rStyle w:val="Hyperlink"/>
            <w:sz w:val="20"/>
            <w:szCs w:val="20"/>
            <w:lang w:val="en-US"/>
          </w:rPr>
          <w:t>http://www.openthegovernment.org/node/4778</w:t>
        </w:r>
      </w:hyperlink>
      <w:r w:rsidRPr="004E2C73">
        <w:rPr>
          <w:sz w:val="20"/>
          <w:szCs w:val="20"/>
          <w:lang w:val="en-US"/>
        </w:rPr>
        <w:t xml:space="preserve"> </w:t>
      </w:r>
    </w:p>
  </w:footnote>
  <w:footnote w:id="11">
    <w:p w14:paraId="7A81B875" w14:textId="3F2EDB68" w:rsidR="004E2C73" w:rsidRPr="004E2C73" w:rsidRDefault="004E2C73">
      <w:pPr>
        <w:pStyle w:val="FootnoteText"/>
        <w:rPr>
          <w:sz w:val="20"/>
          <w:szCs w:val="20"/>
          <w:lang w:val="en-US"/>
        </w:rPr>
      </w:pPr>
      <w:r w:rsidRPr="004E2C73">
        <w:rPr>
          <w:rStyle w:val="FootnoteReference"/>
          <w:sz w:val="20"/>
          <w:szCs w:val="20"/>
        </w:rPr>
        <w:footnoteRef/>
      </w:r>
      <w:r w:rsidRPr="004E2C73">
        <w:rPr>
          <w:sz w:val="20"/>
          <w:szCs w:val="20"/>
        </w:rPr>
        <w:t xml:space="preserve"> </w:t>
      </w:r>
      <w:r w:rsidRPr="004E2C73">
        <w:rPr>
          <w:sz w:val="20"/>
          <w:szCs w:val="20"/>
          <w:lang w:val="en-US"/>
        </w:rPr>
        <w:t xml:space="preserve">Ali Watkins, “CIA Torture Report Sinks a Little More, As Agencies Don’t Bother to Read It, Huffington Post, Jan. 23, 2015, </w:t>
      </w:r>
      <w:hyperlink r:id="rId10" w:history="1">
        <w:r w:rsidRPr="004E2C73">
          <w:rPr>
            <w:rStyle w:val="Hyperlink"/>
            <w:sz w:val="20"/>
            <w:szCs w:val="20"/>
            <w:lang w:val="en-US"/>
          </w:rPr>
          <w:t>http://www.huffingtonpost.com/2015/01/23/cia-torture-richard-burr_n_6535064.html</w:t>
        </w:r>
      </w:hyperlink>
      <w:r w:rsidRPr="004E2C73">
        <w:rPr>
          <w:sz w:val="20"/>
          <w:szCs w:val="20"/>
          <w:lang w:val="en-US"/>
        </w:rPr>
        <w:t xml:space="preserve">. </w:t>
      </w:r>
    </w:p>
  </w:footnote>
  <w:footnote w:id="12">
    <w:p w14:paraId="385378BE" w14:textId="1A406AEC" w:rsidR="004E2C73" w:rsidRPr="004E2C73" w:rsidRDefault="004E2C73">
      <w:pPr>
        <w:pStyle w:val="FootnoteText"/>
        <w:rPr>
          <w:sz w:val="20"/>
          <w:szCs w:val="20"/>
          <w:lang w:val="en-US"/>
        </w:rPr>
      </w:pPr>
      <w:r w:rsidRPr="004E2C73">
        <w:rPr>
          <w:rStyle w:val="FootnoteReference"/>
          <w:sz w:val="20"/>
          <w:szCs w:val="20"/>
        </w:rPr>
        <w:footnoteRef/>
      </w:r>
      <w:r w:rsidRPr="004E2C73">
        <w:rPr>
          <w:sz w:val="20"/>
          <w:szCs w:val="20"/>
        </w:rPr>
        <w:t xml:space="preserve"> </w:t>
      </w:r>
      <w:r w:rsidRPr="004E2C73">
        <w:rPr>
          <w:sz w:val="20"/>
          <w:szCs w:val="20"/>
          <w:lang w:val="en-US"/>
        </w:rPr>
        <w:t xml:space="preserve">David </w:t>
      </w:r>
      <w:proofErr w:type="spellStart"/>
      <w:r w:rsidRPr="004E2C73">
        <w:rPr>
          <w:sz w:val="20"/>
          <w:szCs w:val="20"/>
          <w:lang w:val="en-US"/>
        </w:rPr>
        <w:t>Welna</w:t>
      </w:r>
      <w:proofErr w:type="spellEnd"/>
      <w:r w:rsidRPr="004E2C73">
        <w:rPr>
          <w:sz w:val="20"/>
          <w:szCs w:val="20"/>
          <w:lang w:val="en-US"/>
        </w:rPr>
        <w:t xml:space="preserve">, “‘Torture Report’ Reshapes Conversation in Guantanamo Courtroom,” NPR, Feb. 25, 2015, </w:t>
      </w:r>
      <w:hyperlink r:id="rId11" w:history="1">
        <w:r w:rsidRPr="004E2C73">
          <w:rPr>
            <w:rStyle w:val="Hyperlink"/>
            <w:sz w:val="20"/>
            <w:szCs w:val="20"/>
            <w:lang w:val="en-US"/>
          </w:rPr>
          <w:t>http://www.npr.org/2015/02/25/388715070/torture-report-reshapes-conversation-in-guantanamo-courtroom</w:t>
        </w:r>
      </w:hyperlink>
      <w:r w:rsidRPr="004E2C73">
        <w:rPr>
          <w:sz w:val="20"/>
          <w:szCs w:val="20"/>
          <w:lang w:val="en-US"/>
        </w:rPr>
        <w:t xml:space="preserve">. </w:t>
      </w:r>
    </w:p>
  </w:footnote>
  <w:footnote w:id="13">
    <w:p w14:paraId="441C6CE7" w14:textId="5F5E78EC" w:rsidR="00EF5397" w:rsidRPr="00EF5397" w:rsidRDefault="00EF5397">
      <w:pPr>
        <w:pStyle w:val="FootnoteText"/>
        <w:rPr>
          <w:sz w:val="20"/>
          <w:szCs w:val="20"/>
          <w:lang w:val="en-US"/>
        </w:rPr>
      </w:pPr>
      <w:r w:rsidRPr="00EF5397">
        <w:rPr>
          <w:rStyle w:val="FootnoteReference"/>
          <w:sz w:val="20"/>
          <w:szCs w:val="20"/>
        </w:rPr>
        <w:footnoteRef/>
      </w:r>
      <w:r w:rsidRPr="00EF5397">
        <w:rPr>
          <w:sz w:val="20"/>
          <w:szCs w:val="20"/>
        </w:rPr>
        <w:t xml:space="preserve"> </w:t>
      </w:r>
      <w:proofErr w:type="gramStart"/>
      <w:r w:rsidRPr="00EF5397">
        <w:rPr>
          <w:sz w:val="20"/>
          <w:szCs w:val="20"/>
          <w:lang w:val="en-US"/>
        </w:rPr>
        <w:t xml:space="preserve">“Jim </w:t>
      </w:r>
      <w:proofErr w:type="spellStart"/>
      <w:r w:rsidRPr="00EF5397">
        <w:rPr>
          <w:sz w:val="20"/>
          <w:szCs w:val="20"/>
          <w:lang w:val="en-US"/>
        </w:rPr>
        <w:t>Comey’s</w:t>
      </w:r>
      <w:proofErr w:type="spellEnd"/>
      <w:r w:rsidRPr="00EF5397">
        <w:rPr>
          <w:sz w:val="20"/>
          <w:szCs w:val="20"/>
          <w:lang w:val="en-US"/>
        </w:rPr>
        <w:t xml:space="preserve"> Learned Helplessness about the Torture Report,” </w:t>
      </w:r>
      <w:proofErr w:type="spellStart"/>
      <w:r w:rsidRPr="00EF5397">
        <w:rPr>
          <w:sz w:val="20"/>
          <w:szCs w:val="20"/>
          <w:lang w:val="en-US"/>
        </w:rPr>
        <w:t>Emptywheel</w:t>
      </w:r>
      <w:proofErr w:type="spellEnd"/>
      <w:r w:rsidRPr="00EF5397">
        <w:rPr>
          <w:sz w:val="20"/>
          <w:szCs w:val="20"/>
          <w:lang w:val="en-US"/>
        </w:rPr>
        <w:t xml:space="preserve">, Mar. 12, 2015, </w:t>
      </w:r>
      <w:hyperlink r:id="rId12" w:history="1">
        <w:r w:rsidRPr="00EF5397">
          <w:rPr>
            <w:rStyle w:val="Hyperlink"/>
            <w:sz w:val="20"/>
            <w:szCs w:val="20"/>
            <w:lang w:val="en-US"/>
          </w:rPr>
          <w:t>https://www.emptywheel.net/2015/03/12/jim-comeys-learned-helplessness-about-the-torture-report/</w:t>
        </w:r>
      </w:hyperlink>
      <w:r w:rsidRPr="00EF5397">
        <w:rPr>
          <w:sz w:val="20"/>
          <w:szCs w:val="20"/>
          <w:lang w:val="en-US"/>
        </w:rPr>
        <w:t>.</w:t>
      </w:r>
      <w:proofErr w:type="gramEnd"/>
      <w:r w:rsidRPr="00EF5397">
        <w:rPr>
          <w:sz w:val="20"/>
          <w:szCs w:val="20"/>
          <w:lang w:val="en-US"/>
        </w:rPr>
        <w:t xml:space="preserve"> </w:t>
      </w:r>
    </w:p>
  </w:footnote>
  <w:footnote w:id="14">
    <w:p w14:paraId="57225DA7" w14:textId="402F3A59" w:rsidR="00EF5397" w:rsidRPr="00EF5397" w:rsidRDefault="00EF5397">
      <w:pPr>
        <w:pStyle w:val="FootnoteText"/>
        <w:rPr>
          <w:sz w:val="20"/>
          <w:szCs w:val="20"/>
          <w:lang w:val="en-US"/>
        </w:rPr>
      </w:pPr>
      <w:r w:rsidRPr="00EF5397">
        <w:rPr>
          <w:rStyle w:val="FootnoteReference"/>
          <w:sz w:val="20"/>
          <w:szCs w:val="20"/>
        </w:rPr>
        <w:footnoteRef/>
      </w:r>
      <w:r w:rsidRPr="00EF5397">
        <w:rPr>
          <w:sz w:val="20"/>
          <w:szCs w:val="20"/>
        </w:rPr>
        <w:t xml:space="preserve"> </w:t>
      </w:r>
      <w:proofErr w:type="gramStart"/>
      <w:r w:rsidRPr="00EF5397">
        <w:rPr>
          <w:sz w:val="20"/>
          <w:szCs w:val="20"/>
          <w:lang w:val="en-US"/>
        </w:rPr>
        <w:t xml:space="preserve">Press Release, “Feinstein Proposes Reforms to Prevent Future Use of Torture,” Senator Dianne Feinstein, Jan. 5, 2015, </w:t>
      </w:r>
      <w:hyperlink r:id="rId13" w:history="1">
        <w:r w:rsidRPr="00EF5397">
          <w:rPr>
            <w:rStyle w:val="Hyperlink"/>
            <w:sz w:val="20"/>
            <w:szCs w:val="20"/>
            <w:lang w:val="en-US"/>
          </w:rPr>
          <w:t>http://www.feinstein.senate.gov/public/index.cfm/press-releases?ID=0084e644-a5ed-46e1-8649-762df3ffcf4f</w:t>
        </w:r>
      </w:hyperlink>
      <w:r w:rsidRPr="00EF5397">
        <w:rPr>
          <w:sz w:val="20"/>
          <w:szCs w:val="20"/>
          <w:lang w:val="en-US"/>
        </w:rPr>
        <w:t>.</w:t>
      </w:r>
      <w:proofErr w:type="gramEnd"/>
      <w:r w:rsidRPr="00EF5397">
        <w:rPr>
          <w:sz w:val="20"/>
          <w:szCs w:val="20"/>
          <w:lang w:val="en-US"/>
        </w:rPr>
        <w:t xml:space="preserve"> </w:t>
      </w:r>
    </w:p>
  </w:footnote>
  <w:footnote w:id="15">
    <w:p w14:paraId="14155C55" w14:textId="24ADDA84" w:rsidR="0086222C" w:rsidRPr="00D53CF1" w:rsidRDefault="0086222C" w:rsidP="00B85E0C">
      <w:pPr>
        <w:pStyle w:val="FootnoteText"/>
        <w:rPr>
          <w:sz w:val="20"/>
          <w:szCs w:val="20"/>
        </w:rPr>
      </w:pPr>
      <w:r w:rsidRPr="00D53CF1">
        <w:rPr>
          <w:rStyle w:val="FootnoteReference"/>
          <w:sz w:val="20"/>
          <w:szCs w:val="20"/>
        </w:rPr>
        <w:footnoteRef/>
      </w:r>
      <w:r w:rsidRPr="00D53CF1">
        <w:rPr>
          <w:sz w:val="20"/>
          <w:szCs w:val="20"/>
        </w:rPr>
        <w:t xml:space="preserve"> The NGO Grades are made in accordance with the assessment grades of the HR Committee (see the page 1) so that both grades can be directly compared</w:t>
      </w:r>
    </w:p>
  </w:footnote>
  <w:footnote w:id="16">
    <w:p w14:paraId="04E48104" w14:textId="1F0DB4C3" w:rsidR="00EF5397" w:rsidRPr="008E5DEC" w:rsidRDefault="00EF5397">
      <w:pPr>
        <w:pStyle w:val="FootnoteText"/>
        <w:rPr>
          <w:sz w:val="20"/>
          <w:szCs w:val="20"/>
          <w:lang w:val="en-US"/>
        </w:rPr>
      </w:pPr>
      <w:r w:rsidRPr="008E5DEC">
        <w:rPr>
          <w:rStyle w:val="FootnoteReference"/>
          <w:sz w:val="20"/>
          <w:szCs w:val="20"/>
        </w:rPr>
        <w:footnoteRef/>
      </w:r>
      <w:r w:rsidRPr="008E5DEC">
        <w:rPr>
          <w:sz w:val="20"/>
          <w:szCs w:val="20"/>
        </w:rPr>
        <w:t xml:space="preserve"> </w:t>
      </w:r>
      <w:proofErr w:type="gramStart"/>
      <w:r w:rsidRPr="008E5DEC">
        <w:rPr>
          <w:sz w:val="20"/>
          <w:szCs w:val="20"/>
          <w:lang w:val="en-US"/>
        </w:rPr>
        <w:t>Full timeline of transfers of prisoners to and from Guantanamo available from the</w:t>
      </w:r>
      <w:r w:rsidRPr="008E5DEC">
        <w:rPr>
          <w:i/>
          <w:sz w:val="20"/>
          <w:szCs w:val="20"/>
          <w:lang w:val="en-US"/>
        </w:rPr>
        <w:t xml:space="preserve"> </w:t>
      </w:r>
      <w:r w:rsidRPr="008E5DEC">
        <w:rPr>
          <w:sz w:val="20"/>
          <w:szCs w:val="20"/>
          <w:lang w:val="en-US"/>
        </w:rPr>
        <w:t>New York</w:t>
      </w:r>
      <w:r w:rsidRPr="008E5DEC">
        <w:rPr>
          <w:i/>
          <w:sz w:val="20"/>
          <w:szCs w:val="20"/>
          <w:lang w:val="en-US"/>
        </w:rPr>
        <w:t xml:space="preserve"> Times </w:t>
      </w:r>
      <w:r w:rsidRPr="008E5DEC">
        <w:rPr>
          <w:sz w:val="20"/>
          <w:szCs w:val="20"/>
          <w:lang w:val="en-US"/>
        </w:rPr>
        <w:t xml:space="preserve">at </w:t>
      </w:r>
      <w:hyperlink r:id="rId14" w:history="1">
        <w:r w:rsidRPr="008E5DEC">
          <w:rPr>
            <w:rStyle w:val="Hyperlink"/>
            <w:sz w:val="20"/>
            <w:szCs w:val="20"/>
            <w:lang w:val="en-US"/>
          </w:rPr>
          <w:t>http://projects.nytimes.com/guantanamo/timeline</w:t>
        </w:r>
      </w:hyperlink>
      <w:r w:rsidRPr="008E5DEC">
        <w:rPr>
          <w:sz w:val="20"/>
          <w:szCs w:val="20"/>
          <w:lang w:val="en-US"/>
        </w:rPr>
        <w:t>.</w:t>
      </w:r>
      <w:proofErr w:type="gramEnd"/>
      <w:r w:rsidRPr="008E5DEC">
        <w:rPr>
          <w:sz w:val="20"/>
          <w:szCs w:val="20"/>
          <w:lang w:val="en-US"/>
        </w:rPr>
        <w:t xml:space="preserve"> </w:t>
      </w:r>
    </w:p>
  </w:footnote>
  <w:footnote w:id="17">
    <w:p w14:paraId="23BAAF99" w14:textId="23FE4B6D" w:rsidR="002079FA" w:rsidRPr="002079FA" w:rsidRDefault="002079FA" w:rsidP="002079FA">
      <w:pPr>
        <w:pStyle w:val="Heading1"/>
        <w:shd w:val="clear" w:color="auto" w:fill="FFFFFF"/>
        <w:spacing w:before="0" w:beforeAutospacing="0" w:after="0" w:afterAutospacing="0"/>
        <w:rPr>
          <w:rFonts w:ascii="Calibri" w:eastAsia="Calibri" w:hAnsi="Calibri"/>
          <w:b w:val="0"/>
          <w:bCs w:val="0"/>
          <w:kern w:val="0"/>
          <w:sz w:val="20"/>
          <w:szCs w:val="20"/>
          <w:lang w:val="en-GB"/>
        </w:rPr>
      </w:pPr>
      <w:r w:rsidRPr="002079FA">
        <w:rPr>
          <w:rFonts w:ascii="Calibri" w:eastAsia="Calibri" w:hAnsi="Calibri"/>
          <w:b w:val="0"/>
          <w:bCs w:val="0"/>
          <w:kern w:val="0"/>
          <w:sz w:val="20"/>
          <w:szCs w:val="20"/>
          <w:vertAlign w:val="superscript"/>
          <w:lang w:val="en-GB"/>
        </w:rPr>
        <w:footnoteRef/>
      </w:r>
      <w:r w:rsidRPr="002079FA">
        <w:rPr>
          <w:rFonts w:ascii="Calibri" w:eastAsia="Calibri" w:hAnsi="Calibri"/>
          <w:b w:val="0"/>
          <w:bCs w:val="0"/>
          <w:kern w:val="0"/>
          <w:sz w:val="20"/>
          <w:szCs w:val="20"/>
          <w:vertAlign w:val="superscript"/>
          <w:lang w:val="en-GB"/>
        </w:rPr>
        <w:t xml:space="preserve"> </w:t>
      </w:r>
      <w:r w:rsidRPr="002079FA">
        <w:rPr>
          <w:rFonts w:ascii="Calibri" w:eastAsia="Calibri" w:hAnsi="Calibri"/>
          <w:b w:val="0"/>
          <w:bCs w:val="0"/>
          <w:kern w:val="0"/>
          <w:sz w:val="20"/>
          <w:szCs w:val="20"/>
          <w:lang w:val="en-GB"/>
        </w:rPr>
        <w:t xml:space="preserve">Jennifer </w:t>
      </w:r>
      <w:proofErr w:type="spellStart"/>
      <w:r w:rsidRPr="002079FA">
        <w:rPr>
          <w:rFonts w:ascii="Calibri" w:eastAsia="Calibri" w:hAnsi="Calibri"/>
          <w:b w:val="0"/>
          <w:bCs w:val="0"/>
          <w:kern w:val="0"/>
          <w:sz w:val="20"/>
          <w:szCs w:val="20"/>
          <w:lang w:val="en-GB"/>
        </w:rPr>
        <w:t>Daskal</w:t>
      </w:r>
      <w:proofErr w:type="spellEnd"/>
      <w:r w:rsidRPr="002079FA">
        <w:rPr>
          <w:rFonts w:ascii="Calibri" w:eastAsia="Calibri" w:hAnsi="Calibri"/>
          <w:b w:val="0"/>
          <w:bCs w:val="0"/>
          <w:kern w:val="0"/>
          <w:sz w:val="20"/>
          <w:szCs w:val="20"/>
          <w:lang w:val="en-GB"/>
        </w:rPr>
        <w:t xml:space="preserve">, </w:t>
      </w:r>
      <w:r>
        <w:rPr>
          <w:rFonts w:ascii="Calibri" w:eastAsia="Calibri" w:hAnsi="Calibri"/>
          <w:b w:val="0"/>
          <w:bCs w:val="0"/>
          <w:kern w:val="0"/>
          <w:sz w:val="20"/>
          <w:szCs w:val="20"/>
          <w:lang w:val="en-GB"/>
        </w:rPr>
        <w:t>“</w:t>
      </w:r>
      <w:hyperlink r:id="rId15" w:tooltip="The 2015 National Defense Authorization Act: A Silver Lining for Guantanamo Detainees" w:history="1">
        <w:r w:rsidRPr="002079FA">
          <w:rPr>
            <w:rFonts w:ascii="Calibri" w:eastAsia="Calibri" w:hAnsi="Calibri"/>
            <w:b w:val="0"/>
            <w:bCs w:val="0"/>
            <w:kern w:val="0"/>
            <w:sz w:val="20"/>
            <w:szCs w:val="20"/>
            <w:lang w:val="en-GB"/>
          </w:rPr>
          <w:t>The 2015 National Defense Authorization Act: A Silver Lining for Guantanamo Detainees</w:t>
        </w:r>
      </w:hyperlink>
      <w:r>
        <w:rPr>
          <w:rFonts w:ascii="Calibri" w:eastAsia="Calibri" w:hAnsi="Calibri"/>
          <w:b w:val="0"/>
          <w:bCs w:val="0"/>
          <w:kern w:val="0"/>
          <w:sz w:val="20"/>
          <w:szCs w:val="20"/>
          <w:lang w:val="en-GB"/>
        </w:rPr>
        <w:t xml:space="preserve">,” Just Security, Dec. 5 ,2014, </w:t>
      </w:r>
      <w:hyperlink r:id="rId16" w:history="1">
        <w:r w:rsidRPr="00BA243F">
          <w:rPr>
            <w:rStyle w:val="Hyperlink"/>
            <w:rFonts w:ascii="Calibri" w:eastAsia="Calibri" w:hAnsi="Calibri"/>
            <w:b w:val="0"/>
            <w:bCs w:val="0"/>
            <w:kern w:val="0"/>
            <w:sz w:val="20"/>
            <w:szCs w:val="20"/>
            <w:lang w:val="en-GB"/>
          </w:rPr>
          <w:t>http://justsecurity.org/18020/2015-national-defense-authorization-act-silver-lining-guantanamo-detainees/</w:t>
        </w:r>
      </w:hyperlink>
      <w:r>
        <w:rPr>
          <w:rFonts w:ascii="Calibri" w:eastAsia="Calibri" w:hAnsi="Calibri"/>
          <w:b w:val="0"/>
          <w:bCs w:val="0"/>
          <w:kern w:val="0"/>
          <w:sz w:val="20"/>
          <w:szCs w:val="20"/>
          <w:lang w:val="en-GB"/>
        </w:rPr>
        <w:t xml:space="preserve">. </w:t>
      </w:r>
    </w:p>
  </w:footnote>
  <w:footnote w:id="18">
    <w:p w14:paraId="1BA91E04" w14:textId="77777777" w:rsidR="002D71DC" w:rsidRPr="008E5DEC" w:rsidRDefault="002D71DC" w:rsidP="002D71DC">
      <w:pPr>
        <w:pStyle w:val="FootnoteText"/>
        <w:rPr>
          <w:sz w:val="20"/>
          <w:szCs w:val="20"/>
          <w:lang w:val="en-US"/>
        </w:rPr>
      </w:pPr>
      <w:r w:rsidRPr="008E5DEC">
        <w:rPr>
          <w:rStyle w:val="FootnoteReference"/>
          <w:sz w:val="20"/>
          <w:szCs w:val="20"/>
        </w:rPr>
        <w:footnoteRef/>
      </w:r>
      <w:r w:rsidRPr="008E5DEC">
        <w:rPr>
          <w:sz w:val="20"/>
          <w:szCs w:val="20"/>
        </w:rPr>
        <w:t xml:space="preserve"> President Barack Obama, State of the Union Address, Jan. 20, 2015, </w:t>
      </w:r>
      <w:r w:rsidRPr="008E5DEC">
        <w:rPr>
          <w:i/>
          <w:sz w:val="20"/>
          <w:szCs w:val="20"/>
        </w:rPr>
        <w:t>available at</w:t>
      </w:r>
      <w:r w:rsidRPr="008E5DEC">
        <w:rPr>
          <w:sz w:val="20"/>
          <w:szCs w:val="20"/>
        </w:rPr>
        <w:t xml:space="preserve"> </w:t>
      </w:r>
      <w:hyperlink r:id="rId17" w:history="1">
        <w:r w:rsidRPr="008E5DEC">
          <w:rPr>
            <w:rStyle w:val="Hyperlink"/>
            <w:sz w:val="20"/>
            <w:szCs w:val="20"/>
          </w:rPr>
          <w:t>http://www.cnn.com/2015/01/20/politics/state-of-the-union-2015-transcript-full-text/</w:t>
        </w:r>
      </w:hyperlink>
      <w:r w:rsidRPr="008E5DEC">
        <w:rPr>
          <w:sz w:val="20"/>
          <w:szCs w:val="20"/>
        </w:rPr>
        <w:t xml:space="preserve">. </w:t>
      </w:r>
    </w:p>
  </w:footnote>
  <w:footnote w:id="19">
    <w:p w14:paraId="400B0612" w14:textId="29BE8A9D" w:rsidR="009348FE" w:rsidRPr="002079FA" w:rsidRDefault="009348FE">
      <w:pPr>
        <w:pStyle w:val="FootnoteText"/>
        <w:rPr>
          <w:sz w:val="20"/>
          <w:szCs w:val="20"/>
          <w:lang w:val="en-US"/>
        </w:rPr>
      </w:pPr>
      <w:r w:rsidRPr="002079FA">
        <w:rPr>
          <w:rStyle w:val="FootnoteReference"/>
          <w:sz w:val="20"/>
          <w:szCs w:val="20"/>
        </w:rPr>
        <w:footnoteRef/>
      </w:r>
      <w:r w:rsidRPr="002079FA">
        <w:rPr>
          <w:sz w:val="20"/>
          <w:szCs w:val="20"/>
        </w:rPr>
        <w:t xml:space="preserve"> All transfer approvals and denials are available from the Periodic Review Secretariat </w:t>
      </w:r>
      <w:hyperlink r:id="rId18" w:history="1">
        <w:r w:rsidRPr="002079FA">
          <w:rPr>
            <w:rStyle w:val="Hyperlink"/>
            <w:sz w:val="20"/>
            <w:szCs w:val="20"/>
          </w:rPr>
          <w:t>http://www.prs.mil/ReviewInformation/FullReviewpage.aspx</w:t>
        </w:r>
      </w:hyperlink>
      <w:r w:rsidRPr="002079FA">
        <w:rPr>
          <w:sz w:val="20"/>
          <w:szCs w:val="20"/>
        </w:rPr>
        <w:t xml:space="preserve">. </w:t>
      </w:r>
    </w:p>
  </w:footnote>
  <w:footnote w:id="20">
    <w:p w14:paraId="07019648" w14:textId="0EC3FC01" w:rsidR="005A738E" w:rsidRPr="005A738E" w:rsidRDefault="005A738E">
      <w:pPr>
        <w:pStyle w:val="FootnoteText"/>
        <w:rPr>
          <w:sz w:val="20"/>
          <w:szCs w:val="20"/>
          <w:lang w:val="en-US"/>
        </w:rPr>
      </w:pPr>
      <w:r w:rsidRPr="005A738E">
        <w:rPr>
          <w:rStyle w:val="FootnoteReference"/>
          <w:sz w:val="20"/>
          <w:szCs w:val="20"/>
        </w:rPr>
        <w:footnoteRef/>
      </w:r>
      <w:r w:rsidRPr="005A738E">
        <w:rPr>
          <w:sz w:val="20"/>
          <w:szCs w:val="20"/>
        </w:rPr>
        <w:t xml:space="preserve"> </w:t>
      </w:r>
      <w:r w:rsidRPr="005A738E">
        <w:rPr>
          <w:sz w:val="20"/>
          <w:szCs w:val="20"/>
          <w:lang w:val="en-US"/>
        </w:rPr>
        <w:t>In D</w:t>
      </w:r>
      <w:r>
        <w:rPr>
          <w:sz w:val="20"/>
          <w:szCs w:val="20"/>
          <w:lang w:val="en-US"/>
        </w:rPr>
        <w:t>ecember 2014, President Obama declared an end to the U.S. war in Afghanistan.</w:t>
      </w:r>
    </w:p>
  </w:footnote>
  <w:footnote w:id="21">
    <w:p w14:paraId="0C397655" w14:textId="21D5A4B9" w:rsidR="008E5DEC" w:rsidRPr="008E5DEC" w:rsidRDefault="008E5DEC">
      <w:pPr>
        <w:pStyle w:val="FootnoteText"/>
        <w:rPr>
          <w:sz w:val="20"/>
          <w:szCs w:val="20"/>
          <w:lang w:val="en-US"/>
        </w:rPr>
      </w:pPr>
      <w:r w:rsidRPr="008E5DEC">
        <w:rPr>
          <w:rStyle w:val="FootnoteReference"/>
          <w:sz w:val="20"/>
          <w:szCs w:val="20"/>
        </w:rPr>
        <w:footnoteRef/>
      </w:r>
      <w:r w:rsidRPr="008E5DEC">
        <w:rPr>
          <w:sz w:val="20"/>
          <w:szCs w:val="20"/>
        </w:rPr>
        <w:t xml:space="preserve"> </w:t>
      </w:r>
      <w:proofErr w:type="gramStart"/>
      <w:r w:rsidRPr="008E5DEC">
        <w:rPr>
          <w:sz w:val="20"/>
          <w:szCs w:val="20"/>
          <w:lang w:val="en-US"/>
        </w:rPr>
        <w:t xml:space="preserve">Press Release, “Ayotte, McCain, Graham, Burr Introduce Legislation Restricting Transfer of Guantanamo Bay Detainees,” Senator Kelly Ayotte, Jan. 13, 2015, </w:t>
      </w:r>
      <w:hyperlink r:id="rId19" w:history="1">
        <w:r w:rsidRPr="008E5DEC">
          <w:rPr>
            <w:rStyle w:val="Hyperlink"/>
            <w:sz w:val="20"/>
            <w:szCs w:val="20"/>
            <w:lang w:val="en-US"/>
          </w:rPr>
          <w:t>http://www.ayotte.senate.gov/?p=press_release&amp;id=1711</w:t>
        </w:r>
      </w:hyperlink>
      <w:r w:rsidRPr="008E5DEC">
        <w:rPr>
          <w:sz w:val="20"/>
          <w:szCs w:val="20"/>
          <w:lang w:val="en-US"/>
        </w:rPr>
        <w:t>.</w:t>
      </w:r>
      <w:proofErr w:type="gramEnd"/>
      <w:r w:rsidRPr="008E5DEC">
        <w:rPr>
          <w:sz w:val="20"/>
          <w:szCs w:val="20"/>
          <w:lang w:val="en-US"/>
        </w:rPr>
        <w:t xml:space="preserve"> </w:t>
      </w:r>
    </w:p>
  </w:footnote>
  <w:footnote w:id="22">
    <w:p w14:paraId="38713FD3" w14:textId="4DE80D13" w:rsidR="008E5DEC" w:rsidRPr="008E5DEC" w:rsidRDefault="008E5DEC">
      <w:pPr>
        <w:pStyle w:val="FootnoteText"/>
        <w:rPr>
          <w:sz w:val="20"/>
          <w:szCs w:val="20"/>
          <w:lang w:val="en-US"/>
        </w:rPr>
      </w:pPr>
      <w:r w:rsidRPr="008E5DEC">
        <w:rPr>
          <w:rStyle w:val="FootnoteReference"/>
          <w:sz w:val="20"/>
          <w:szCs w:val="20"/>
        </w:rPr>
        <w:footnoteRef/>
      </w:r>
      <w:r w:rsidRPr="008E5DEC">
        <w:rPr>
          <w:sz w:val="20"/>
          <w:szCs w:val="20"/>
        </w:rPr>
        <w:t xml:space="preserve"> </w:t>
      </w:r>
      <w:r w:rsidRPr="008E5DEC">
        <w:rPr>
          <w:sz w:val="20"/>
          <w:szCs w:val="20"/>
          <w:lang w:val="en-US"/>
        </w:rPr>
        <w:t xml:space="preserve">Helene Cooper, “Cliff Sloan, Guantanamo Envoy, Quits </w:t>
      </w:r>
      <w:proofErr w:type="gramStart"/>
      <w:r w:rsidRPr="008E5DEC">
        <w:rPr>
          <w:sz w:val="20"/>
          <w:szCs w:val="20"/>
          <w:lang w:val="en-US"/>
        </w:rPr>
        <w:t>Amid</w:t>
      </w:r>
      <w:proofErr w:type="gramEnd"/>
      <w:r w:rsidRPr="008E5DEC">
        <w:rPr>
          <w:sz w:val="20"/>
          <w:szCs w:val="20"/>
          <w:lang w:val="en-US"/>
        </w:rPr>
        <w:t xml:space="preserve"> Delay in Prisoner Releases,” NY </w:t>
      </w:r>
      <w:r w:rsidRPr="008E5DEC">
        <w:rPr>
          <w:i/>
          <w:sz w:val="20"/>
          <w:szCs w:val="20"/>
          <w:lang w:val="en-US"/>
        </w:rPr>
        <w:t>Times</w:t>
      </w:r>
      <w:r w:rsidRPr="008E5DEC">
        <w:rPr>
          <w:sz w:val="20"/>
          <w:szCs w:val="20"/>
          <w:lang w:val="en-US"/>
        </w:rPr>
        <w:t xml:space="preserve">, Dec. 22, 2014, </w:t>
      </w:r>
      <w:hyperlink r:id="rId20" w:history="1">
        <w:r w:rsidRPr="008E5DEC">
          <w:rPr>
            <w:rStyle w:val="Hyperlink"/>
            <w:sz w:val="20"/>
            <w:szCs w:val="20"/>
            <w:lang w:val="en-US"/>
          </w:rPr>
          <w:t>http://www.nytimes.com/2014/12/23/us/politics/guantnamo-envoy-cliff-sloan-quits-amid-delays-in-prisoner-releases.html?_r=0</w:t>
        </w:r>
      </w:hyperlink>
      <w:r w:rsidRPr="008E5DEC">
        <w:rPr>
          <w:sz w:val="20"/>
          <w:szCs w:val="20"/>
          <w:lang w:val="en-US"/>
        </w:rPr>
        <w:t xml:space="preserve">. </w:t>
      </w:r>
    </w:p>
  </w:footnote>
  <w:footnote w:id="23">
    <w:p w14:paraId="6840131A" w14:textId="1EB8EA09" w:rsidR="00DA70BC" w:rsidRPr="00DA70BC" w:rsidRDefault="00DA70BC">
      <w:pPr>
        <w:pStyle w:val="FootnoteText"/>
        <w:rPr>
          <w:sz w:val="20"/>
          <w:szCs w:val="20"/>
          <w:lang w:val="en-US"/>
        </w:rPr>
      </w:pPr>
      <w:r w:rsidRPr="00DA70BC">
        <w:rPr>
          <w:rStyle w:val="FootnoteReference"/>
          <w:sz w:val="20"/>
          <w:szCs w:val="20"/>
        </w:rPr>
        <w:footnoteRef/>
      </w:r>
      <w:r w:rsidRPr="00DA70BC">
        <w:rPr>
          <w:sz w:val="20"/>
          <w:szCs w:val="20"/>
        </w:rPr>
        <w:t xml:space="preserve"> </w:t>
      </w:r>
      <w:r>
        <w:rPr>
          <w:sz w:val="20"/>
          <w:szCs w:val="20"/>
        </w:rPr>
        <w:t xml:space="preserve">For more information on the physical and psychological impact of indefinite detention without charge or trial see </w:t>
      </w:r>
      <w:r>
        <w:rPr>
          <w:sz w:val="20"/>
          <w:szCs w:val="20"/>
          <w:lang w:val="en-US"/>
        </w:rPr>
        <w:t>Center for Victims of Torture shadow report on US compliance with the ICCPR</w:t>
      </w:r>
      <w:r w:rsidR="00FC585D">
        <w:rPr>
          <w:sz w:val="20"/>
          <w:szCs w:val="20"/>
          <w:lang w:val="en-US"/>
        </w:rPr>
        <w:t xml:space="preserve"> regarding Guantanamo detainees</w:t>
      </w:r>
      <w:r>
        <w:rPr>
          <w:sz w:val="20"/>
          <w:szCs w:val="20"/>
          <w:lang w:val="en-US"/>
        </w:rPr>
        <w:t xml:space="preserve"> (2014)</w:t>
      </w:r>
      <w:r w:rsidRPr="00DA70BC">
        <w:rPr>
          <w:sz w:val="20"/>
          <w:szCs w:val="20"/>
          <w:lang w:val="en-US"/>
        </w:rPr>
        <w:t xml:space="preserve"> </w:t>
      </w:r>
      <w:hyperlink r:id="rId21" w:history="1">
        <w:r w:rsidRPr="007859D4">
          <w:rPr>
            <w:rStyle w:val="Hyperlink"/>
            <w:sz w:val="20"/>
            <w:szCs w:val="20"/>
            <w:lang w:val="en-US"/>
          </w:rPr>
          <w:t>http://www.ushrnetwork.org/sites/ushrnetwork.org/files/18_page_255-261_guantanamo_ctr_for_victims_of_torture.pdf</w:t>
        </w:r>
      </w:hyperlink>
      <w:r>
        <w:rPr>
          <w:sz w:val="20"/>
          <w:szCs w:val="20"/>
          <w:lang w:val="en-US"/>
        </w:rPr>
        <w:t>.</w:t>
      </w:r>
    </w:p>
  </w:footnote>
  <w:footnote w:id="24">
    <w:p w14:paraId="630B6CB3" w14:textId="0304C306" w:rsidR="00E041EC" w:rsidRPr="00E041EC" w:rsidRDefault="00E041EC">
      <w:pPr>
        <w:pStyle w:val="FootnoteText"/>
        <w:rPr>
          <w:sz w:val="20"/>
          <w:szCs w:val="20"/>
          <w:lang w:val="en-US"/>
        </w:rPr>
      </w:pPr>
      <w:r w:rsidRPr="00E041EC">
        <w:rPr>
          <w:rStyle w:val="FootnoteReference"/>
          <w:sz w:val="20"/>
          <w:szCs w:val="20"/>
        </w:rPr>
        <w:footnoteRef/>
      </w:r>
      <w:r w:rsidRPr="00E041EC">
        <w:rPr>
          <w:sz w:val="20"/>
          <w:szCs w:val="20"/>
        </w:rPr>
        <w:t xml:space="preserve"> </w:t>
      </w:r>
      <w:proofErr w:type="gramStart"/>
      <w:r w:rsidRPr="00E041EC">
        <w:rPr>
          <w:sz w:val="20"/>
          <w:szCs w:val="20"/>
        </w:rPr>
        <w:t>Press Release, “</w:t>
      </w:r>
      <w:proofErr w:type="spellStart"/>
      <w:r w:rsidRPr="00E041EC">
        <w:rPr>
          <w:sz w:val="20"/>
          <w:szCs w:val="20"/>
        </w:rPr>
        <w:t>Irek</w:t>
      </w:r>
      <w:proofErr w:type="spellEnd"/>
      <w:r w:rsidRPr="00E041EC">
        <w:rPr>
          <w:sz w:val="20"/>
          <w:szCs w:val="20"/>
        </w:rPr>
        <w:t xml:space="preserve"> </w:t>
      </w:r>
      <w:proofErr w:type="spellStart"/>
      <w:r w:rsidRPr="00E041EC">
        <w:rPr>
          <w:sz w:val="20"/>
          <w:szCs w:val="20"/>
        </w:rPr>
        <w:t>Ilgiz</w:t>
      </w:r>
      <w:proofErr w:type="spellEnd"/>
      <w:r w:rsidRPr="00E041EC">
        <w:rPr>
          <w:sz w:val="20"/>
          <w:szCs w:val="20"/>
        </w:rPr>
        <w:t xml:space="preserve"> </w:t>
      </w:r>
      <w:proofErr w:type="spellStart"/>
      <w:r w:rsidRPr="00E041EC">
        <w:rPr>
          <w:sz w:val="20"/>
          <w:szCs w:val="20"/>
        </w:rPr>
        <w:t>Hamidullin</w:t>
      </w:r>
      <w:proofErr w:type="spellEnd"/>
      <w:r w:rsidRPr="00E041EC">
        <w:rPr>
          <w:sz w:val="20"/>
          <w:szCs w:val="20"/>
        </w:rPr>
        <w:t xml:space="preserve"> Indicted for 2009 Attack on U.S. and Afghan Forces in </w:t>
      </w:r>
      <w:proofErr w:type="spellStart"/>
      <w:r w:rsidRPr="00E041EC">
        <w:rPr>
          <w:sz w:val="20"/>
          <w:szCs w:val="20"/>
        </w:rPr>
        <w:t>Khost</w:t>
      </w:r>
      <w:proofErr w:type="spellEnd"/>
      <w:r w:rsidRPr="00E041EC">
        <w:rPr>
          <w:sz w:val="20"/>
          <w:szCs w:val="20"/>
        </w:rPr>
        <w:t xml:space="preserve">, Afghanistan,” U.S. Dep’t of Justice, Nov. 4, 2014, </w:t>
      </w:r>
      <w:hyperlink r:id="rId22" w:history="1">
        <w:r w:rsidRPr="00E041EC">
          <w:rPr>
            <w:rStyle w:val="Hyperlink"/>
            <w:sz w:val="20"/>
            <w:szCs w:val="20"/>
          </w:rPr>
          <w:t>http://www.justice.gov/opa/pr/irek-ilgiz-hamidullin-indicted-2009-attack-us-and-afghan-forces-khost-afghanistan</w:t>
        </w:r>
      </w:hyperlink>
      <w:r w:rsidRPr="00E041EC">
        <w:rPr>
          <w:sz w:val="20"/>
          <w:szCs w:val="20"/>
        </w:rPr>
        <w:t>.</w:t>
      </w:r>
      <w:proofErr w:type="gramEnd"/>
      <w:r w:rsidRPr="00E041EC">
        <w:rPr>
          <w:sz w:val="20"/>
          <w:szCs w:val="20"/>
        </w:rPr>
        <w:t xml:space="preserve"> </w:t>
      </w:r>
    </w:p>
  </w:footnote>
  <w:footnote w:id="25">
    <w:p w14:paraId="468D9841" w14:textId="0C079400" w:rsidR="00296B7D" w:rsidRPr="00296B7D" w:rsidRDefault="00296B7D">
      <w:pPr>
        <w:pStyle w:val="FootnoteText"/>
        <w:rPr>
          <w:sz w:val="20"/>
          <w:szCs w:val="20"/>
          <w:lang w:val="en-US"/>
        </w:rPr>
      </w:pPr>
      <w:r w:rsidRPr="00296B7D">
        <w:rPr>
          <w:rStyle w:val="FootnoteReference"/>
          <w:sz w:val="20"/>
          <w:szCs w:val="20"/>
        </w:rPr>
        <w:footnoteRef/>
      </w:r>
      <w:r w:rsidRPr="00296B7D">
        <w:rPr>
          <w:sz w:val="20"/>
          <w:szCs w:val="20"/>
        </w:rPr>
        <w:t xml:space="preserve"> </w:t>
      </w:r>
      <w:r w:rsidRPr="00296B7D">
        <w:rPr>
          <w:sz w:val="20"/>
          <w:szCs w:val="20"/>
          <w:lang w:val="en-US"/>
        </w:rPr>
        <w:t xml:space="preserve">Brian Bennett, “U.S. Shuts Down its Last Detention Center in Afghanistan,” LA Times, Dec. 10, 2014 </w:t>
      </w:r>
      <w:hyperlink r:id="rId23" w:history="1">
        <w:r w:rsidRPr="00296B7D">
          <w:rPr>
            <w:rStyle w:val="Hyperlink"/>
            <w:sz w:val="20"/>
            <w:szCs w:val="20"/>
            <w:lang w:val="en-US"/>
          </w:rPr>
          <w:t>http://www.latimes.com/world/afghanistan-pakistan/la-fg-us-detention-center-afghanistan-20141210-story.html</w:t>
        </w:r>
      </w:hyperlink>
      <w:r w:rsidRPr="00296B7D">
        <w:rPr>
          <w:sz w:val="20"/>
          <w:szCs w:val="20"/>
          <w:lang w:val="en-US"/>
        </w:rPr>
        <w:t xml:space="preserve"> </w:t>
      </w:r>
    </w:p>
  </w:footnote>
  <w:footnote w:id="26">
    <w:p w14:paraId="5148EC9F" w14:textId="63DB5C01" w:rsidR="00E041EC" w:rsidRPr="00E041EC" w:rsidRDefault="00E041EC">
      <w:pPr>
        <w:pStyle w:val="FootnoteText"/>
        <w:rPr>
          <w:sz w:val="20"/>
          <w:szCs w:val="20"/>
          <w:lang w:val="en-US"/>
        </w:rPr>
      </w:pPr>
      <w:r w:rsidRPr="00E041EC">
        <w:rPr>
          <w:rStyle w:val="FootnoteReference"/>
          <w:sz w:val="20"/>
          <w:szCs w:val="20"/>
        </w:rPr>
        <w:footnoteRef/>
      </w:r>
      <w:r w:rsidRPr="00E041EC">
        <w:rPr>
          <w:sz w:val="20"/>
          <w:szCs w:val="20"/>
        </w:rPr>
        <w:t xml:space="preserve"> </w:t>
      </w:r>
      <w:r w:rsidRPr="00E041EC">
        <w:rPr>
          <w:bCs/>
          <w:sz w:val="20"/>
          <w:szCs w:val="20"/>
        </w:rPr>
        <w:t xml:space="preserve">Jennifer </w:t>
      </w:r>
      <w:proofErr w:type="spellStart"/>
      <w:r w:rsidRPr="00E041EC">
        <w:rPr>
          <w:bCs/>
          <w:sz w:val="20"/>
          <w:szCs w:val="20"/>
        </w:rPr>
        <w:t>Daskal</w:t>
      </w:r>
      <w:proofErr w:type="spellEnd"/>
      <w:r w:rsidRPr="00E041EC">
        <w:rPr>
          <w:bCs/>
          <w:sz w:val="20"/>
          <w:szCs w:val="20"/>
        </w:rPr>
        <w:t>, “</w:t>
      </w:r>
      <w:hyperlink r:id="rId24" w:tooltip="The 2015 National Defense Authorization Act: A Silver Lining for Guantanamo Detainees" w:history="1">
        <w:r w:rsidRPr="00E041EC">
          <w:rPr>
            <w:bCs/>
            <w:sz w:val="20"/>
            <w:szCs w:val="20"/>
          </w:rPr>
          <w:t>The 2015 National Defense Authorization Act: A Silver Lining for Guantanamo Detainees</w:t>
        </w:r>
      </w:hyperlink>
      <w:r w:rsidRPr="00E041EC">
        <w:rPr>
          <w:bCs/>
          <w:sz w:val="20"/>
          <w:szCs w:val="20"/>
        </w:rPr>
        <w:t xml:space="preserve">,” Just Security, Dec. 5 ,2014, </w:t>
      </w:r>
      <w:hyperlink r:id="rId25" w:history="1">
        <w:r w:rsidRPr="00E041EC">
          <w:rPr>
            <w:rStyle w:val="Hyperlink"/>
            <w:sz w:val="20"/>
            <w:szCs w:val="20"/>
          </w:rPr>
          <w:t>http://justsecurity.org/18020/2015-national-defense-authorization-act-silver-lining-guantanamo-detainees/</w:t>
        </w:r>
      </w:hyperlink>
      <w:r w:rsidRPr="00E041EC">
        <w:rPr>
          <w:bCs/>
          <w:sz w:val="20"/>
          <w:szCs w:val="20"/>
        </w:rPr>
        <w:t>.</w:t>
      </w:r>
    </w:p>
  </w:footnote>
  <w:footnote w:id="27">
    <w:p w14:paraId="7F22595A" w14:textId="1B195EC8" w:rsidR="00E041EC" w:rsidRPr="00E041EC" w:rsidRDefault="00E041EC">
      <w:pPr>
        <w:pStyle w:val="FootnoteText"/>
        <w:rPr>
          <w:sz w:val="20"/>
          <w:szCs w:val="20"/>
          <w:lang w:val="en-US"/>
        </w:rPr>
      </w:pPr>
      <w:r w:rsidRPr="00E041EC">
        <w:rPr>
          <w:rStyle w:val="FootnoteReference"/>
          <w:sz w:val="20"/>
          <w:szCs w:val="20"/>
        </w:rPr>
        <w:footnoteRef/>
      </w:r>
      <w:r w:rsidRPr="00E041EC">
        <w:rPr>
          <w:sz w:val="20"/>
          <w:szCs w:val="20"/>
        </w:rPr>
        <w:t xml:space="preserve"> Ian Simpson, “Pentagon pulls order relocating military judges to Guantanamo,” Reuters, Feb. 27, 2015, </w:t>
      </w:r>
      <w:hyperlink r:id="rId26" w:history="1">
        <w:r w:rsidRPr="00E041EC">
          <w:rPr>
            <w:rStyle w:val="Hyperlink"/>
            <w:sz w:val="20"/>
            <w:szCs w:val="20"/>
          </w:rPr>
          <w:t>http://www.reuters.com/article/2015/02/27/usa-guantanamo-idUSL1N0W11PY20150227</w:t>
        </w:r>
      </w:hyperlink>
      <w:r w:rsidRPr="00E041EC">
        <w:rPr>
          <w:sz w:val="20"/>
          <w:szCs w:val="20"/>
        </w:rPr>
        <w:t xml:space="preserve">. </w:t>
      </w:r>
    </w:p>
  </w:footnote>
  <w:footnote w:id="28">
    <w:p w14:paraId="1283EC05" w14:textId="77777777" w:rsidR="0086222C" w:rsidRPr="00D53CF1" w:rsidRDefault="0086222C" w:rsidP="00B85E0C">
      <w:pPr>
        <w:pStyle w:val="FootnoteText"/>
        <w:rPr>
          <w:sz w:val="20"/>
          <w:szCs w:val="20"/>
        </w:rPr>
      </w:pPr>
      <w:r w:rsidRPr="00D53CF1">
        <w:rPr>
          <w:rStyle w:val="FootnoteReference"/>
          <w:sz w:val="20"/>
          <w:szCs w:val="20"/>
        </w:rPr>
        <w:footnoteRef/>
      </w:r>
      <w:r w:rsidRPr="00D53CF1">
        <w:rPr>
          <w:sz w:val="20"/>
          <w:szCs w:val="20"/>
        </w:rPr>
        <w:t xml:space="preserve"> The NGO Grades are made in accordance with the assessment grades of the HR Committee (see the page 1) so that both grades can be directly compared</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81D4274"/>
    <w:multiLevelType w:val="hybridMultilevel"/>
    <w:tmpl w:val="D6B68F78"/>
    <w:lvl w:ilvl="0" w:tplc="9DD8FF7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A2F3D24"/>
    <w:multiLevelType w:val="hybridMultilevel"/>
    <w:tmpl w:val="981603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5E0C"/>
    <w:rsid w:val="000340D2"/>
    <w:rsid w:val="00064BA9"/>
    <w:rsid w:val="00064CA4"/>
    <w:rsid w:val="000C37CE"/>
    <w:rsid w:val="000C485D"/>
    <w:rsid w:val="000F0B1D"/>
    <w:rsid w:val="00134811"/>
    <w:rsid w:val="0013659A"/>
    <w:rsid w:val="0013733B"/>
    <w:rsid w:val="00163C82"/>
    <w:rsid w:val="001B379E"/>
    <w:rsid w:val="001B583E"/>
    <w:rsid w:val="001E267B"/>
    <w:rsid w:val="002079FA"/>
    <w:rsid w:val="0021689D"/>
    <w:rsid w:val="002715F3"/>
    <w:rsid w:val="002873BF"/>
    <w:rsid w:val="00296B7D"/>
    <w:rsid w:val="002C2FAE"/>
    <w:rsid w:val="002D71DC"/>
    <w:rsid w:val="00305180"/>
    <w:rsid w:val="00380093"/>
    <w:rsid w:val="00382952"/>
    <w:rsid w:val="003B128C"/>
    <w:rsid w:val="003B1B59"/>
    <w:rsid w:val="003C0F37"/>
    <w:rsid w:val="003D7292"/>
    <w:rsid w:val="003F484A"/>
    <w:rsid w:val="003F4B2A"/>
    <w:rsid w:val="00420C16"/>
    <w:rsid w:val="004355DB"/>
    <w:rsid w:val="00445B45"/>
    <w:rsid w:val="004B1E76"/>
    <w:rsid w:val="004D051D"/>
    <w:rsid w:val="004E2C73"/>
    <w:rsid w:val="00571112"/>
    <w:rsid w:val="005A35CF"/>
    <w:rsid w:val="005A738E"/>
    <w:rsid w:val="005E4EBC"/>
    <w:rsid w:val="00610227"/>
    <w:rsid w:val="006157E0"/>
    <w:rsid w:val="006364EE"/>
    <w:rsid w:val="00667A10"/>
    <w:rsid w:val="00683155"/>
    <w:rsid w:val="006F7A9E"/>
    <w:rsid w:val="00730A03"/>
    <w:rsid w:val="00743990"/>
    <w:rsid w:val="007679A8"/>
    <w:rsid w:val="007866C5"/>
    <w:rsid w:val="007C19B5"/>
    <w:rsid w:val="007E2E1F"/>
    <w:rsid w:val="007F7A93"/>
    <w:rsid w:val="00805AE2"/>
    <w:rsid w:val="00810A3F"/>
    <w:rsid w:val="00825E66"/>
    <w:rsid w:val="00842FA1"/>
    <w:rsid w:val="0086222C"/>
    <w:rsid w:val="0086359B"/>
    <w:rsid w:val="00894FC1"/>
    <w:rsid w:val="008B00B5"/>
    <w:rsid w:val="008B0604"/>
    <w:rsid w:val="008E5DEC"/>
    <w:rsid w:val="008F4694"/>
    <w:rsid w:val="009107CB"/>
    <w:rsid w:val="00924B9E"/>
    <w:rsid w:val="00927D99"/>
    <w:rsid w:val="00931D19"/>
    <w:rsid w:val="009348FE"/>
    <w:rsid w:val="009A3451"/>
    <w:rsid w:val="009B4374"/>
    <w:rsid w:val="00A64EE3"/>
    <w:rsid w:val="00A66E34"/>
    <w:rsid w:val="00A926A8"/>
    <w:rsid w:val="00AF3D2C"/>
    <w:rsid w:val="00B06396"/>
    <w:rsid w:val="00B61F5F"/>
    <w:rsid w:val="00B85E0C"/>
    <w:rsid w:val="00B933C9"/>
    <w:rsid w:val="00BB18B7"/>
    <w:rsid w:val="00BB1FB3"/>
    <w:rsid w:val="00BD7E6A"/>
    <w:rsid w:val="00C12250"/>
    <w:rsid w:val="00C90F0D"/>
    <w:rsid w:val="00D14180"/>
    <w:rsid w:val="00D53CF1"/>
    <w:rsid w:val="00D70BF9"/>
    <w:rsid w:val="00DA70BC"/>
    <w:rsid w:val="00DD4686"/>
    <w:rsid w:val="00DF243D"/>
    <w:rsid w:val="00E01AE7"/>
    <w:rsid w:val="00E041EC"/>
    <w:rsid w:val="00E139D1"/>
    <w:rsid w:val="00E156EC"/>
    <w:rsid w:val="00E4196F"/>
    <w:rsid w:val="00E524FA"/>
    <w:rsid w:val="00E5288F"/>
    <w:rsid w:val="00E54FA9"/>
    <w:rsid w:val="00E76EA9"/>
    <w:rsid w:val="00E872BB"/>
    <w:rsid w:val="00E917BC"/>
    <w:rsid w:val="00EF4F94"/>
    <w:rsid w:val="00EF5397"/>
    <w:rsid w:val="00F45C61"/>
    <w:rsid w:val="00F86297"/>
    <w:rsid w:val="00F90A94"/>
    <w:rsid w:val="00F91842"/>
    <w:rsid w:val="00F931B4"/>
    <w:rsid w:val="00FA10CB"/>
    <w:rsid w:val="00FC58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361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B85E0C"/>
    <w:pPr>
      <w:suppressAutoHyphens/>
      <w:spacing w:after="0" w:line="240" w:lineRule="auto"/>
    </w:pPr>
    <w:rPr>
      <w:rFonts w:ascii="Calibri" w:eastAsia="Calibri" w:hAnsi="Calibri" w:cs="Times New Roman"/>
      <w:lang w:val="en-GB"/>
    </w:rPr>
  </w:style>
  <w:style w:type="paragraph" w:styleId="Heading1">
    <w:name w:val="heading 1"/>
    <w:basedOn w:val="Normal"/>
    <w:link w:val="Heading1Char"/>
    <w:uiPriority w:val="9"/>
    <w:qFormat/>
    <w:rsid w:val="002079FA"/>
    <w:pPr>
      <w:suppressAutoHyphens w:val="0"/>
      <w:spacing w:before="100" w:beforeAutospacing="1" w:after="100" w:afterAutospacing="1"/>
      <w:outlineLvl w:val="0"/>
    </w:pPr>
    <w:rPr>
      <w:rFonts w:ascii="Times New Roman" w:eastAsia="Times New Roman" w:hAnsi="Times New Roman"/>
      <w:b/>
      <w:bCs/>
      <w:kern w:val="36"/>
      <w:sz w:val="48"/>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5E0C"/>
    <w:pPr>
      <w:ind w:left="720"/>
      <w:contextualSpacing/>
    </w:pPr>
  </w:style>
  <w:style w:type="table" w:styleId="TableGrid">
    <w:name w:val="Table Grid"/>
    <w:basedOn w:val="TableNormal"/>
    <w:uiPriority w:val="59"/>
    <w:rsid w:val="00B85E0C"/>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nhideWhenUsed/>
    <w:rsid w:val="00B85E0C"/>
    <w:rPr>
      <w:sz w:val="24"/>
      <w:szCs w:val="24"/>
    </w:rPr>
  </w:style>
  <w:style w:type="character" w:customStyle="1" w:styleId="FootnoteTextChar">
    <w:name w:val="Footnote Text Char"/>
    <w:basedOn w:val="DefaultParagraphFont"/>
    <w:link w:val="FootnoteText"/>
    <w:uiPriority w:val="99"/>
    <w:rsid w:val="00B85E0C"/>
    <w:rPr>
      <w:rFonts w:ascii="Calibri" w:eastAsia="Calibri" w:hAnsi="Calibri" w:cs="Times New Roman"/>
      <w:sz w:val="24"/>
      <w:szCs w:val="24"/>
      <w:lang w:val="en-GB"/>
    </w:rPr>
  </w:style>
  <w:style w:type="character" w:styleId="FootnoteReference">
    <w:name w:val="footnote reference"/>
    <w:basedOn w:val="DefaultParagraphFont"/>
    <w:uiPriority w:val="99"/>
    <w:unhideWhenUsed/>
    <w:rsid w:val="00B85E0C"/>
    <w:rPr>
      <w:vertAlign w:val="superscript"/>
    </w:rPr>
  </w:style>
  <w:style w:type="paragraph" w:styleId="Header">
    <w:name w:val="header"/>
    <w:basedOn w:val="Normal"/>
    <w:link w:val="HeaderChar"/>
    <w:unhideWhenUsed/>
    <w:rsid w:val="00B85E0C"/>
    <w:pPr>
      <w:tabs>
        <w:tab w:val="center" w:pos="4320"/>
        <w:tab w:val="right" w:pos="8640"/>
      </w:tabs>
      <w:suppressAutoHyphens w:val="0"/>
    </w:pPr>
    <w:rPr>
      <w:rFonts w:asciiTheme="minorHAnsi" w:eastAsiaTheme="minorEastAsia" w:hAnsiTheme="minorHAnsi" w:cstheme="minorBidi"/>
      <w:sz w:val="24"/>
      <w:szCs w:val="24"/>
      <w:lang w:val="en-US"/>
    </w:rPr>
  </w:style>
  <w:style w:type="character" w:customStyle="1" w:styleId="HeaderChar">
    <w:name w:val="Header Char"/>
    <w:basedOn w:val="DefaultParagraphFont"/>
    <w:link w:val="Header"/>
    <w:rsid w:val="00B85E0C"/>
    <w:rPr>
      <w:rFonts w:eastAsiaTheme="minorEastAsia"/>
      <w:sz w:val="24"/>
      <w:szCs w:val="24"/>
    </w:rPr>
  </w:style>
  <w:style w:type="character" w:styleId="Hyperlink">
    <w:name w:val="Hyperlink"/>
    <w:basedOn w:val="DefaultParagraphFont"/>
    <w:uiPriority w:val="99"/>
    <w:unhideWhenUsed/>
    <w:rsid w:val="000340D2"/>
    <w:rPr>
      <w:color w:val="0000FF" w:themeColor="hyperlink"/>
      <w:u w:val="single"/>
    </w:rPr>
  </w:style>
  <w:style w:type="paragraph" w:styleId="NormalWeb">
    <w:name w:val="Normal (Web)"/>
    <w:basedOn w:val="Normal"/>
    <w:uiPriority w:val="99"/>
    <w:semiHidden/>
    <w:unhideWhenUsed/>
    <w:rsid w:val="00842FA1"/>
    <w:pPr>
      <w:suppressAutoHyphens w:val="0"/>
      <w:spacing w:before="100" w:beforeAutospacing="1" w:after="100" w:afterAutospacing="1"/>
    </w:pPr>
    <w:rPr>
      <w:rFonts w:ascii="Times New Roman" w:eastAsia="Times New Roman" w:hAnsi="Times New Roman"/>
      <w:sz w:val="24"/>
      <w:szCs w:val="24"/>
      <w:lang w:val="en-US"/>
    </w:rPr>
  </w:style>
  <w:style w:type="character" w:styleId="CommentReference">
    <w:name w:val="annotation reference"/>
    <w:basedOn w:val="DefaultParagraphFont"/>
    <w:uiPriority w:val="99"/>
    <w:semiHidden/>
    <w:unhideWhenUsed/>
    <w:rsid w:val="00EF5397"/>
    <w:rPr>
      <w:sz w:val="16"/>
      <w:szCs w:val="16"/>
    </w:rPr>
  </w:style>
  <w:style w:type="paragraph" w:styleId="CommentText">
    <w:name w:val="annotation text"/>
    <w:basedOn w:val="Normal"/>
    <w:link w:val="CommentTextChar"/>
    <w:uiPriority w:val="99"/>
    <w:semiHidden/>
    <w:unhideWhenUsed/>
    <w:rsid w:val="00EF5397"/>
    <w:rPr>
      <w:sz w:val="20"/>
      <w:szCs w:val="20"/>
    </w:rPr>
  </w:style>
  <w:style w:type="character" w:customStyle="1" w:styleId="CommentTextChar">
    <w:name w:val="Comment Text Char"/>
    <w:basedOn w:val="DefaultParagraphFont"/>
    <w:link w:val="CommentText"/>
    <w:uiPriority w:val="99"/>
    <w:semiHidden/>
    <w:rsid w:val="00EF5397"/>
    <w:rPr>
      <w:rFonts w:ascii="Calibri" w:eastAsia="Calibri" w:hAnsi="Calibri"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EF5397"/>
    <w:rPr>
      <w:b/>
      <w:bCs/>
    </w:rPr>
  </w:style>
  <w:style w:type="character" w:customStyle="1" w:styleId="CommentSubjectChar">
    <w:name w:val="Comment Subject Char"/>
    <w:basedOn w:val="CommentTextChar"/>
    <w:link w:val="CommentSubject"/>
    <w:uiPriority w:val="99"/>
    <w:semiHidden/>
    <w:rsid w:val="00EF5397"/>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EF5397"/>
    <w:rPr>
      <w:rFonts w:ascii="Tahoma" w:hAnsi="Tahoma" w:cs="Tahoma"/>
      <w:sz w:val="16"/>
      <w:szCs w:val="16"/>
    </w:rPr>
  </w:style>
  <w:style w:type="character" w:customStyle="1" w:styleId="BalloonTextChar">
    <w:name w:val="Balloon Text Char"/>
    <w:basedOn w:val="DefaultParagraphFont"/>
    <w:link w:val="BalloonText"/>
    <w:uiPriority w:val="99"/>
    <w:semiHidden/>
    <w:rsid w:val="00EF5397"/>
    <w:rPr>
      <w:rFonts w:ascii="Tahoma" w:eastAsia="Calibri" w:hAnsi="Tahoma" w:cs="Tahoma"/>
      <w:sz w:val="16"/>
      <w:szCs w:val="16"/>
      <w:lang w:val="en-GB"/>
    </w:rPr>
  </w:style>
  <w:style w:type="character" w:customStyle="1" w:styleId="Heading1Char">
    <w:name w:val="Heading 1 Char"/>
    <w:basedOn w:val="DefaultParagraphFont"/>
    <w:link w:val="Heading1"/>
    <w:uiPriority w:val="9"/>
    <w:rsid w:val="002079FA"/>
    <w:rPr>
      <w:rFonts w:ascii="Times New Roman" w:eastAsia="Times New Roman" w:hAnsi="Times New Roman" w:cs="Times New Roman"/>
      <w:b/>
      <w:bCs/>
      <w:kern w:val="36"/>
      <w:sz w:val="48"/>
      <w:szCs w:val="48"/>
    </w:rPr>
  </w:style>
  <w:style w:type="character" w:styleId="FollowedHyperlink">
    <w:name w:val="FollowedHyperlink"/>
    <w:basedOn w:val="DefaultParagraphFont"/>
    <w:uiPriority w:val="99"/>
    <w:semiHidden/>
    <w:unhideWhenUsed/>
    <w:rsid w:val="00E54FA9"/>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B85E0C"/>
    <w:pPr>
      <w:suppressAutoHyphens/>
      <w:spacing w:after="0" w:line="240" w:lineRule="auto"/>
    </w:pPr>
    <w:rPr>
      <w:rFonts w:ascii="Calibri" w:eastAsia="Calibri" w:hAnsi="Calibri" w:cs="Times New Roman"/>
      <w:lang w:val="en-GB"/>
    </w:rPr>
  </w:style>
  <w:style w:type="paragraph" w:styleId="Heading1">
    <w:name w:val="heading 1"/>
    <w:basedOn w:val="Normal"/>
    <w:link w:val="Heading1Char"/>
    <w:uiPriority w:val="9"/>
    <w:qFormat/>
    <w:rsid w:val="002079FA"/>
    <w:pPr>
      <w:suppressAutoHyphens w:val="0"/>
      <w:spacing w:before="100" w:beforeAutospacing="1" w:after="100" w:afterAutospacing="1"/>
      <w:outlineLvl w:val="0"/>
    </w:pPr>
    <w:rPr>
      <w:rFonts w:ascii="Times New Roman" w:eastAsia="Times New Roman" w:hAnsi="Times New Roman"/>
      <w:b/>
      <w:bCs/>
      <w:kern w:val="36"/>
      <w:sz w:val="48"/>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5E0C"/>
    <w:pPr>
      <w:ind w:left="720"/>
      <w:contextualSpacing/>
    </w:pPr>
  </w:style>
  <w:style w:type="table" w:styleId="TableGrid">
    <w:name w:val="Table Grid"/>
    <w:basedOn w:val="TableNormal"/>
    <w:uiPriority w:val="59"/>
    <w:rsid w:val="00B85E0C"/>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nhideWhenUsed/>
    <w:rsid w:val="00B85E0C"/>
    <w:rPr>
      <w:sz w:val="24"/>
      <w:szCs w:val="24"/>
    </w:rPr>
  </w:style>
  <w:style w:type="character" w:customStyle="1" w:styleId="FootnoteTextChar">
    <w:name w:val="Footnote Text Char"/>
    <w:basedOn w:val="DefaultParagraphFont"/>
    <w:link w:val="FootnoteText"/>
    <w:uiPriority w:val="99"/>
    <w:rsid w:val="00B85E0C"/>
    <w:rPr>
      <w:rFonts w:ascii="Calibri" w:eastAsia="Calibri" w:hAnsi="Calibri" w:cs="Times New Roman"/>
      <w:sz w:val="24"/>
      <w:szCs w:val="24"/>
      <w:lang w:val="en-GB"/>
    </w:rPr>
  </w:style>
  <w:style w:type="character" w:styleId="FootnoteReference">
    <w:name w:val="footnote reference"/>
    <w:basedOn w:val="DefaultParagraphFont"/>
    <w:uiPriority w:val="99"/>
    <w:unhideWhenUsed/>
    <w:rsid w:val="00B85E0C"/>
    <w:rPr>
      <w:vertAlign w:val="superscript"/>
    </w:rPr>
  </w:style>
  <w:style w:type="paragraph" w:styleId="Header">
    <w:name w:val="header"/>
    <w:basedOn w:val="Normal"/>
    <w:link w:val="HeaderChar"/>
    <w:unhideWhenUsed/>
    <w:rsid w:val="00B85E0C"/>
    <w:pPr>
      <w:tabs>
        <w:tab w:val="center" w:pos="4320"/>
        <w:tab w:val="right" w:pos="8640"/>
      </w:tabs>
      <w:suppressAutoHyphens w:val="0"/>
    </w:pPr>
    <w:rPr>
      <w:rFonts w:asciiTheme="minorHAnsi" w:eastAsiaTheme="minorEastAsia" w:hAnsiTheme="minorHAnsi" w:cstheme="minorBidi"/>
      <w:sz w:val="24"/>
      <w:szCs w:val="24"/>
      <w:lang w:val="en-US"/>
    </w:rPr>
  </w:style>
  <w:style w:type="character" w:customStyle="1" w:styleId="HeaderChar">
    <w:name w:val="Header Char"/>
    <w:basedOn w:val="DefaultParagraphFont"/>
    <w:link w:val="Header"/>
    <w:rsid w:val="00B85E0C"/>
    <w:rPr>
      <w:rFonts w:eastAsiaTheme="minorEastAsia"/>
      <w:sz w:val="24"/>
      <w:szCs w:val="24"/>
    </w:rPr>
  </w:style>
  <w:style w:type="character" w:styleId="Hyperlink">
    <w:name w:val="Hyperlink"/>
    <w:basedOn w:val="DefaultParagraphFont"/>
    <w:uiPriority w:val="99"/>
    <w:unhideWhenUsed/>
    <w:rsid w:val="000340D2"/>
    <w:rPr>
      <w:color w:val="0000FF" w:themeColor="hyperlink"/>
      <w:u w:val="single"/>
    </w:rPr>
  </w:style>
  <w:style w:type="paragraph" w:styleId="NormalWeb">
    <w:name w:val="Normal (Web)"/>
    <w:basedOn w:val="Normal"/>
    <w:uiPriority w:val="99"/>
    <w:semiHidden/>
    <w:unhideWhenUsed/>
    <w:rsid w:val="00842FA1"/>
    <w:pPr>
      <w:suppressAutoHyphens w:val="0"/>
      <w:spacing w:before="100" w:beforeAutospacing="1" w:after="100" w:afterAutospacing="1"/>
    </w:pPr>
    <w:rPr>
      <w:rFonts w:ascii="Times New Roman" w:eastAsia="Times New Roman" w:hAnsi="Times New Roman"/>
      <w:sz w:val="24"/>
      <w:szCs w:val="24"/>
      <w:lang w:val="en-US"/>
    </w:rPr>
  </w:style>
  <w:style w:type="character" w:styleId="CommentReference">
    <w:name w:val="annotation reference"/>
    <w:basedOn w:val="DefaultParagraphFont"/>
    <w:uiPriority w:val="99"/>
    <w:semiHidden/>
    <w:unhideWhenUsed/>
    <w:rsid w:val="00EF5397"/>
    <w:rPr>
      <w:sz w:val="16"/>
      <w:szCs w:val="16"/>
    </w:rPr>
  </w:style>
  <w:style w:type="paragraph" w:styleId="CommentText">
    <w:name w:val="annotation text"/>
    <w:basedOn w:val="Normal"/>
    <w:link w:val="CommentTextChar"/>
    <w:uiPriority w:val="99"/>
    <w:semiHidden/>
    <w:unhideWhenUsed/>
    <w:rsid w:val="00EF5397"/>
    <w:rPr>
      <w:sz w:val="20"/>
      <w:szCs w:val="20"/>
    </w:rPr>
  </w:style>
  <w:style w:type="character" w:customStyle="1" w:styleId="CommentTextChar">
    <w:name w:val="Comment Text Char"/>
    <w:basedOn w:val="DefaultParagraphFont"/>
    <w:link w:val="CommentText"/>
    <w:uiPriority w:val="99"/>
    <w:semiHidden/>
    <w:rsid w:val="00EF5397"/>
    <w:rPr>
      <w:rFonts w:ascii="Calibri" w:eastAsia="Calibri" w:hAnsi="Calibri"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EF5397"/>
    <w:rPr>
      <w:b/>
      <w:bCs/>
    </w:rPr>
  </w:style>
  <w:style w:type="character" w:customStyle="1" w:styleId="CommentSubjectChar">
    <w:name w:val="Comment Subject Char"/>
    <w:basedOn w:val="CommentTextChar"/>
    <w:link w:val="CommentSubject"/>
    <w:uiPriority w:val="99"/>
    <w:semiHidden/>
    <w:rsid w:val="00EF5397"/>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EF5397"/>
    <w:rPr>
      <w:rFonts w:ascii="Tahoma" w:hAnsi="Tahoma" w:cs="Tahoma"/>
      <w:sz w:val="16"/>
      <w:szCs w:val="16"/>
    </w:rPr>
  </w:style>
  <w:style w:type="character" w:customStyle="1" w:styleId="BalloonTextChar">
    <w:name w:val="Balloon Text Char"/>
    <w:basedOn w:val="DefaultParagraphFont"/>
    <w:link w:val="BalloonText"/>
    <w:uiPriority w:val="99"/>
    <w:semiHidden/>
    <w:rsid w:val="00EF5397"/>
    <w:rPr>
      <w:rFonts w:ascii="Tahoma" w:eastAsia="Calibri" w:hAnsi="Tahoma" w:cs="Tahoma"/>
      <w:sz w:val="16"/>
      <w:szCs w:val="16"/>
      <w:lang w:val="en-GB"/>
    </w:rPr>
  </w:style>
  <w:style w:type="character" w:customStyle="1" w:styleId="Heading1Char">
    <w:name w:val="Heading 1 Char"/>
    <w:basedOn w:val="DefaultParagraphFont"/>
    <w:link w:val="Heading1"/>
    <w:uiPriority w:val="9"/>
    <w:rsid w:val="002079FA"/>
    <w:rPr>
      <w:rFonts w:ascii="Times New Roman" w:eastAsia="Times New Roman" w:hAnsi="Times New Roman" w:cs="Times New Roman"/>
      <w:b/>
      <w:bCs/>
      <w:kern w:val="36"/>
      <w:sz w:val="48"/>
      <w:szCs w:val="48"/>
    </w:rPr>
  </w:style>
  <w:style w:type="character" w:styleId="FollowedHyperlink">
    <w:name w:val="FollowedHyperlink"/>
    <w:basedOn w:val="DefaultParagraphFont"/>
    <w:uiPriority w:val="99"/>
    <w:semiHidden/>
    <w:unhideWhenUsed/>
    <w:rsid w:val="00E54FA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102612">
      <w:bodyDiv w:val="1"/>
      <w:marLeft w:val="0"/>
      <w:marRight w:val="0"/>
      <w:marTop w:val="0"/>
      <w:marBottom w:val="0"/>
      <w:divBdr>
        <w:top w:val="none" w:sz="0" w:space="0" w:color="auto"/>
        <w:left w:val="none" w:sz="0" w:space="0" w:color="auto"/>
        <w:bottom w:val="none" w:sz="0" w:space="0" w:color="auto"/>
        <w:right w:val="none" w:sz="0" w:space="0" w:color="auto"/>
      </w:divBdr>
    </w:div>
    <w:div w:id="197550167">
      <w:bodyDiv w:val="1"/>
      <w:marLeft w:val="0"/>
      <w:marRight w:val="0"/>
      <w:marTop w:val="0"/>
      <w:marBottom w:val="0"/>
      <w:divBdr>
        <w:top w:val="none" w:sz="0" w:space="0" w:color="auto"/>
        <w:left w:val="none" w:sz="0" w:space="0" w:color="auto"/>
        <w:bottom w:val="none" w:sz="0" w:space="0" w:color="auto"/>
        <w:right w:val="none" w:sz="0" w:space="0" w:color="auto"/>
      </w:divBdr>
    </w:div>
    <w:div w:id="374046055">
      <w:bodyDiv w:val="1"/>
      <w:marLeft w:val="0"/>
      <w:marRight w:val="0"/>
      <w:marTop w:val="0"/>
      <w:marBottom w:val="0"/>
      <w:divBdr>
        <w:top w:val="none" w:sz="0" w:space="0" w:color="auto"/>
        <w:left w:val="none" w:sz="0" w:space="0" w:color="auto"/>
        <w:bottom w:val="none" w:sz="0" w:space="0" w:color="auto"/>
        <w:right w:val="none" w:sz="0" w:space="0" w:color="auto"/>
      </w:divBdr>
    </w:div>
    <w:div w:id="1922180114">
      <w:bodyDiv w:val="1"/>
      <w:marLeft w:val="0"/>
      <w:marRight w:val="0"/>
      <w:marTop w:val="0"/>
      <w:marBottom w:val="0"/>
      <w:divBdr>
        <w:top w:val="none" w:sz="0" w:space="0" w:color="auto"/>
        <w:left w:val="none" w:sz="0" w:space="0" w:color="auto"/>
        <w:bottom w:val="none" w:sz="0" w:space="0" w:color="auto"/>
        <w:right w:val="none" w:sz="0" w:space="0" w:color="auto"/>
      </w:divBdr>
    </w:div>
    <w:div w:id="1973516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www.cvt.org" TargetMode="External"/><Relationship Id="rId14" Type="http://schemas.openxmlformats.org/officeDocument/2006/relationships/customXml" Target="../customXml/item4.xml"/></Relationships>
</file>

<file path=word/_rels/footnotes.xml.rels><?xml version="1.0" encoding="UTF-8" standalone="yes"?>
<Relationships xmlns="http://schemas.openxmlformats.org/package/2006/relationships"><Relationship Id="rId8" Type="http://schemas.openxmlformats.org/officeDocument/2006/relationships/hyperlink" Target="http://tbinternet.ohchr.org/_layouts/treatybodyexternal/Download.aspx?symbolno=CAT%2fC%2fUSA%2fCO%2f3-5&amp;Lang=en" TargetMode="External"/><Relationship Id="rId13" Type="http://schemas.openxmlformats.org/officeDocument/2006/relationships/hyperlink" Target="http://www.feinstein.senate.gov/public/index.cfm/press-releases?ID=0084e644-a5ed-46e1-8649-762df3ffcf4f" TargetMode="External"/><Relationship Id="rId18" Type="http://schemas.openxmlformats.org/officeDocument/2006/relationships/hyperlink" Target="http://www.prs.mil/ReviewInformation/FullReviewpage.aspx" TargetMode="External"/><Relationship Id="rId26" Type="http://schemas.openxmlformats.org/officeDocument/2006/relationships/hyperlink" Target="http://www.reuters.com/article/2015/02/27/usa-guantanamo-idUSL1N0W11PY20150227" TargetMode="External"/><Relationship Id="rId3" Type="http://schemas.openxmlformats.org/officeDocument/2006/relationships/hyperlink" Target="http://www.cbsnews.com/news/obama-we-tortured-some-folks-after-911/" TargetMode="External"/><Relationship Id="rId21" Type="http://schemas.openxmlformats.org/officeDocument/2006/relationships/hyperlink" Target="http://www.ushrnetwork.org/sites/ushrnetwork.org/files/18_page_255-261_guantanamo_ctr_for_victims_of_torture.pdf" TargetMode="External"/><Relationship Id="rId7" Type="http://schemas.openxmlformats.org/officeDocument/2006/relationships/hyperlink" Target="http://www.openthegovernment.org/node/4778" TargetMode="External"/><Relationship Id="rId12" Type="http://schemas.openxmlformats.org/officeDocument/2006/relationships/hyperlink" Target="https://www.emptywheel.net/2015/03/12/jim-comeys-learned-helplessness-about-the-torture-report/" TargetMode="External"/><Relationship Id="rId17" Type="http://schemas.openxmlformats.org/officeDocument/2006/relationships/hyperlink" Target="http://www.cnn.com/2015/01/20/politics/state-of-the-union-2015-transcript-full-text/" TargetMode="External"/><Relationship Id="rId25" Type="http://schemas.openxmlformats.org/officeDocument/2006/relationships/hyperlink" Target="http://justsecurity.org/18020/2015-national-defense-authorization-act-silver-lining-guantanamo-detainees/" TargetMode="External"/><Relationship Id="rId2" Type="http://schemas.openxmlformats.org/officeDocument/2006/relationships/hyperlink" Target="http://www.rollcall.com/news/senate_report_tests_us_state_secrets_defense-238606-1.html" TargetMode="External"/><Relationship Id="rId16" Type="http://schemas.openxmlformats.org/officeDocument/2006/relationships/hyperlink" Target="http://justsecurity.org/18020/2015-national-defense-authorization-act-silver-lining-guantanamo-detainees/" TargetMode="External"/><Relationship Id="rId20" Type="http://schemas.openxmlformats.org/officeDocument/2006/relationships/hyperlink" Target="http://www.nytimes.com/2014/12/23/us/politics/guantnamo-envoy-cliff-sloan-quits-amid-delays-in-prisoner-releases.html?_r=0" TargetMode="External"/><Relationship Id="rId1" Type="http://schemas.openxmlformats.org/officeDocument/2006/relationships/hyperlink" Target="http://www.reuters.com/article/2015/03/09/us-usa-court-guantanamo-idUSKBN0M51CI20150309" TargetMode="External"/><Relationship Id="rId6" Type="http://schemas.openxmlformats.org/officeDocument/2006/relationships/hyperlink" Target="http://www.usatoday.com/story/news/politics/2014/12/09/justice-cia-torture/20138065/" TargetMode="External"/><Relationship Id="rId11" Type="http://schemas.openxmlformats.org/officeDocument/2006/relationships/hyperlink" Target="http://www.npr.org/2015/02/25/388715070/torture-report-reshapes-conversation-in-guantanamo-courtroom" TargetMode="External"/><Relationship Id="rId24" Type="http://schemas.openxmlformats.org/officeDocument/2006/relationships/hyperlink" Target="http://justsecurity.org/18020/2015-national-defense-authorization-act-silver-lining-guantanamo-detainees/" TargetMode="External"/><Relationship Id="rId5" Type="http://schemas.openxmlformats.org/officeDocument/2006/relationships/hyperlink" Target="https://geneva.usmission.gov/2014/11/12/malinowski-torture-and-degrading-treatment-and-punishment-are-forbidden-in-all-places-at-all-times-with-no-exceptions/" TargetMode="External"/><Relationship Id="rId15" Type="http://schemas.openxmlformats.org/officeDocument/2006/relationships/hyperlink" Target="http://justsecurity.org/18020/2015-national-defense-authorization-act-silver-lining-guantanamo-detainees/" TargetMode="External"/><Relationship Id="rId23" Type="http://schemas.openxmlformats.org/officeDocument/2006/relationships/hyperlink" Target="http://www.latimes.com/world/afghanistan-pakistan/la-fg-us-detention-center-afghanistan-20141210-story.html" TargetMode="External"/><Relationship Id="rId10" Type="http://schemas.openxmlformats.org/officeDocument/2006/relationships/hyperlink" Target="http://www.huffingtonpost.com/2015/01/23/cia-torture-richard-burr_n_6535064.html" TargetMode="External"/><Relationship Id="rId19" Type="http://schemas.openxmlformats.org/officeDocument/2006/relationships/hyperlink" Target="http://www.ayotte.senate.gov/?p=press_release&amp;id=1711" TargetMode="External"/><Relationship Id="rId4" Type="http://schemas.openxmlformats.org/officeDocument/2006/relationships/hyperlink" Target="http://www.reuters.com/article/2014/12/11/us-usa-cia-torture-brennan-idUSKBN0JP29F20141211" TargetMode="External"/><Relationship Id="rId9" Type="http://schemas.openxmlformats.org/officeDocument/2006/relationships/hyperlink" Target="http://www.openthegovernment.org/node/4778" TargetMode="External"/><Relationship Id="rId14" Type="http://schemas.openxmlformats.org/officeDocument/2006/relationships/hyperlink" Target="http://projects.nytimes.com/guantanamo/timeline" TargetMode="External"/><Relationship Id="rId22" Type="http://schemas.openxmlformats.org/officeDocument/2006/relationships/hyperlink" Target="http://www.justice.gov/opa/pr/irek-ilgiz-hamidullin-indicted-2009-attack-us-and-afghan-forces-khost-afghanist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095AF07E9D52746B60E2F270CE938D2" ma:contentTypeVersion="0" ma:contentTypeDescription="Create a new document." ma:contentTypeScope="" ma:versionID="071de37fd9dcf30865a9de005d783a38">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79F51CA-75BF-495B-9E19-6364AFF168ED}"/>
</file>

<file path=customXml/itemProps2.xml><?xml version="1.0" encoding="utf-8"?>
<ds:datastoreItem xmlns:ds="http://schemas.openxmlformats.org/officeDocument/2006/customXml" ds:itemID="{4EE260EF-55E6-4479-9AB8-A75CCD006A78}"/>
</file>

<file path=customXml/itemProps3.xml><?xml version="1.0" encoding="utf-8"?>
<ds:datastoreItem xmlns:ds="http://schemas.openxmlformats.org/officeDocument/2006/customXml" ds:itemID="{E9777680-7ED2-485C-84E1-E7D9DF162A3F}"/>
</file>

<file path=customXml/itemProps4.xml><?xml version="1.0" encoding="utf-8"?>
<ds:datastoreItem xmlns:ds="http://schemas.openxmlformats.org/officeDocument/2006/customXml" ds:itemID="{87E33877-8B10-443F-B114-87DC4169C4B9}"/>
</file>

<file path=docProps/app.xml><?xml version="1.0" encoding="utf-8"?>
<Properties xmlns="http://schemas.openxmlformats.org/officeDocument/2006/extended-properties" xmlns:vt="http://schemas.openxmlformats.org/officeDocument/2006/docPropsVTypes">
  <Template>Normal</Template>
  <TotalTime>1</TotalTime>
  <Pages>11</Pages>
  <Words>3350</Words>
  <Characters>19096</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The Center for Victims of Torture</Company>
  <LinksUpToDate>false</LinksUpToDate>
  <CharactersWithSpaces>22402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Marie Soueid</dc:creator>
  <cp:lastModifiedBy>Fernanda Santana</cp:lastModifiedBy>
  <cp:revision>2</cp:revision>
  <dcterms:created xsi:type="dcterms:W3CDTF">2015-05-04T09:31:00Z</dcterms:created>
  <dcterms:modified xsi:type="dcterms:W3CDTF">2015-05-04T09:31:00Z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0x0101001095AF07E9D52746B60E2F270CE938D2</vt:lpwstr>
  </property>
</Properties>
</file>