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page" w:tblpX="1207" w:tblpY="721"/>
        <w:tblW w:w="1035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ook w:val="04A0"/>
      </w:tblPr>
      <w:tblGrid>
        <w:gridCol w:w="5908"/>
        <w:gridCol w:w="337"/>
        <w:gridCol w:w="4105"/>
      </w:tblGrid>
      <w:tr w:rsidR="0090348F" w:rsidRPr="00655E23" w:rsidTr="00B528F9">
        <w:trPr>
          <w:trHeight w:val="1700"/>
        </w:trPr>
        <w:tc>
          <w:tcPr>
            <w:tcW w:w="5908" w:type="dxa"/>
            <w:tcBorders>
              <w:top w:val="single" w:sz="4" w:space="0" w:color="00000A"/>
              <w:left w:val="single" w:sz="4" w:space="0" w:color="00000A"/>
              <w:bottom w:val="single" w:sz="4" w:space="0" w:color="00000A"/>
              <w:right w:val="single" w:sz="4" w:space="0" w:color="00000A"/>
            </w:tcBorders>
            <w:shd w:val="clear" w:color="auto" w:fill="00538F"/>
            <w:tcMar>
              <w:left w:w="108" w:type="dxa"/>
            </w:tcMar>
          </w:tcPr>
          <w:p w:rsidR="0090348F" w:rsidRPr="00655E23" w:rsidRDefault="0090348F" w:rsidP="00B528F9">
            <w:pPr>
              <w:pBdr>
                <w:top w:val="nil"/>
                <w:left w:val="nil"/>
                <w:bottom w:val="nil"/>
                <w:right w:val="nil"/>
              </w:pBdr>
              <w:spacing w:before="240" w:after="240"/>
              <w:jc w:val="both"/>
              <w:rPr>
                <w:rFonts w:asciiTheme="majorHAnsi" w:hAnsiTheme="majorHAnsi"/>
                <w:b/>
                <w:color w:val="FFFFFF"/>
                <w:sz w:val="24"/>
                <w:szCs w:val="24"/>
              </w:rPr>
            </w:pPr>
            <w:r w:rsidRPr="00655E23">
              <w:rPr>
                <w:rFonts w:asciiTheme="majorHAnsi" w:hAnsiTheme="majorHAnsi"/>
                <w:b/>
                <w:color w:val="FFFFFF"/>
                <w:sz w:val="24"/>
                <w:szCs w:val="24"/>
              </w:rPr>
              <w:t>United States of America</w:t>
            </w:r>
          </w:p>
          <w:p w:rsidR="0090348F" w:rsidRPr="00655E23" w:rsidRDefault="000C5FE7" w:rsidP="00B528F9">
            <w:pPr>
              <w:pBdr>
                <w:top w:val="nil"/>
                <w:left w:val="nil"/>
                <w:bottom w:val="nil"/>
                <w:right w:val="nil"/>
              </w:pBdr>
              <w:spacing w:before="240" w:after="240"/>
              <w:jc w:val="both"/>
              <w:rPr>
                <w:rFonts w:asciiTheme="majorHAnsi" w:hAnsiTheme="majorHAnsi"/>
                <w:b/>
                <w:color w:val="FFFFFF"/>
                <w:sz w:val="24"/>
                <w:szCs w:val="24"/>
              </w:rPr>
            </w:pPr>
            <w:r w:rsidRPr="000C5FE7">
              <w:rPr>
                <w:rFonts w:asciiTheme="majorHAnsi" w:hAnsiTheme="majorHAnsi"/>
                <w:b/>
                <w:noProof/>
                <w:sz w:val="24"/>
                <w:szCs w:val="24"/>
                <w:lang w:eastAsia="zh-TW"/>
              </w:rPr>
              <w:pict>
                <v:shapetype id="_x0000_t202" coordsize="21600,21600" o:spt="202" path="m,l,21600r21600,l21600,xe">
                  <v:stroke joinstyle="miter"/>
                  <v:path gradientshapeok="t" o:connecttype="rect"/>
                </v:shapetype>
                <v:shape id="_x0000_s1030" type="#_x0000_t202" style="position:absolute;left:0;text-align:left;margin-left:26.7pt;margin-top:38.25pt;width:169.4pt;height:100.2pt;z-index:251664384;mso-width-relative:margin;mso-height-relative:margin" filled="f" stroked="f">
                  <v:textbox>
                    <w:txbxContent>
                      <w:p w:rsidR="0099452E" w:rsidRDefault="0099452E">
                        <w:r>
                          <w:rPr>
                            <w:rFonts w:asciiTheme="majorHAnsi" w:hAnsiTheme="majorHAnsi"/>
                            <w:b/>
                            <w:noProof/>
                            <w:sz w:val="24"/>
                            <w:szCs w:val="24"/>
                            <w:lang w:val="en-US"/>
                          </w:rPr>
                          <w:drawing>
                            <wp:inline distT="0" distB="0" distL="0" distR="0">
                              <wp:extent cx="1333500" cy="1333500"/>
                              <wp:effectExtent l="0" t="0" r="0" b="0"/>
                              <wp:docPr id="10" name="Picture 8" descr="Logo_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D.png"/>
                                      <pic:cNvPicPr/>
                                    </pic:nvPicPr>
                                    <pic:blipFill>
                                      <a:blip r:embed="rId8"/>
                                      <a:stretch>
                                        <a:fillRect/>
                                      </a:stretch>
                                    </pic:blipFill>
                                    <pic:spPr>
                                      <a:xfrm>
                                        <a:off x="0" y="0"/>
                                        <a:ext cx="1333503" cy="1333503"/>
                                      </a:xfrm>
                                      <a:prstGeom prst="rect">
                                        <a:avLst/>
                                      </a:prstGeom>
                                    </pic:spPr>
                                  </pic:pic>
                                </a:graphicData>
                              </a:graphic>
                            </wp:inline>
                          </w:drawing>
                        </w:r>
                      </w:p>
                    </w:txbxContent>
                  </v:textbox>
                </v:shape>
              </w:pict>
            </w:r>
            <w:r w:rsidR="0090348F" w:rsidRPr="00655E23">
              <w:rPr>
                <w:rFonts w:asciiTheme="majorHAnsi" w:hAnsiTheme="majorHAnsi"/>
                <w:b/>
                <w:color w:val="FFFFFF"/>
                <w:sz w:val="24"/>
                <w:szCs w:val="24"/>
              </w:rPr>
              <w:t xml:space="preserve">NGO assessment of actions government has taken on </w:t>
            </w:r>
            <w:r w:rsidR="00655E23" w:rsidRPr="00655E23">
              <w:rPr>
                <w:rFonts w:asciiTheme="majorHAnsi" w:hAnsiTheme="majorHAnsi"/>
                <w:b/>
                <w:color w:val="FFFFFF"/>
                <w:sz w:val="24"/>
                <w:szCs w:val="24"/>
              </w:rPr>
              <w:t>gun violence/Stand Your Ground laws</w:t>
            </w:r>
            <w:r w:rsidR="0090348F" w:rsidRPr="00655E23">
              <w:rPr>
                <w:rFonts w:asciiTheme="majorHAnsi" w:hAnsiTheme="majorHAnsi"/>
                <w:b/>
                <w:color w:val="FFFFFF"/>
                <w:sz w:val="24"/>
                <w:szCs w:val="24"/>
              </w:rPr>
              <w:t xml:space="preserve"> since review</w:t>
            </w:r>
          </w:p>
        </w:tc>
        <w:tc>
          <w:tcPr>
            <w:tcW w:w="337" w:type="dxa"/>
            <w:tcBorders>
              <w:top w:val="single" w:sz="4" w:space="0" w:color="00000A"/>
              <w:left w:val="single" w:sz="4" w:space="0" w:color="00000A"/>
              <w:bottom w:val="single" w:sz="4" w:space="0" w:color="00000A"/>
              <w:right w:val="single" w:sz="4" w:space="0" w:color="00000A"/>
            </w:tcBorders>
            <w:shd w:val="clear" w:color="auto" w:fill="auto"/>
            <w:tcMar>
              <w:left w:w="108" w:type="dxa"/>
            </w:tcMar>
          </w:tcPr>
          <w:p w:rsidR="0090348F" w:rsidRPr="00655E23" w:rsidRDefault="0090348F" w:rsidP="00B528F9">
            <w:pPr>
              <w:pBdr>
                <w:top w:val="nil"/>
                <w:left w:val="nil"/>
                <w:bottom w:val="nil"/>
                <w:right w:val="nil"/>
              </w:pBdr>
              <w:jc w:val="both"/>
              <w:rPr>
                <w:rFonts w:asciiTheme="majorHAnsi" w:hAnsiTheme="majorHAnsi"/>
                <w:sz w:val="24"/>
                <w:szCs w:val="24"/>
              </w:rPr>
            </w:pPr>
            <w:bookmarkStart w:id="0" w:name="__UnoMark__140_1993286424"/>
            <w:bookmarkStart w:id="1" w:name="__UnoMark__139_1993286424"/>
            <w:bookmarkEnd w:id="0"/>
            <w:bookmarkEnd w:id="1"/>
          </w:p>
        </w:tc>
        <w:tc>
          <w:tcPr>
            <w:tcW w:w="4105" w:type="dxa"/>
            <w:tcBorders>
              <w:top w:val="single" w:sz="4" w:space="0" w:color="00000A"/>
              <w:left w:val="single" w:sz="4" w:space="0" w:color="00000A"/>
              <w:bottom w:val="single" w:sz="4" w:space="0" w:color="00000A"/>
              <w:right w:val="single" w:sz="4" w:space="0" w:color="00000A"/>
            </w:tcBorders>
            <w:shd w:val="clear" w:color="auto" w:fill="7F7F7F"/>
            <w:tcMar>
              <w:left w:w="108" w:type="dxa"/>
            </w:tcMar>
            <w:vAlign w:val="center"/>
          </w:tcPr>
          <w:p w:rsidR="0090348F" w:rsidRPr="00655E23" w:rsidRDefault="0090348F" w:rsidP="00B528F9">
            <w:pPr>
              <w:pBdr>
                <w:top w:val="nil"/>
                <w:left w:val="nil"/>
                <w:bottom w:val="nil"/>
                <w:right w:val="nil"/>
              </w:pBdr>
              <w:jc w:val="both"/>
              <w:rPr>
                <w:rFonts w:asciiTheme="majorHAnsi" w:hAnsiTheme="majorHAnsi"/>
                <w:color w:val="FFFFFF"/>
                <w:sz w:val="24"/>
                <w:szCs w:val="24"/>
              </w:rPr>
            </w:pPr>
            <w:bookmarkStart w:id="2" w:name="__UnoMark__141_1993286424"/>
            <w:bookmarkEnd w:id="2"/>
            <w:r w:rsidRPr="00655E23">
              <w:rPr>
                <w:rFonts w:asciiTheme="majorHAnsi" w:hAnsiTheme="majorHAnsi"/>
                <w:color w:val="FFFFFF"/>
                <w:sz w:val="24"/>
                <w:szCs w:val="24"/>
              </w:rPr>
              <w:t>CCPR/C/USA/CO/4</w:t>
            </w:r>
          </w:p>
          <w:p w:rsidR="0090348F" w:rsidRPr="00655E23" w:rsidRDefault="0090348F" w:rsidP="00B528F9">
            <w:pPr>
              <w:pBdr>
                <w:top w:val="nil"/>
                <w:left w:val="nil"/>
                <w:bottom w:val="nil"/>
                <w:right w:val="nil"/>
              </w:pBdr>
              <w:jc w:val="both"/>
              <w:rPr>
                <w:rFonts w:asciiTheme="majorHAnsi" w:hAnsiTheme="majorHAnsi"/>
                <w:color w:val="FFFFFF"/>
                <w:sz w:val="24"/>
                <w:szCs w:val="24"/>
              </w:rPr>
            </w:pPr>
          </w:p>
          <w:p w:rsidR="0090348F" w:rsidRPr="00655E23" w:rsidRDefault="0090348F" w:rsidP="00B528F9">
            <w:pPr>
              <w:pBdr>
                <w:top w:val="nil"/>
                <w:left w:val="nil"/>
                <w:bottom w:val="nil"/>
                <w:right w:val="nil"/>
              </w:pBdr>
              <w:jc w:val="both"/>
              <w:rPr>
                <w:rFonts w:asciiTheme="majorHAnsi" w:hAnsiTheme="majorHAnsi"/>
                <w:color w:val="FFFFFF"/>
                <w:sz w:val="24"/>
                <w:szCs w:val="24"/>
              </w:rPr>
            </w:pPr>
            <w:r w:rsidRPr="00655E23">
              <w:rPr>
                <w:rFonts w:asciiTheme="majorHAnsi" w:hAnsiTheme="majorHAnsi"/>
                <w:color w:val="FFFFFF"/>
                <w:sz w:val="24"/>
                <w:szCs w:val="24"/>
              </w:rPr>
              <w:t>Current Status</w:t>
            </w:r>
            <w:r w:rsidRPr="00B528F9">
              <w:rPr>
                <w:rFonts w:asciiTheme="majorHAnsi" w:hAnsiTheme="majorHAnsi"/>
                <w:color w:val="FFFFFF"/>
                <w:sz w:val="24"/>
                <w:szCs w:val="24"/>
              </w:rPr>
              <w:t>: Report of the State Submitted</w:t>
            </w:r>
            <w:r w:rsidR="001038C1" w:rsidRPr="00B528F9">
              <w:rPr>
                <w:rFonts w:asciiTheme="majorHAnsi" w:hAnsiTheme="majorHAnsi"/>
                <w:color w:val="FFFFFF"/>
                <w:sz w:val="24"/>
                <w:szCs w:val="24"/>
              </w:rPr>
              <w:t xml:space="preserve"> Apr. 1, 2015</w:t>
            </w:r>
          </w:p>
        </w:tc>
      </w:tr>
    </w:tbl>
    <w:p w:rsidR="0090348F" w:rsidRPr="00655E23" w:rsidRDefault="000C5FE7" w:rsidP="00655E23">
      <w:pPr>
        <w:jc w:val="both"/>
        <w:rPr>
          <w:rFonts w:asciiTheme="majorHAnsi" w:hAnsiTheme="majorHAnsi"/>
          <w:sz w:val="24"/>
          <w:szCs w:val="24"/>
        </w:rPr>
      </w:pPr>
      <w:r w:rsidRPr="000C5FE7">
        <w:rPr>
          <w:rFonts w:asciiTheme="majorHAnsi" w:hAnsiTheme="majorHAnsi"/>
          <w:b/>
          <w:noProof/>
          <w:sz w:val="24"/>
          <w:szCs w:val="24"/>
          <w:lang w:eastAsia="zh-TW"/>
        </w:rPr>
        <w:pict>
          <v:shape id="_x0000_s1027" type="#_x0000_t202" style="position:absolute;left:0;text-align:left;margin-left:147.8pt;margin-top:64.45pt;width:171.95pt;height:76.25pt;z-index:251660288;mso-height-percent:200;mso-position-horizontal-relative:text;mso-position-vertical-relative:text;mso-height-percent:200;mso-width-relative:margin;mso-height-relative:margin" filled="f" stroked="f">
            <v:textbox style="mso-fit-shape-to-text:t">
              <w:txbxContent>
                <w:p w:rsidR="0099452E" w:rsidRDefault="0099452E">
                  <w:r>
                    <w:rPr>
                      <w:noProof/>
                      <w:lang w:val="en-US"/>
                    </w:rPr>
                    <w:drawing>
                      <wp:inline distT="0" distB="0" distL="0" distR="0">
                        <wp:extent cx="1794510" cy="877140"/>
                        <wp:effectExtent l="19050" t="0" r="0" b="0"/>
                        <wp:docPr id="8" name="Picture 7" descr="Logo Stacked Left Gr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acked Left Grey.png"/>
                                <pic:cNvPicPr/>
                              </pic:nvPicPr>
                              <pic:blipFill>
                                <a:blip r:embed="rId9"/>
                                <a:stretch>
                                  <a:fillRect/>
                                </a:stretch>
                              </pic:blipFill>
                              <pic:spPr>
                                <a:xfrm>
                                  <a:off x="0" y="0"/>
                                  <a:ext cx="1794510" cy="877140"/>
                                </a:xfrm>
                                <a:prstGeom prst="rect">
                                  <a:avLst/>
                                </a:prstGeom>
                              </pic:spPr>
                            </pic:pic>
                          </a:graphicData>
                        </a:graphic>
                      </wp:inline>
                    </w:drawing>
                  </w:r>
                </w:p>
              </w:txbxContent>
            </v:textbox>
          </v:shape>
        </w:pict>
      </w:r>
      <w:r w:rsidRPr="000C5FE7">
        <w:rPr>
          <w:rFonts w:asciiTheme="majorHAnsi" w:hAnsiTheme="majorHAnsi"/>
          <w:b/>
          <w:noProof/>
          <w:sz w:val="24"/>
          <w:szCs w:val="24"/>
          <w:lang w:eastAsia="zh-TW"/>
        </w:rPr>
        <w:pict>
          <v:shape id="_x0000_s1028" type="#_x0000_t202" style="position:absolute;left:0;text-align:left;margin-left:338.6pt;margin-top:57.6pt;width:92.65pt;height:78.9pt;z-index:251662336;mso-height-percent:200;mso-position-horizontal-relative:text;mso-position-vertical-relative:text;mso-height-percent:200;mso-width-relative:margin;mso-height-relative:margin" stroked="f">
            <v:textbox style="mso-fit-shape-to-text:t">
              <w:txbxContent>
                <w:p w:rsidR="0099452E" w:rsidRDefault="0099452E">
                  <w:r>
                    <w:rPr>
                      <w:rFonts w:asciiTheme="majorHAnsi" w:hAnsiTheme="majorHAnsi"/>
                      <w:b/>
                      <w:noProof/>
                      <w:sz w:val="24"/>
                      <w:szCs w:val="24"/>
                      <w:lang w:val="en-US"/>
                    </w:rPr>
                    <w:drawing>
                      <wp:inline distT="0" distB="0" distL="0" distR="0">
                        <wp:extent cx="910590" cy="910590"/>
                        <wp:effectExtent l="19050" t="0" r="3810" b="0"/>
                        <wp:docPr id="7" name="Picture 4" descr="539721_10150704184423357_6177323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9721_10150704184423357_617732373_n.jpg"/>
                                <pic:cNvPicPr/>
                              </pic:nvPicPr>
                              <pic:blipFill>
                                <a:blip r:embed="rId10"/>
                                <a:stretch>
                                  <a:fillRect/>
                                </a:stretch>
                              </pic:blipFill>
                              <pic:spPr>
                                <a:xfrm>
                                  <a:off x="0" y="0"/>
                                  <a:ext cx="919262" cy="919262"/>
                                </a:xfrm>
                                <a:prstGeom prst="rect">
                                  <a:avLst/>
                                </a:prstGeom>
                              </pic:spPr>
                            </pic:pic>
                          </a:graphicData>
                        </a:graphic>
                      </wp:inline>
                    </w:drawing>
                  </w:r>
                </w:p>
              </w:txbxContent>
            </v:textbox>
          </v:shape>
        </w:pict>
      </w: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99452E" w:rsidRDefault="0099452E" w:rsidP="00655E23">
      <w:pPr>
        <w:jc w:val="both"/>
        <w:rPr>
          <w:rFonts w:asciiTheme="majorHAnsi" w:hAnsiTheme="majorHAnsi"/>
          <w:b/>
          <w:sz w:val="24"/>
          <w:szCs w:val="24"/>
        </w:rPr>
      </w:pPr>
    </w:p>
    <w:p w:rsidR="00A7071C" w:rsidRPr="00655E23" w:rsidRDefault="00A7071C" w:rsidP="00655E23">
      <w:pPr>
        <w:jc w:val="both"/>
        <w:rPr>
          <w:rFonts w:asciiTheme="majorHAnsi" w:hAnsiTheme="majorHAnsi"/>
          <w:b/>
          <w:sz w:val="24"/>
          <w:szCs w:val="24"/>
        </w:rPr>
      </w:pPr>
      <w:r w:rsidRPr="00655E23">
        <w:rPr>
          <w:rFonts w:asciiTheme="majorHAnsi" w:hAnsiTheme="majorHAnsi"/>
          <w:b/>
          <w:sz w:val="24"/>
          <w:szCs w:val="24"/>
        </w:rPr>
        <w:t>Submitting</w:t>
      </w:r>
      <w:r w:rsidR="0090348F" w:rsidRPr="00655E23">
        <w:rPr>
          <w:rFonts w:asciiTheme="majorHAnsi" w:hAnsiTheme="majorHAnsi"/>
          <w:b/>
          <w:sz w:val="24"/>
          <w:szCs w:val="24"/>
        </w:rPr>
        <w:t xml:space="preserve"> NGOs</w:t>
      </w:r>
      <w:r w:rsidR="001038C1" w:rsidRPr="00655E23">
        <w:rPr>
          <w:rFonts w:asciiTheme="majorHAnsi" w:hAnsiTheme="majorHAnsi"/>
          <w:b/>
          <w:sz w:val="24"/>
          <w:szCs w:val="24"/>
        </w:rPr>
        <w:t>:</w:t>
      </w:r>
    </w:p>
    <w:p w:rsidR="00A7071C" w:rsidRPr="00655E23" w:rsidRDefault="0090348F" w:rsidP="00655E23">
      <w:pPr>
        <w:jc w:val="both"/>
        <w:rPr>
          <w:rFonts w:asciiTheme="majorHAnsi" w:hAnsiTheme="majorHAnsi"/>
          <w:b/>
          <w:sz w:val="24"/>
          <w:szCs w:val="24"/>
        </w:rPr>
      </w:pPr>
      <w:r w:rsidRPr="00655E23">
        <w:rPr>
          <w:rFonts w:asciiTheme="majorHAnsi" w:hAnsiTheme="majorHAnsi"/>
          <w:b/>
          <w:sz w:val="24"/>
          <w:szCs w:val="24"/>
        </w:rPr>
        <w:t>Dream Defenders – Miami, Florida</w:t>
      </w:r>
      <w:r w:rsidR="0098020B" w:rsidRPr="00655E23">
        <w:rPr>
          <w:rFonts w:asciiTheme="majorHAnsi" w:hAnsiTheme="majorHAnsi"/>
          <w:b/>
          <w:sz w:val="24"/>
          <w:szCs w:val="24"/>
        </w:rPr>
        <w:t xml:space="preserve">. </w:t>
      </w:r>
      <w:proofErr w:type="gramStart"/>
      <w:r w:rsidR="00A7071C" w:rsidRPr="00655E23">
        <w:rPr>
          <w:rFonts w:asciiTheme="majorHAnsi" w:hAnsiTheme="majorHAnsi"/>
          <w:sz w:val="24"/>
          <w:szCs w:val="24"/>
        </w:rPr>
        <w:t xml:space="preserve">Youth of </w:t>
      </w:r>
      <w:proofErr w:type="spellStart"/>
      <w:r w:rsidR="00A7071C" w:rsidRPr="00655E23">
        <w:rPr>
          <w:rFonts w:asciiTheme="majorHAnsi" w:hAnsiTheme="majorHAnsi"/>
          <w:sz w:val="24"/>
          <w:szCs w:val="24"/>
        </w:rPr>
        <w:t>color</w:t>
      </w:r>
      <w:proofErr w:type="spellEnd"/>
      <w:r w:rsidR="00A7071C" w:rsidRPr="00655E23">
        <w:rPr>
          <w:rFonts w:asciiTheme="majorHAnsi" w:hAnsiTheme="majorHAnsi"/>
          <w:sz w:val="24"/>
          <w:szCs w:val="24"/>
        </w:rPr>
        <w:t>-led</w:t>
      </w:r>
      <w:r w:rsidR="00A7071C" w:rsidRPr="00655E23">
        <w:rPr>
          <w:rFonts w:asciiTheme="majorHAnsi" w:hAnsiTheme="majorHAnsi"/>
          <w:b/>
          <w:sz w:val="24"/>
          <w:szCs w:val="24"/>
        </w:rPr>
        <w:t xml:space="preserve"> </w:t>
      </w:r>
      <w:r w:rsidR="00A7071C" w:rsidRPr="00655E23">
        <w:rPr>
          <w:rFonts w:asciiTheme="majorHAnsi" w:hAnsiTheme="majorHAnsi"/>
          <w:sz w:val="24"/>
          <w:szCs w:val="24"/>
        </w:rPr>
        <w:t>uprising of communities in struggle, shifting culture through transformational organizing.</w:t>
      </w:r>
      <w:proofErr w:type="gramEnd"/>
      <w:r w:rsidR="00A7071C" w:rsidRPr="00655E23">
        <w:rPr>
          <w:rFonts w:asciiTheme="majorHAnsi" w:hAnsiTheme="majorHAnsi"/>
          <w:sz w:val="24"/>
          <w:szCs w:val="24"/>
        </w:rPr>
        <w:t xml:space="preserve"> Contact:  Ahmad </w:t>
      </w:r>
      <w:proofErr w:type="spellStart"/>
      <w:r w:rsidR="00A7071C" w:rsidRPr="00655E23">
        <w:rPr>
          <w:rFonts w:asciiTheme="majorHAnsi" w:hAnsiTheme="majorHAnsi"/>
          <w:sz w:val="24"/>
          <w:szCs w:val="24"/>
        </w:rPr>
        <w:t>Abuznaid</w:t>
      </w:r>
      <w:proofErr w:type="spellEnd"/>
      <w:r w:rsidR="00A7071C" w:rsidRPr="00655E23">
        <w:rPr>
          <w:rFonts w:asciiTheme="majorHAnsi" w:hAnsiTheme="majorHAnsi"/>
          <w:sz w:val="24"/>
          <w:szCs w:val="24"/>
        </w:rPr>
        <w:t xml:space="preserve">, </w:t>
      </w:r>
      <w:hyperlink r:id="rId11" w:history="1">
        <w:r w:rsidR="00A7071C" w:rsidRPr="00655E23">
          <w:rPr>
            <w:rStyle w:val="Hyperlink"/>
            <w:rFonts w:asciiTheme="majorHAnsi" w:hAnsiTheme="majorHAnsi"/>
            <w:sz w:val="24"/>
            <w:szCs w:val="24"/>
          </w:rPr>
          <w:t>aabuznaid@dreamdefenders.org</w:t>
        </w:r>
      </w:hyperlink>
      <w:r w:rsidR="00A7071C" w:rsidRPr="00655E23">
        <w:rPr>
          <w:rFonts w:asciiTheme="majorHAnsi" w:hAnsiTheme="majorHAnsi"/>
          <w:sz w:val="24"/>
          <w:szCs w:val="24"/>
        </w:rPr>
        <w:t>.  (</w:t>
      </w:r>
      <w:hyperlink r:id="rId12" w:history="1">
        <w:r w:rsidR="00655E23" w:rsidRPr="00300D8F">
          <w:rPr>
            <w:rStyle w:val="Hyperlink"/>
            <w:rFonts w:asciiTheme="majorHAnsi" w:hAnsiTheme="majorHAnsi"/>
            <w:sz w:val="24"/>
            <w:szCs w:val="24"/>
          </w:rPr>
          <w:t>www.dreamdefenders.org</w:t>
        </w:r>
      </w:hyperlink>
      <w:r w:rsidR="00A7071C" w:rsidRPr="00655E23">
        <w:rPr>
          <w:rFonts w:asciiTheme="majorHAnsi" w:hAnsiTheme="majorHAnsi"/>
          <w:sz w:val="24"/>
          <w:szCs w:val="24"/>
        </w:rPr>
        <w:t>)</w:t>
      </w:r>
      <w:r w:rsidR="00387335">
        <w:rPr>
          <w:rStyle w:val="EndnoteReference"/>
          <w:rFonts w:asciiTheme="majorHAnsi" w:hAnsiTheme="majorHAnsi"/>
          <w:sz w:val="24"/>
          <w:szCs w:val="24"/>
        </w:rPr>
        <w:endnoteReference w:id="1"/>
      </w:r>
    </w:p>
    <w:p w:rsidR="0090348F" w:rsidRPr="00655E23" w:rsidRDefault="0090348F" w:rsidP="00655E23">
      <w:pPr>
        <w:jc w:val="both"/>
        <w:rPr>
          <w:rFonts w:asciiTheme="majorHAnsi" w:hAnsiTheme="majorHAnsi"/>
          <w:b/>
          <w:sz w:val="24"/>
          <w:szCs w:val="24"/>
        </w:rPr>
      </w:pPr>
    </w:p>
    <w:p w:rsidR="0090348F" w:rsidRPr="00655E23" w:rsidRDefault="0090348F" w:rsidP="00655E23">
      <w:pPr>
        <w:jc w:val="both"/>
        <w:rPr>
          <w:rFonts w:asciiTheme="majorHAnsi" w:hAnsiTheme="majorHAnsi"/>
          <w:sz w:val="24"/>
          <w:szCs w:val="24"/>
        </w:rPr>
      </w:pPr>
      <w:r w:rsidRPr="00655E23">
        <w:rPr>
          <w:rFonts w:asciiTheme="majorHAnsi" w:hAnsiTheme="majorHAnsi"/>
          <w:b/>
          <w:sz w:val="24"/>
          <w:szCs w:val="24"/>
        </w:rPr>
        <w:t>Community Justice Project, Inc. – Miami, Florida</w:t>
      </w:r>
      <w:r w:rsidR="0098020B" w:rsidRPr="00655E23">
        <w:rPr>
          <w:rFonts w:asciiTheme="majorHAnsi" w:hAnsiTheme="majorHAnsi"/>
          <w:b/>
          <w:sz w:val="24"/>
          <w:szCs w:val="24"/>
        </w:rPr>
        <w:t>.</w:t>
      </w:r>
      <w:r w:rsidR="00A7071C" w:rsidRPr="00655E23">
        <w:rPr>
          <w:rFonts w:asciiTheme="majorHAnsi" w:hAnsiTheme="majorHAnsi"/>
          <w:sz w:val="24"/>
          <w:szCs w:val="24"/>
        </w:rPr>
        <w:t xml:space="preserve"> Lawyers providing legal support to movements led by communities of </w:t>
      </w:r>
      <w:proofErr w:type="spellStart"/>
      <w:r w:rsidR="00A7071C" w:rsidRPr="00655E23">
        <w:rPr>
          <w:rFonts w:asciiTheme="majorHAnsi" w:hAnsiTheme="majorHAnsi"/>
          <w:sz w:val="24"/>
          <w:szCs w:val="24"/>
        </w:rPr>
        <w:t>color</w:t>
      </w:r>
      <w:proofErr w:type="spellEnd"/>
      <w:r w:rsidR="00A7071C" w:rsidRPr="00655E23">
        <w:rPr>
          <w:rFonts w:asciiTheme="majorHAnsi" w:hAnsiTheme="majorHAnsi"/>
          <w:sz w:val="24"/>
          <w:szCs w:val="24"/>
        </w:rPr>
        <w:t xml:space="preserve"> in Florida and beyond through a racial justice and human rights lens. Contact: Meena Jagannath, </w:t>
      </w:r>
      <w:hyperlink r:id="rId13" w:history="1">
        <w:r w:rsidR="00A7071C" w:rsidRPr="00655E23">
          <w:rPr>
            <w:rStyle w:val="Hyperlink"/>
            <w:rFonts w:asciiTheme="majorHAnsi" w:hAnsiTheme="majorHAnsi"/>
            <w:sz w:val="24"/>
            <w:szCs w:val="24"/>
          </w:rPr>
          <w:t>meena@communityjusticeproject.com</w:t>
        </w:r>
      </w:hyperlink>
      <w:r w:rsidR="00A7071C" w:rsidRPr="00655E23">
        <w:rPr>
          <w:rFonts w:asciiTheme="majorHAnsi" w:hAnsiTheme="majorHAnsi"/>
          <w:sz w:val="24"/>
          <w:szCs w:val="24"/>
        </w:rPr>
        <w:t xml:space="preserve"> (</w:t>
      </w:r>
      <w:hyperlink r:id="rId14" w:history="1">
        <w:r w:rsidR="00A7071C" w:rsidRPr="00655E23">
          <w:rPr>
            <w:rStyle w:val="Hyperlink"/>
            <w:rFonts w:asciiTheme="majorHAnsi" w:hAnsiTheme="majorHAnsi"/>
            <w:sz w:val="24"/>
            <w:szCs w:val="24"/>
          </w:rPr>
          <w:t>www.communityjusticeproject.com</w:t>
        </w:r>
      </w:hyperlink>
      <w:r w:rsidR="00A7071C" w:rsidRPr="00655E23">
        <w:rPr>
          <w:rFonts w:asciiTheme="majorHAnsi" w:hAnsiTheme="majorHAnsi"/>
          <w:sz w:val="24"/>
          <w:szCs w:val="24"/>
        </w:rPr>
        <w:t xml:space="preserve">) </w:t>
      </w:r>
    </w:p>
    <w:p w:rsidR="00A7071C" w:rsidRPr="00655E23" w:rsidRDefault="00A7071C" w:rsidP="00655E23">
      <w:pPr>
        <w:jc w:val="both"/>
        <w:rPr>
          <w:rFonts w:asciiTheme="majorHAnsi" w:hAnsiTheme="majorHAnsi"/>
          <w:b/>
          <w:sz w:val="24"/>
          <w:szCs w:val="24"/>
        </w:rPr>
      </w:pPr>
    </w:p>
    <w:p w:rsidR="00A7071C" w:rsidRPr="00655E23" w:rsidRDefault="0090348F" w:rsidP="00655E23">
      <w:pPr>
        <w:jc w:val="both"/>
        <w:rPr>
          <w:rStyle w:val="gi"/>
          <w:rFonts w:asciiTheme="majorHAnsi" w:hAnsiTheme="majorHAnsi"/>
          <w:sz w:val="24"/>
          <w:szCs w:val="24"/>
        </w:rPr>
      </w:pPr>
      <w:r w:rsidRPr="00655E23">
        <w:rPr>
          <w:rFonts w:asciiTheme="majorHAnsi" w:hAnsiTheme="majorHAnsi"/>
          <w:b/>
          <w:sz w:val="24"/>
          <w:szCs w:val="24"/>
        </w:rPr>
        <w:t xml:space="preserve">Campaign to Keep Guns </w:t>
      </w:r>
      <w:proofErr w:type="gramStart"/>
      <w:r w:rsidRPr="00655E23">
        <w:rPr>
          <w:rFonts w:asciiTheme="majorHAnsi" w:hAnsiTheme="majorHAnsi"/>
          <w:b/>
          <w:sz w:val="24"/>
          <w:szCs w:val="24"/>
        </w:rPr>
        <w:t>Off</w:t>
      </w:r>
      <w:proofErr w:type="gramEnd"/>
      <w:r w:rsidRPr="00655E23">
        <w:rPr>
          <w:rFonts w:asciiTheme="majorHAnsi" w:hAnsiTheme="majorHAnsi"/>
          <w:b/>
          <w:sz w:val="24"/>
          <w:szCs w:val="24"/>
        </w:rPr>
        <w:t xml:space="preserve"> Campus</w:t>
      </w:r>
      <w:r w:rsidR="00A7071C" w:rsidRPr="00655E23">
        <w:rPr>
          <w:rFonts w:asciiTheme="majorHAnsi" w:hAnsiTheme="majorHAnsi"/>
          <w:b/>
          <w:sz w:val="24"/>
          <w:szCs w:val="24"/>
        </w:rPr>
        <w:t xml:space="preserve"> – New York. </w:t>
      </w:r>
      <w:r w:rsidR="00A7071C" w:rsidRPr="00655E23">
        <w:rPr>
          <w:rFonts w:asciiTheme="majorHAnsi" w:hAnsiTheme="majorHAnsi"/>
          <w:sz w:val="24"/>
          <w:szCs w:val="24"/>
        </w:rPr>
        <w:t xml:space="preserve">It is the mission of the Campaign </w:t>
      </w:r>
      <w:proofErr w:type="gramStart"/>
      <w:r w:rsidR="00A7071C" w:rsidRPr="00655E23">
        <w:rPr>
          <w:rFonts w:asciiTheme="majorHAnsi" w:hAnsiTheme="majorHAnsi"/>
          <w:sz w:val="24"/>
          <w:szCs w:val="24"/>
        </w:rPr>
        <w:t>To Keep Guns Off</w:t>
      </w:r>
      <w:proofErr w:type="gramEnd"/>
      <w:r w:rsidR="00A7071C" w:rsidRPr="00655E23">
        <w:rPr>
          <w:rFonts w:asciiTheme="majorHAnsi" w:hAnsiTheme="majorHAnsi"/>
          <w:sz w:val="24"/>
          <w:szCs w:val="24"/>
        </w:rPr>
        <w:t xml:space="preserve"> Campus, through research and education, to promote safe college, university and K-12 campuses by educating the general public that these environments are safer without the presence of firearms.  Contacts: Andy Pelosi, Executive Director, </w:t>
      </w:r>
      <w:hyperlink r:id="rId15" w:history="1">
        <w:r w:rsidR="00EA1B0B" w:rsidRPr="00655E23">
          <w:rPr>
            <w:rStyle w:val="Hyperlink"/>
            <w:rFonts w:asciiTheme="majorHAnsi" w:hAnsiTheme="majorHAnsi"/>
            <w:sz w:val="24"/>
            <w:szCs w:val="24"/>
          </w:rPr>
          <w:t>andy@gunfreekids.org</w:t>
        </w:r>
      </w:hyperlink>
      <w:r w:rsidR="00EA1B0B" w:rsidRPr="00655E23">
        <w:rPr>
          <w:rStyle w:val="gi"/>
          <w:rFonts w:asciiTheme="majorHAnsi" w:hAnsiTheme="majorHAnsi"/>
          <w:sz w:val="24"/>
          <w:szCs w:val="24"/>
        </w:rPr>
        <w:t>,</w:t>
      </w:r>
      <w:r w:rsidR="00A7071C" w:rsidRPr="00655E23">
        <w:rPr>
          <w:rFonts w:asciiTheme="majorHAnsi" w:hAnsiTheme="majorHAnsi"/>
          <w:sz w:val="24"/>
          <w:szCs w:val="24"/>
        </w:rPr>
        <w:t xml:space="preserve"> Kathryn Grant, State Director, Georgia/Florida, </w:t>
      </w:r>
      <w:hyperlink r:id="rId16" w:history="1">
        <w:r w:rsidR="00A7071C" w:rsidRPr="00655E23">
          <w:rPr>
            <w:rStyle w:val="Hyperlink"/>
            <w:rFonts w:asciiTheme="majorHAnsi" w:hAnsiTheme="majorHAnsi"/>
            <w:sz w:val="24"/>
            <w:szCs w:val="24"/>
          </w:rPr>
          <w:t>keepgunsoffcampusfl@gmail.com</w:t>
        </w:r>
      </w:hyperlink>
      <w:r w:rsidR="00A7071C" w:rsidRPr="00655E23">
        <w:rPr>
          <w:rStyle w:val="gi"/>
          <w:rFonts w:asciiTheme="majorHAnsi" w:hAnsiTheme="majorHAnsi"/>
          <w:sz w:val="24"/>
          <w:szCs w:val="24"/>
        </w:rPr>
        <w:t xml:space="preserve"> (</w:t>
      </w:r>
      <w:hyperlink r:id="rId17" w:history="1">
        <w:r w:rsidR="00655E23" w:rsidRPr="00300D8F">
          <w:rPr>
            <w:rStyle w:val="Hyperlink"/>
            <w:rFonts w:asciiTheme="majorHAnsi" w:hAnsiTheme="majorHAnsi"/>
            <w:sz w:val="24"/>
            <w:szCs w:val="24"/>
          </w:rPr>
          <w:t>www.keepgunsoffcampus.org</w:t>
        </w:r>
      </w:hyperlink>
      <w:r w:rsidR="00A7071C" w:rsidRPr="00655E23">
        <w:rPr>
          <w:rStyle w:val="gi"/>
          <w:rFonts w:asciiTheme="majorHAnsi" w:hAnsiTheme="majorHAnsi"/>
          <w:sz w:val="24"/>
          <w:szCs w:val="24"/>
        </w:rPr>
        <w:t>)</w:t>
      </w:r>
    </w:p>
    <w:p w:rsidR="0090348F" w:rsidRPr="00655E23" w:rsidRDefault="0090348F" w:rsidP="00655E23">
      <w:pPr>
        <w:pStyle w:val="ListParagraph"/>
        <w:ind w:left="360"/>
        <w:jc w:val="both"/>
        <w:rPr>
          <w:rFonts w:asciiTheme="majorHAnsi" w:hAnsiTheme="majorHAnsi"/>
          <w:b/>
          <w:sz w:val="24"/>
          <w:szCs w:val="24"/>
        </w:rPr>
      </w:pPr>
    </w:p>
    <w:p w:rsidR="0090348F" w:rsidRPr="00655E23" w:rsidRDefault="0090348F" w:rsidP="00655E23">
      <w:pPr>
        <w:jc w:val="both"/>
        <w:rPr>
          <w:rFonts w:asciiTheme="majorHAnsi" w:hAnsiTheme="majorHAnsi"/>
          <w:b/>
          <w:sz w:val="24"/>
          <w:szCs w:val="24"/>
          <w:u w:val="single"/>
        </w:rPr>
      </w:pPr>
      <w:r w:rsidRPr="00655E23">
        <w:rPr>
          <w:rFonts w:asciiTheme="majorHAnsi" w:hAnsiTheme="majorHAnsi"/>
          <w:b/>
          <w:sz w:val="24"/>
          <w:szCs w:val="24"/>
          <w:u w:val="single"/>
        </w:rPr>
        <w:t>Assess</w:t>
      </w:r>
      <w:r w:rsidR="00A7071C" w:rsidRPr="00655E23">
        <w:rPr>
          <w:rFonts w:asciiTheme="majorHAnsi" w:hAnsiTheme="majorHAnsi"/>
          <w:b/>
          <w:sz w:val="24"/>
          <w:szCs w:val="24"/>
          <w:u w:val="single"/>
        </w:rPr>
        <w:t>ing</w:t>
      </w:r>
      <w:r w:rsidRPr="00655E23">
        <w:rPr>
          <w:rFonts w:asciiTheme="majorHAnsi" w:hAnsiTheme="majorHAnsi"/>
          <w:b/>
          <w:sz w:val="24"/>
          <w:szCs w:val="24"/>
          <w:u w:val="single"/>
        </w:rPr>
        <w:t>: Paragraph 10 – Gun Violence and Stand Your Ground Laws</w:t>
      </w:r>
      <w:r w:rsidR="00A7071C" w:rsidRPr="00655E23">
        <w:rPr>
          <w:rFonts w:asciiTheme="majorHAnsi" w:hAnsiTheme="majorHAnsi"/>
          <w:b/>
          <w:sz w:val="24"/>
          <w:szCs w:val="24"/>
          <w:u w:val="single"/>
        </w:rPr>
        <w:t xml:space="preserve"> as of 8 May 2015</w:t>
      </w:r>
    </w:p>
    <w:p w:rsidR="0090348F" w:rsidRPr="00655E23" w:rsidRDefault="0090348F" w:rsidP="00655E23">
      <w:pPr>
        <w:jc w:val="both"/>
        <w:rPr>
          <w:rFonts w:asciiTheme="majorHAnsi" w:hAnsiTheme="majorHAnsi"/>
          <w:b/>
          <w:sz w:val="24"/>
          <w:szCs w:val="24"/>
        </w:rPr>
      </w:pPr>
    </w:p>
    <w:p w:rsidR="0090348F" w:rsidRPr="00655E23" w:rsidRDefault="0090348F" w:rsidP="00655E23">
      <w:pPr>
        <w:jc w:val="both"/>
        <w:rPr>
          <w:rFonts w:asciiTheme="majorHAnsi" w:hAnsiTheme="majorHAnsi"/>
          <w:b/>
          <w:sz w:val="24"/>
          <w:szCs w:val="24"/>
          <w:u w:val="single"/>
        </w:rPr>
      </w:pPr>
      <w:r w:rsidRPr="00655E23">
        <w:rPr>
          <w:rFonts w:asciiTheme="majorHAnsi" w:hAnsiTheme="majorHAnsi"/>
          <w:b/>
          <w:sz w:val="24"/>
          <w:szCs w:val="24"/>
          <w:u w:val="single"/>
        </w:rPr>
        <w:t>NGO Grade:  C1</w:t>
      </w:r>
    </w:p>
    <w:p w:rsidR="0090348F" w:rsidRPr="00655E23" w:rsidRDefault="0090348F" w:rsidP="00655E23">
      <w:pPr>
        <w:jc w:val="both"/>
        <w:rPr>
          <w:rFonts w:asciiTheme="majorHAnsi" w:hAnsiTheme="majorHAnsi"/>
          <w:sz w:val="24"/>
          <w:szCs w:val="24"/>
        </w:rPr>
      </w:pPr>
    </w:p>
    <w:p w:rsidR="0090348F" w:rsidRPr="00655E23" w:rsidRDefault="0090348F"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t>Introduction</w:t>
      </w:r>
    </w:p>
    <w:p w:rsidR="0098020B" w:rsidRPr="00655E23" w:rsidRDefault="0090348F" w:rsidP="00655E23">
      <w:pPr>
        <w:pStyle w:val="normal0"/>
        <w:spacing w:line="240" w:lineRule="auto"/>
        <w:jc w:val="both"/>
        <w:rPr>
          <w:rFonts w:asciiTheme="majorHAnsi" w:eastAsia="Times New Roman" w:hAnsiTheme="majorHAnsi" w:cs="Times New Roman"/>
          <w:color w:val="222222"/>
          <w:sz w:val="24"/>
          <w:szCs w:val="24"/>
        </w:rPr>
      </w:pPr>
      <w:r w:rsidRPr="00655E23">
        <w:rPr>
          <w:rFonts w:asciiTheme="majorHAnsi" w:eastAsia="Times New Roman" w:hAnsiTheme="majorHAnsi" w:cs="Times New Roman"/>
          <w:color w:val="222222"/>
          <w:sz w:val="24"/>
          <w:szCs w:val="24"/>
        </w:rPr>
        <w:t xml:space="preserve">Gun violence featured as a primary concern in the Human Rights Committee’s Concluding Observations on the Fourth Periodic Review of the United States of America, which noted a high number of gun-related deaths and injuries as well as a disparate impact on racial minorities, women and children.  It also reiterated its concern “about the proliferation of [Stand Your Ground] laws which are used to circumvent the limits of legitimate self </w:t>
      </w:r>
      <w:proofErr w:type="spellStart"/>
      <w:r w:rsidRPr="00655E23">
        <w:rPr>
          <w:rFonts w:asciiTheme="majorHAnsi" w:eastAsia="Times New Roman" w:hAnsiTheme="majorHAnsi" w:cs="Times New Roman"/>
          <w:color w:val="222222"/>
          <w:sz w:val="24"/>
          <w:szCs w:val="24"/>
        </w:rPr>
        <w:t>defence</w:t>
      </w:r>
      <w:proofErr w:type="spellEnd"/>
      <w:r w:rsidRPr="00655E23">
        <w:rPr>
          <w:rFonts w:asciiTheme="majorHAnsi" w:eastAsia="Times New Roman" w:hAnsiTheme="majorHAnsi" w:cs="Times New Roman"/>
          <w:color w:val="222222"/>
          <w:sz w:val="24"/>
          <w:szCs w:val="24"/>
        </w:rPr>
        <w:t xml:space="preserve"> in violation of the State party’s duty to protect life (arts. </w:t>
      </w:r>
      <w:proofErr w:type="gramStart"/>
      <w:r w:rsidRPr="00655E23">
        <w:rPr>
          <w:rFonts w:asciiTheme="majorHAnsi" w:eastAsia="Times New Roman" w:hAnsiTheme="majorHAnsi" w:cs="Times New Roman"/>
          <w:color w:val="222222"/>
          <w:sz w:val="24"/>
          <w:szCs w:val="24"/>
        </w:rPr>
        <w:t>2, 6 and 26).”</w:t>
      </w:r>
      <w:proofErr w:type="gramEnd"/>
      <w:r w:rsidR="0098020B" w:rsidRPr="00655E23">
        <w:rPr>
          <w:rStyle w:val="EndnoteReference"/>
          <w:rFonts w:asciiTheme="majorHAnsi" w:eastAsia="Times New Roman" w:hAnsiTheme="majorHAnsi" w:cs="Times New Roman"/>
          <w:color w:val="222222"/>
          <w:sz w:val="24"/>
          <w:szCs w:val="24"/>
        </w:rPr>
        <w:endnoteReference w:id="2"/>
      </w:r>
      <w:r w:rsidR="0098020B" w:rsidRPr="00655E23">
        <w:rPr>
          <w:rFonts w:asciiTheme="majorHAnsi" w:eastAsia="Times New Roman" w:hAnsiTheme="majorHAnsi" w:cs="Times New Roman"/>
          <w:color w:val="222222"/>
          <w:sz w:val="24"/>
          <w:szCs w:val="24"/>
        </w:rPr>
        <w:t xml:space="preserve"> It made a number of recommendations for protections to stem gun violence and called for review of Stand Your Ground laws “to remove far-reaching immunity and ensure strict adherence to the principles of necessity and proportionality when using deadly force in self-</w:t>
      </w:r>
      <w:proofErr w:type="spellStart"/>
      <w:r w:rsidR="0098020B" w:rsidRPr="00655E23">
        <w:rPr>
          <w:rFonts w:asciiTheme="majorHAnsi" w:eastAsia="Times New Roman" w:hAnsiTheme="majorHAnsi" w:cs="Times New Roman"/>
          <w:color w:val="222222"/>
          <w:sz w:val="24"/>
          <w:szCs w:val="24"/>
        </w:rPr>
        <w:t>defence</w:t>
      </w:r>
      <w:proofErr w:type="spellEnd"/>
      <w:r w:rsidR="0098020B" w:rsidRPr="00655E23">
        <w:rPr>
          <w:rFonts w:asciiTheme="majorHAnsi" w:eastAsia="Times New Roman" w:hAnsiTheme="majorHAnsi" w:cs="Times New Roman"/>
          <w:color w:val="222222"/>
          <w:sz w:val="24"/>
          <w:szCs w:val="24"/>
        </w:rPr>
        <w:t>.”</w:t>
      </w:r>
      <w:r w:rsidR="0098020B" w:rsidRPr="00655E23">
        <w:rPr>
          <w:rStyle w:val="EndnoteReference"/>
          <w:rFonts w:asciiTheme="majorHAnsi" w:eastAsia="Times New Roman" w:hAnsiTheme="majorHAnsi" w:cs="Times New Roman"/>
          <w:color w:val="222222"/>
          <w:sz w:val="24"/>
          <w:szCs w:val="24"/>
        </w:rPr>
        <w:endnoteReference w:id="3"/>
      </w:r>
      <w:r w:rsidR="0098020B" w:rsidRPr="00655E23">
        <w:rPr>
          <w:rFonts w:asciiTheme="majorHAnsi" w:eastAsia="Times New Roman" w:hAnsiTheme="majorHAnsi" w:cs="Times New Roman"/>
          <w:color w:val="222222"/>
          <w:sz w:val="24"/>
          <w:szCs w:val="24"/>
        </w:rPr>
        <w:t xml:space="preserve">  This report will focus on updating the Committee on these laws and the State party’s actions to address their human rights implications</w:t>
      </w:r>
      <w:r w:rsidR="00655E23" w:rsidRPr="00655E23">
        <w:rPr>
          <w:rFonts w:asciiTheme="majorHAnsi" w:eastAsia="Times New Roman" w:hAnsiTheme="majorHAnsi" w:cs="Times New Roman"/>
          <w:color w:val="222222"/>
          <w:sz w:val="24"/>
          <w:szCs w:val="24"/>
        </w:rPr>
        <w:t xml:space="preserve"> for the rights to life, non-discrimination and equality before the law</w:t>
      </w:r>
      <w:r w:rsidR="0098020B" w:rsidRPr="00655E23">
        <w:rPr>
          <w:rFonts w:asciiTheme="majorHAnsi" w:eastAsia="Times New Roman" w:hAnsiTheme="majorHAnsi" w:cs="Times New Roman"/>
          <w:color w:val="222222"/>
          <w:sz w:val="24"/>
          <w:szCs w:val="24"/>
        </w:rPr>
        <w:t>.</w:t>
      </w:r>
    </w:p>
    <w:p w:rsidR="0098020B" w:rsidRPr="00655E23" w:rsidRDefault="0098020B"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lastRenderedPageBreak/>
        <w:t>Actions taken by the State party</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In Paragraph 27, the Committee specifically asked for the United States to provide information on the implementation of the recommendations pertaining to gun violence. However, the United States government response</w:t>
      </w:r>
      <w:r w:rsidR="00616868" w:rsidRPr="00655E23">
        <w:rPr>
          <w:rFonts w:asciiTheme="majorHAnsi" w:eastAsia="Times New Roman" w:hAnsiTheme="majorHAnsi" w:cs="Times New Roman"/>
          <w:color w:val="auto"/>
          <w:sz w:val="24"/>
          <w:szCs w:val="24"/>
        </w:rPr>
        <w:t>s</w:t>
      </w:r>
      <w:r w:rsidRPr="00655E23">
        <w:rPr>
          <w:rFonts w:asciiTheme="majorHAnsi" w:eastAsia="Times New Roman" w:hAnsiTheme="majorHAnsi" w:cs="Times New Roman"/>
          <w:color w:val="auto"/>
          <w:sz w:val="24"/>
          <w:szCs w:val="24"/>
        </w:rPr>
        <w:t xml:space="preserve"> to these recommendations in its One-Year Follow-up Response are inadequate.  </w:t>
      </w:r>
      <w:r w:rsidRPr="00655E23">
        <w:rPr>
          <w:rFonts w:asciiTheme="majorHAnsi" w:eastAsia="Times New Roman" w:hAnsiTheme="majorHAnsi" w:cs="Times New Roman"/>
          <w:b/>
          <w:color w:val="auto"/>
          <w:sz w:val="24"/>
          <w:szCs w:val="24"/>
        </w:rPr>
        <w:t>First</w:t>
      </w:r>
      <w:r w:rsidRPr="00655E23">
        <w:rPr>
          <w:rFonts w:asciiTheme="majorHAnsi" w:eastAsia="Times New Roman" w:hAnsiTheme="majorHAnsi" w:cs="Times New Roman"/>
          <w:color w:val="auto"/>
          <w:sz w:val="24"/>
          <w:szCs w:val="24"/>
        </w:rPr>
        <w:t xml:space="preserve">, all actions to reduce gun violence noted in the report pre-date March 2014, which shows that despite further urging by the Committee, the U.S. has taken no additional affirmative steps to address the recommendations stemming from the March 2014 review process.  </w:t>
      </w:r>
      <w:r w:rsidRPr="00655E23">
        <w:rPr>
          <w:rFonts w:asciiTheme="majorHAnsi" w:eastAsia="Times New Roman" w:hAnsiTheme="majorHAnsi" w:cs="Times New Roman"/>
          <w:b/>
          <w:color w:val="auto"/>
          <w:sz w:val="24"/>
          <w:szCs w:val="24"/>
        </w:rPr>
        <w:t>Second</w:t>
      </w:r>
      <w:r w:rsidRPr="00655E23">
        <w:rPr>
          <w:rFonts w:asciiTheme="majorHAnsi" w:eastAsia="Times New Roman" w:hAnsiTheme="majorHAnsi" w:cs="Times New Roman"/>
          <w:color w:val="auto"/>
          <w:sz w:val="24"/>
          <w:szCs w:val="24"/>
        </w:rPr>
        <w:t xml:space="preserve">, several concerning developments with respect to Stand Your Ground laws have taken place at the state level to indicate that these laws have in fact gotten worse since the review.  This report updates the Committee with events that have transpired since the review.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As the Committee noted, Stand Your Ground (SYG) laws have concerning consequences for the rights to non-discrimination, life, and equality before the law (Arts. 2, 6 and 26).  Concerns about the disparate impact of SYG laws on racial minorities persist as practitioners and advocates continue to examine the way in which these laws are applied, even though the United States has said that the US Commission on Civil Rights (USCCR) will be investigating any civil rights concerns the laws may present. Though this process has been included as part of their 2014-2018 Strategic Plan,</w:t>
      </w:r>
      <w:r w:rsidRPr="00655E23">
        <w:rPr>
          <w:rFonts w:asciiTheme="majorHAnsi" w:eastAsia="Times New Roman" w:hAnsiTheme="majorHAnsi" w:cs="Times New Roman"/>
          <w:color w:val="auto"/>
          <w:sz w:val="24"/>
          <w:szCs w:val="24"/>
          <w:vertAlign w:val="superscript"/>
        </w:rPr>
        <w:endnoteReference w:id="4"/>
      </w:r>
      <w:r w:rsidRPr="00655E23">
        <w:rPr>
          <w:rFonts w:asciiTheme="majorHAnsi" w:eastAsia="Times New Roman" w:hAnsiTheme="majorHAnsi" w:cs="Times New Roman"/>
          <w:color w:val="auto"/>
          <w:sz w:val="24"/>
          <w:szCs w:val="24"/>
        </w:rPr>
        <w:t xml:space="preserve"> there has been little reporting or information about the progress of that investigation.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Whatever the status of that evaluation process, as the Committee notes, a similar effort to examine the impact of SYG laws on the right to life is necessary.</w:t>
      </w:r>
      <w:r w:rsidRPr="00655E23">
        <w:rPr>
          <w:rFonts w:asciiTheme="majorHAnsi" w:eastAsia="Times New Roman" w:hAnsiTheme="majorHAnsi" w:cs="Times New Roman"/>
          <w:color w:val="auto"/>
          <w:sz w:val="24"/>
          <w:szCs w:val="24"/>
          <w:vertAlign w:val="superscript"/>
        </w:rPr>
        <w:endnoteReference w:id="5"/>
      </w:r>
      <w:r w:rsidRPr="00655E23">
        <w:rPr>
          <w:rFonts w:asciiTheme="majorHAnsi" w:eastAsia="Times New Roman" w:hAnsiTheme="majorHAnsi" w:cs="Times New Roman"/>
          <w:color w:val="auto"/>
          <w:sz w:val="24"/>
          <w:szCs w:val="24"/>
        </w:rPr>
        <w:t xml:space="preserve"> During the review, the Committee placed particular emphasis on the incompatibility of these laws with Art. </w:t>
      </w:r>
      <w:proofErr w:type="gramStart"/>
      <w:r w:rsidRPr="00655E23">
        <w:rPr>
          <w:rFonts w:asciiTheme="majorHAnsi" w:eastAsia="Times New Roman" w:hAnsiTheme="majorHAnsi" w:cs="Times New Roman"/>
          <w:color w:val="auto"/>
          <w:sz w:val="24"/>
          <w:szCs w:val="24"/>
        </w:rPr>
        <w:t>6, given the blanket immunity afforded by the laws for use of deadly force without imposing any obligation to observe principles of necessity and proportionality which are designed to safeguard against unwarranted loss of life.</w:t>
      </w:r>
      <w:proofErr w:type="gramEnd"/>
      <w:r w:rsidRPr="00655E23">
        <w:rPr>
          <w:rFonts w:asciiTheme="majorHAnsi" w:eastAsia="Times New Roman" w:hAnsiTheme="majorHAnsi" w:cs="Times New Roman"/>
          <w:color w:val="auto"/>
          <w:sz w:val="24"/>
          <w:szCs w:val="24"/>
        </w:rPr>
        <w:t xml:space="preserve">  While the Unite</w:t>
      </w:r>
      <w:r w:rsidR="00655E23" w:rsidRPr="00655E23">
        <w:rPr>
          <w:rFonts w:asciiTheme="majorHAnsi" w:eastAsia="Times New Roman" w:hAnsiTheme="majorHAnsi" w:cs="Times New Roman"/>
          <w:color w:val="auto"/>
          <w:sz w:val="24"/>
          <w:szCs w:val="24"/>
        </w:rPr>
        <w:t>d</w:t>
      </w:r>
      <w:r w:rsidRPr="00655E23">
        <w:rPr>
          <w:rFonts w:asciiTheme="majorHAnsi" w:eastAsia="Times New Roman" w:hAnsiTheme="majorHAnsi" w:cs="Times New Roman"/>
          <w:color w:val="auto"/>
          <w:sz w:val="24"/>
          <w:szCs w:val="24"/>
        </w:rPr>
        <w:t xml:space="preserve"> States Attorney General has made a statement distancing the federal government from policies like Stand Your Ground, the federal government has done little affirmatively to encourage states to roll back these laws in view of their dangerous implications.</w:t>
      </w:r>
      <w:r w:rsidR="00387335">
        <w:rPr>
          <w:rStyle w:val="EndnoteReference"/>
          <w:rFonts w:asciiTheme="majorHAnsi" w:eastAsia="Times New Roman" w:hAnsiTheme="majorHAnsi" w:cs="Times New Roman"/>
          <w:color w:val="auto"/>
          <w:sz w:val="24"/>
          <w:szCs w:val="24"/>
        </w:rPr>
        <w:endnoteReference w:id="6"/>
      </w:r>
      <w:r w:rsidRPr="00655E23">
        <w:rPr>
          <w:rFonts w:asciiTheme="majorHAnsi" w:eastAsia="Times New Roman" w:hAnsiTheme="majorHAnsi" w:cs="Times New Roman"/>
          <w:color w:val="auto"/>
          <w:sz w:val="24"/>
          <w:szCs w:val="24"/>
        </w:rPr>
        <w:t xml:space="preserve">  In fact, as explained below, SYG laws are getting worse in some states.  The free rein given to interest groups like the National Rifle Association (NRA) to push forward legislation that encourages gun proliferation and stymie attempts at passing gun control laws essentially put the public in danger as special interests trump public opposition to efforts to expand pro-gun laws like the most recent NRA campaign to</w:t>
      </w:r>
      <w:r w:rsidR="001038C1" w:rsidRPr="00655E23">
        <w:rPr>
          <w:rFonts w:asciiTheme="majorHAnsi" w:eastAsia="Times New Roman" w:hAnsiTheme="majorHAnsi" w:cs="Times New Roman"/>
          <w:color w:val="auto"/>
          <w:sz w:val="24"/>
          <w:szCs w:val="24"/>
        </w:rPr>
        <w:t xml:space="preserve"> pass laws</w:t>
      </w:r>
      <w:r w:rsidRPr="00655E23">
        <w:rPr>
          <w:rFonts w:asciiTheme="majorHAnsi" w:eastAsia="Times New Roman" w:hAnsiTheme="majorHAnsi" w:cs="Times New Roman"/>
          <w:color w:val="auto"/>
          <w:sz w:val="24"/>
          <w:szCs w:val="24"/>
        </w:rPr>
        <w:t xml:space="preserve"> allow</w:t>
      </w:r>
      <w:r w:rsidR="001038C1" w:rsidRPr="00655E23">
        <w:rPr>
          <w:rFonts w:asciiTheme="majorHAnsi" w:eastAsia="Times New Roman" w:hAnsiTheme="majorHAnsi" w:cs="Times New Roman"/>
          <w:color w:val="auto"/>
          <w:sz w:val="24"/>
          <w:szCs w:val="24"/>
        </w:rPr>
        <w:t>ing</w:t>
      </w:r>
      <w:r w:rsidRPr="00655E23">
        <w:rPr>
          <w:rFonts w:asciiTheme="majorHAnsi" w:eastAsia="Times New Roman" w:hAnsiTheme="majorHAnsi" w:cs="Times New Roman"/>
          <w:color w:val="auto"/>
          <w:sz w:val="24"/>
          <w:szCs w:val="24"/>
        </w:rPr>
        <w:t xml:space="preserve"> students</w:t>
      </w:r>
      <w:r w:rsidR="001038C1" w:rsidRPr="00655E23">
        <w:rPr>
          <w:rFonts w:asciiTheme="majorHAnsi" w:eastAsia="Times New Roman" w:hAnsiTheme="majorHAnsi" w:cs="Times New Roman"/>
          <w:color w:val="auto"/>
          <w:sz w:val="24"/>
          <w:szCs w:val="24"/>
        </w:rPr>
        <w:t xml:space="preserve"> and others on university campuses</w:t>
      </w:r>
      <w:r w:rsidRPr="00655E23">
        <w:rPr>
          <w:rFonts w:asciiTheme="majorHAnsi" w:eastAsia="Times New Roman" w:hAnsiTheme="majorHAnsi" w:cs="Times New Roman"/>
          <w:color w:val="auto"/>
          <w:sz w:val="24"/>
          <w:szCs w:val="24"/>
        </w:rPr>
        <w:t xml:space="preserve"> to carry concealed arms.</w:t>
      </w:r>
      <w:r w:rsidRPr="00655E23">
        <w:rPr>
          <w:rStyle w:val="EndnoteReference"/>
          <w:rFonts w:asciiTheme="majorHAnsi" w:eastAsia="Times New Roman" w:hAnsiTheme="majorHAnsi" w:cs="Times New Roman"/>
          <w:color w:val="auto"/>
          <w:sz w:val="24"/>
          <w:szCs w:val="24"/>
        </w:rPr>
        <w:endnoteReference w:id="7"/>
      </w:r>
      <w:r w:rsidRPr="00655E23">
        <w:rPr>
          <w:rFonts w:asciiTheme="majorHAnsi" w:eastAsia="Times New Roman"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 xml:space="preserve">On the other hand, there are few avenues to obtain redress when a person’s civil rights are violated by operation of laws like SYG. Indeed, on February 27, 2015, the DOJ closed its investigation into the death of </w:t>
      </w:r>
      <w:proofErr w:type="spellStart"/>
      <w:r w:rsidRPr="00655E23">
        <w:rPr>
          <w:rFonts w:asciiTheme="majorHAnsi" w:eastAsia="Times New Roman" w:hAnsiTheme="majorHAnsi" w:cs="Times New Roman"/>
          <w:color w:val="auto"/>
          <w:sz w:val="24"/>
          <w:szCs w:val="24"/>
        </w:rPr>
        <w:t>Trayvon</w:t>
      </w:r>
      <w:proofErr w:type="spellEnd"/>
      <w:r w:rsidRPr="00655E23">
        <w:rPr>
          <w:rFonts w:asciiTheme="majorHAnsi" w:eastAsia="Times New Roman" w:hAnsiTheme="majorHAnsi" w:cs="Times New Roman"/>
          <w:color w:val="auto"/>
          <w:sz w:val="24"/>
          <w:szCs w:val="24"/>
        </w:rPr>
        <w:t xml:space="preserve"> Martin, declining to bring federal charges.</w:t>
      </w:r>
      <w:r w:rsidRPr="00655E23">
        <w:rPr>
          <w:rStyle w:val="EndnoteReference"/>
          <w:rFonts w:asciiTheme="majorHAnsi" w:eastAsia="Times New Roman" w:hAnsiTheme="majorHAnsi" w:cs="Times New Roman"/>
          <w:color w:val="auto"/>
          <w:sz w:val="24"/>
          <w:szCs w:val="24"/>
        </w:rPr>
        <w:endnoteReference w:id="8"/>
      </w:r>
      <w:r w:rsidRPr="00655E23">
        <w:rPr>
          <w:rFonts w:asciiTheme="majorHAnsi" w:eastAsia="Times New Roman" w:hAnsiTheme="majorHAnsi" w:cs="Times New Roman"/>
          <w:color w:val="auto"/>
          <w:sz w:val="24"/>
          <w:szCs w:val="24"/>
        </w:rPr>
        <w:t xml:space="preserve">  This result is disappointing and highlights the deficiency of these investigations to provide effective remedy to the families of individuals whose right to life have been deprived arbitrarily.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lastRenderedPageBreak/>
        <w:t>The assertion in the USG’s report that a potential DOJ prosecution</w:t>
      </w:r>
      <w:r w:rsidRPr="00655E23">
        <w:rPr>
          <w:rStyle w:val="EndnoteReference"/>
          <w:rFonts w:asciiTheme="majorHAnsi" w:eastAsia="Times New Roman" w:hAnsiTheme="majorHAnsi" w:cs="Times New Roman"/>
          <w:color w:val="auto"/>
          <w:sz w:val="24"/>
          <w:szCs w:val="24"/>
        </w:rPr>
        <w:endnoteReference w:id="9"/>
      </w:r>
      <w:r w:rsidRPr="00655E23">
        <w:rPr>
          <w:rFonts w:asciiTheme="majorHAnsi" w:eastAsia="Times New Roman" w:hAnsiTheme="majorHAnsi" w:cs="Times New Roman"/>
          <w:color w:val="auto"/>
          <w:sz w:val="24"/>
          <w:szCs w:val="24"/>
        </w:rPr>
        <w:t xml:space="preserve"> of federal civil rights laws can substitute for the broad immunity offered at the state level by SYG laws masks the reality that these investigations rarely produce federal charges because of the high legal standards that demand specific intent to deprive another individual of his or her civil rights.</w:t>
      </w:r>
      <w:r w:rsidRPr="00655E23">
        <w:rPr>
          <w:rStyle w:val="EndnoteReference"/>
          <w:rFonts w:asciiTheme="majorHAnsi" w:eastAsia="Times New Roman" w:hAnsiTheme="majorHAnsi" w:cs="Times New Roman"/>
          <w:color w:val="auto"/>
          <w:sz w:val="24"/>
          <w:szCs w:val="24"/>
        </w:rPr>
        <w:endnoteReference w:id="10"/>
      </w:r>
      <w:r w:rsidRPr="00655E23">
        <w:rPr>
          <w:rFonts w:asciiTheme="majorHAnsi" w:eastAsia="Times New Roman" w:hAnsiTheme="majorHAnsi" w:cs="Times New Roman"/>
          <w:color w:val="auto"/>
          <w:sz w:val="24"/>
          <w:szCs w:val="24"/>
        </w:rPr>
        <w:t xml:space="preserve">  The investigation into the death of </w:t>
      </w:r>
      <w:proofErr w:type="spellStart"/>
      <w:r w:rsidRPr="00655E23">
        <w:rPr>
          <w:rFonts w:asciiTheme="majorHAnsi" w:eastAsia="Times New Roman" w:hAnsiTheme="majorHAnsi" w:cs="Times New Roman"/>
          <w:color w:val="auto"/>
          <w:sz w:val="24"/>
          <w:szCs w:val="24"/>
        </w:rPr>
        <w:t>Trayvon</w:t>
      </w:r>
      <w:proofErr w:type="spellEnd"/>
      <w:r w:rsidRPr="00655E23">
        <w:rPr>
          <w:rFonts w:asciiTheme="majorHAnsi" w:eastAsia="Times New Roman" w:hAnsiTheme="majorHAnsi" w:cs="Times New Roman"/>
          <w:color w:val="auto"/>
          <w:sz w:val="24"/>
          <w:szCs w:val="24"/>
        </w:rPr>
        <w:t xml:space="preserve"> Martin, together with the federal investigation of Officer Darren Wilson’s killing of Michael Brown, Jr., are good examples of the way this high bar prevents the federal government from providing a meaningful avenue for redress. Then-Attorney General Eric Holder acknowledged the apparent incongruence between the results of the DOJ’s decision not to prosecute Officer Wilson and the DOJ’s scathing report from its investigation into the racially discriminatory practices of the Ferguson Police Department, a result of the barriers posed by the high intent standard that essentially undermines the ability of the federal government to pursue individual civil rights charges.</w:t>
      </w:r>
      <w:r w:rsidRPr="00655E23">
        <w:rPr>
          <w:rStyle w:val="EndnoteReference"/>
          <w:rFonts w:asciiTheme="majorHAnsi" w:eastAsia="Times New Roman" w:hAnsiTheme="majorHAnsi" w:cs="Times New Roman"/>
          <w:color w:val="auto"/>
          <w:sz w:val="24"/>
          <w:szCs w:val="24"/>
        </w:rPr>
        <w:endnoteReference w:id="11"/>
      </w:r>
      <w:r w:rsidRPr="00655E23">
        <w:rPr>
          <w:rFonts w:asciiTheme="majorHAnsi" w:eastAsia="Times New Roman" w:hAnsiTheme="majorHAnsi" w:cs="Times New Roman"/>
          <w:color w:val="auto"/>
          <w:sz w:val="24"/>
          <w:szCs w:val="24"/>
        </w:rPr>
        <w:t xml:space="preserve"> If the DOJ lowered the standard to a recklessness standard, it could potentially be a more effective tool.  As it is, the federal government offers extremely limited opportunities for redress despite what it cites in its report. </w:t>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t>Update of the Issue and Additional Information</w:t>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7"/>
        </w:numPr>
        <w:jc w:val="both"/>
        <w:rPr>
          <w:rFonts w:asciiTheme="majorHAnsi" w:hAnsiTheme="majorHAnsi"/>
          <w:sz w:val="24"/>
          <w:szCs w:val="24"/>
          <w:u w:val="single"/>
        </w:rPr>
      </w:pPr>
      <w:r w:rsidRPr="00655E23">
        <w:rPr>
          <w:rFonts w:asciiTheme="majorHAnsi" w:hAnsiTheme="majorHAnsi"/>
          <w:sz w:val="24"/>
          <w:szCs w:val="24"/>
          <w:u w:val="single"/>
        </w:rPr>
        <w:t>Hearing before the Inter-American Commission on Human Rights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Despite advocates’ efforts to draw attention to the disparate impact of SYG laws on racial minorities and their right to </w:t>
      </w:r>
      <w:r w:rsidR="001038C1" w:rsidRPr="00655E23">
        <w:rPr>
          <w:rFonts w:asciiTheme="majorHAnsi" w:hAnsiTheme="majorHAnsi"/>
          <w:sz w:val="24"/>
          <w:szCs w:val="24"/>
        </w:rPr>
        <w:t xml:space="preserve">life at a thematic hearing where </w:t>
      </w:r>
      <w:proofErr w:type="spellStart"/>
      <w:r w:rsidR="001038C1" w:rsidRPr="00655E23">
        <w:rPr>
          <w:rFonts w:asciiTheme="majorHAnsi" w:hAnsiTheme="majorHAnsi"/>
          <w:sz w:val="24"/>
          <w:szCs w:val="24"/>
        </w:rPr>
        <w:t>Sybrina</w:t>
      </w:r>
      <w:proofErr w:type="spellEnd"/>
      <w:r w:rsidR="001038C1" w:rsidRPr="00655E23">
        <w:rPr>
          <w:rFonts w:asciiTheme="majorHAnsi" w:hAnsiTheme="majorHAnsi"/>
          <w:sz w:val="24"/>
          <w:szCs w:val="24"/>
        </w:rPr>
        <w:t xml:space="preserve"> Fulton, </w:t>
      </w:r>
      <w:r w:rsidRPr="00655E23">
        <w:rPr>
          <w:rFonts w:asciiTheme="majorHAnsi" w:hAnsiTheme="majorHAnsi"/>
          <w:sz w:val="24"/>
          <w:szCs w:val="24"/>
        </w:rPr>
        <w:t xml:space="preserve">mother of </w:t>
      </w:r>
      <w:proofErr w:type="spellStart"/>
      <w:r w:rsidRPr="00655E23">
        <w:rPr>
          <w:rFonts w:asciiTheme="majorHAnsi" w:hAnsiTheme="majorHAnsi"/>
          <w:sz w:val="24"/>
          <w:szCs w:val="24"/>
        </w:rPr>
        <w:t>Trayvon</w:t>
      </w:r>
      <w:proofErr w:type="spellEnd"/>
      <w:r w:rsidRPr="00655E23">
        <w:rPr>
          <w:rFonts w:asciiTheme="majorHAnsi" w:hAnsiTheme="majorHAnsi"/>
          <w:sz w:val="24"/>
          <w:szCs w:val="24"/>
        </w:rPr>
        <w:t xml:space="preserve"> Martin and </w:t>
      </w:r>
      <w:r w:rsidR="001038C1" w:rsidRPr="00655E23">
        <w:rPr>
          <w:rFonts w:asciiTheme="majorHAnsi" w:hAnsiTheme="majorHAnsi"/>
          <w:sz w:val="24"/>
          <w:szCs w:val="24"/>
        </w:rPr>
        <w:t xml:space="preserve">Ron Davis, </w:t>
      </w:r>
      <w:r w:rsidRPr="00655E23">
        <w:rPr>
          <w:rFonts w:asciiTheme="majorHAnsi" w:hAnsiTheme="majorHAnsi"/>
          <w:sz w:val="24"/>
          <w:szCs w:val="24"/>
        </w:rPr>
        <w:t>father of Jordan Davis</w:t>
      </w:r>
      <w:r w:rsidR="001038C1" w:rsidRPr="00655E23">
        <w:rPr>
          <w:rStyle w:val="EndnoteReference"/>
          <w:rFonts w:asciiTheme="majorHAnsi" w:hAnsiTheme="majorHAnsi"/>
          <w:sz w:val="24"/>
          <w:szCs w:val="24"/>
        </w:rPr>
        <w:endnoteReference w:id="12"/>
      </w:r>
      <w:r w:rsidR="001038C1" w:rsidRPr="00655E23">
        <w:rPr>
          <w:rFonts w:asciiTheme="majorHAnsi" w:hAnsiTheme="majorHAnsi"/>
          <w:sz w:val="24"/>
          <w:szCs w:val="24"/>
        </w:rPr>
        <w:t xml:space="preserve"> testified</w:t>
      </w:r>
      <w:r w:rsidRPr="00655E23">
        <w:rPr>
          <w:rFonts w:asciiTheme="majorHAnsi" w:hAnsiTheme="majorHAnsi"/>
          <w:sz w:val="24"/>
          <w:szCs w:val="24"/>
        </w:rPr>
        <w:t xml:space="preserve"> before the Inter-American Commission on Human Rights (IACHR) in late March 2014, the U.S. government offered little information about the concrete steps it was taking to roll back these laws.</w:t>
      </w:r>
      <w:r w:rsidRPr="00655E23">
        <w:rPr>
          <w:rStyle w:val="EndnoteReference"/>
          <w:rFonts w:asciiTheme="majorHAnsi" w:hAnsiTheme="majorHAnsi"/>
          <w:sz w:val="24"/>
          <w:szCs w:val="24"/>
        </w:rPr>
        <w:endnoteReference w:id="13"/>
      </w:r>
      <w:r w:rsidRPr="00655E23">
        <w:rPr>
          <w:rFonts w:asciiTheme="majorHAnsi" w:hAnsiTheme="majorHAnsi"/>
          <w:sz w:val="24"/>
          <w:szCs w:val="24"/>
        </w:rPr>
        <w:t xml:space="preserve">  Citing a lack of statistics to properly evaluate the impact of these laws, the government simply acknowledged the testimony from the IACHR Petitioners.</w:t>
      </w:r>
      <w:r w:rsidRPr="00655E23">
        <w:rPr>
          <w:rStyle w:val="EndnoteReference"/>
          <w:rFonts w:asciiTheme="majorHAnsi" w:hAnsiTheme="majorHAnsi"/>
          <w:sz w:val="24"/>
          <w:szCs w:val="24"/>
        </w:rPr>
        <w:endnoteReference w:id="14"/>
      </w:r>
      <w:r w:rsidRPr="00655E23">
        <w:rPr>
          <w:rFonts w:asciiTheme="majorHAnsi" w:hAnsiTheme="majorHAnsi"/>
          <w:sz w:val="24"/>
          <w:szCs w:val="24"/>
        </w:rPr>
        <w:t xml:space="preserve">  The remarks indicated </w:t>
      </w:r>
      <w:r w:rsidR="001038C1" w:rsidRPr="00655E23">
        <w:rPr>
          <w:rFonts w:asciiTheme="majorHAnsi" w:hAnsiTheme="majorHAnsi"/>
          <w:sz w:val="24"/>
          <w:szCs w:val="24"/>
        </w:rPr>
        <w:t xml:space="preserve">that </w:t>
      </w:r>
      <w:r w:rsidRPr="00655E23">
        <w:rPr>
          <w:rFonts w:asciiTheme="majorHAnsi" w:hAnsiTheme="majorHAnsi"/>
          <w:sz w:val="24"/>
          <w:szCs w:val="24"/>
        </w:rPr>
        <w:t xml:space="preserve">the federal government </w:t>
      </w:r>
      <w:r w:rsidR="001038C1" w:rsidRPr="00655E23">
        <w:rPr>
          <w:rFonts w:asciiTheme="majorHAnsi" w:hAnsiTheme="majorHAnsi"/>
          <w:sz w:val="24"/>
          <w:szCs w:val="24"/>
        </w:rPr>
        <w:t>recognized</w:t>
      </w:r>
      <w:r w:rsidRPr="00655E23">
        <w:rPr>
          <w:rFonts w:asciiTheme="majorHAnsi" w:hAnsiTheme="majorHAnsi"/>
          <w:sz w:val="24"/>
          <w:szCs w:val="24"/>
        </w:rPr>
        <w:t xml:space="preserve"> the potentially dangerous consequences of these laws, yet it is unclear whether it is doing anything to address those consequences, especially as little information as to the progress of any investigation has </w:t>
      </w:r>
      <w:r w:rsidR="001038C1" w:rsidRPr="00655E23">
        <w:rPr>
          <w:rFonts w:asciiTheme="majorHAnsi" w:hAnsiTheme="majorHAnsi"/>
          <w:sz w:val="24"/>
          <w:szCs w:val="24"/>
        </w:rPr>
        <w:t>surfaced since the ICCPR review, this IACHR hearing, and the later Committee on the Elimination of all forms of Racial Discrimination’s review of the United States in August 2014</w:t>
      </w:r>
      <w:r w:rsidR="00123416" w:rsidRPr="00655E23">
        <w:rPr>
          <w:rFonts w:asciiTheme="majorHAnsi" w:hAnsiTheme="majorHAnsi"/>
          <w:sz w:val="24"/>
          <w:szCs w:val="24"/>
        </w:rPr>
        <w:t xml:space="preserve"> where Ms. Fulton also testified</w:t>
      </w:r>
      <w:r w:rsidR="001038C1" w:rsidRPr="00655E23">
        <w:rPr>
          <w:rFonts w:asciiTheme="majorHAnsi" w:hAnsiTheme="majorHAnsi"/>
          <w:sz w:val="24"/>
          <w:szCs w:val="24"/>
        </w:rPr>
        <w:t>.</w:t>
      </w:r>
      <w:r w:rsidR="00123416" w:rsidRPr="00655E23">
        <w:rPr>
          <w:rStyle w:val="EndnoteReference"/>
          <w:rFonts w:asciiTheme="majorHAnsi" w:hAnsiTheme="majorHAnsi"/>
          <w:sz w:val="24"/>
          <w:szCs w:val="24"/>
        </w:rPr>
        <w:endnoteReference w:id="15"/>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7"/>
        </w:numPr>
        <w:jc w:val="both"/>
        <w:rPr>
          <w:rFonts w:asciiTheme="majorHAnsi" w:hAnsiTheme="majorHAnsi"/>
          <w:sz w:val="24"/>
          <w:szCs w:val="24"/>
          <w:u w:val="single"/>
        </w:rPr>
      </w:pPr>
      <w:r w:rsidRPr="00655E23">
        <w:rPr>
          <w:rFonts w:asciiTheme="majorHAnsi" w:hAnsiTheme="majorHAnsi"/>
          <w:sz w:val="24"/>
          <w:szCs w:val="24"/>
          <w:u w:val="single"/>
        </w:rPr>
        <w:t xml:space="preserve">Subsequent studies and legal practitioners note that Stand Your Ground laws continue to have a disparate impact on racial minorities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Last fall, the American Bar Association’s National Task Force on Stand Your Ground Laws (a non-governmental entity) issued its Preliminary Report based on regional hearings.</w:t>
      </w:r>
      <w:r w:rsidRPr="00655E23">
        <w:rPr>
          <w:rFonts w:asciiTheme="majorHAnsi" w:eastAsia="Times New Roman" w:hAnsiTheme="majorHAnsi" w:cs="Times New Roman"/>
          <w:color w:val="auto"/>
          <w:sz w:val="24"/>
          <w:szCs w:val="24"/>
          <w:vertAlign w:val="superscript"/>
        </w:rPr>
        <w:endnoteReference w:id="16"/>
      </w:r>
      <w:r w:rsidRPr="00655E23">
        <w:rPr>
          <w:rFonts w:asciiTheme="majorHAnsi" w:eastAsia="Times New Roman" w:hAnsiTheme="majorHAnsi" w:cs="Times New Roman"/>
          <w:color w:val="auto"/>
          <w:sz w:val="24"/>
          <w:szCs w:val="24"/>
        </w:rPr>
        <w:t xml:space="preserve"> It noted a significant problem in that SYG laws afford individuals the right to use deadly force based upon their “reasonable” fear, yet “reasonable” in this sense is subjective and lacks a clear definition of what circumstances are considered “reasonable.” The ABA Report concludes that this ambiguity makes application of Stand Your Ground laws “unpredictable, uneven, and results in racial disparities.”</w:t>
      </w:r>
      <w:r w:rsidRPr="00655E23">
        <w:rPr>
          <w:rFonts w:asciiTheme="majorHAnsi" w:eastAsia="Times New Roman" w:hAnsiTheme="majorHAnsi" w:cs="Times New Roman"/>
          <w:color w:val="auto"/>
          <w:sz w:val="24"/>
          <w:szCs w:val="24"/>
          <w:vertAlign w:val="superscript"/>
        </w:rPr>
        <w:endnoteReference w:id="17"/>
      </w:r>
      <w:r w:rsidRPr="00655E23">
        <w:rPr>
          <w:rFonts w:asciiTheme="majorHAnsi" w:eastAsia="Times New Roman" w:hAnsiTheme="majorHAnsi" w:cs="Times New Roman"/>
          <w:color w:val="auto"/>
          <w:sz w:val="24"/>
          <w:szCs w:val="24"/>
        </w:rPr>
        <w:t xml:space="preserve"> In cases with almost analogous facts and circumstances, some defendants receive immunity from criminal </w:t>
      </w:r>
      <w:r w:rsidRPr="00655E23">
        <w:rPr>
          <w:rFonts w:asciiTheme="majorHAnsi" w:eastAsia="Times New Roman" w:hAnsiTheme="majorHAnsi" w:cs="Times New Roman"/>
          <w:color w:val="auto"/>
          <w:sz w:val="24"/>
          <w:szCs w:val="24"/>
        </w:rPr>
        <w:lastRenderedPageBreak/>
        <w:t xml:space="preserve">prosecution, while others received convictions with long sentences. These laws create a dynamic in which the race of the victim and the race of the defendant are better predictors of the verdict than the facts of the case. </w:t>
      </w:r>
    </w:p>
    <w:p w:rsidR="0098020B" w:rsidRPr="00655E23" w:rsidRDefault="0098020B" w:rsidP="00655E23">
      <w:pPr>
        <w:jc w:val="both"/>
        <w:rPr>
          <w:rFonts w:asciiTheme="majorHAnsi" w:hAnsiTheme="majorHAnsi"/>
          <w:sz w:val="24"/>
          <w:szCs w:val="24"/>
        </w:rPr>
      </w:pPr>
    </w:p>
    <w:p w:rsidR="0098020B" w:rsidRPr="00655E23" w:rsidRDefault="00A7071C" w:rsidP="00655E23">
      <w:pPr>
        <w:jc w:val="both"/>
        <w:rPr>
          <w:rFonts w:asciiTheme="majorHAnsi" w:hAnsiTheme="majorHAnsi"/>
          <w:sz w:val="24"/>
          <w:szCs w:val="24"/>
        </w:rPr>
      </w:pPr>
      <w:r w:rsidRPr="00655E23">
        <w:rPr>
          <w:rFonts w:asciiTheme="majorHAnsi" w:hAnsiTheme="majorHAnsi"/>
          <w:sz w:val="24"/>
          <w:szCs w:val="24"/>
        </w:rPr>
        <w:t xml:space="preserve">A closer look at how the law works in Florida illustrates how these laws can disparately impact people of </w:t>
      </w:r>
      <w:proofErr w:type="spellStart"/>
      <w:r w:rsidRPr="00655E23">
        <w:rPr>
          <w:rFonts w:asciiTheme="majorHAnsi" w:hAnsiTheme="majorHAnsi"/>
          <w:sz w:val="24"/>
          <w:szCs w:val="24"/>
        </w:rPr>
        <w:t>color’s</w:t>
      </w:r>
      <w:proofErr w:type="spellEnd"/>
      <w:r w:rsidRPr="00655E23">
        <w:rPr>
          <w:rFonts w:asciiTheme="majorHAnsi" w:hAnsiTheme="majorHAnsi"/>
          <w:sz w:val="24"/>
          <w:szCs w:val="24"/>
        </w:rPr>
        <w:t xml:space="preserve"> right to life. </w:t>
      </w:r>
      <w:r w:rsidR="0098020B" w:rsidRPr="00655E23">
        <w:rPr>
          <w:rFonts w:asciiTheme="majorHAnsi" w:hAnsiTheme="majorHAnsi"/>
          <w:sz w:val="24"/>
          <w:szCs w:val="24"/>
        </w:rPr>
        <w:t xml:space="preserve">The court determines if a motion for immunity from prosecution due to justifiable use of force will be granted through an evidentiary hearing. In the hearing, the court determines by the preponderance of the evidence if the defendant </w:t>
      </w:r>
      <w:r w:rsidR="0098020B" w:rsidRPr="00655E23">
        <w:rPr>
          <w:rFonts w:asciiTheme="majorHAnsi" w:hAnsiTheme="majorHAnsi"/>
          <w:i/>
          <w:sz w:val="24"/>
          <w:szCs w:val="24"/>
        </w:rPr>
        <w:t>subjectively believed</w:t>
      </w:r>
      <w:r w:rsidR="0098020B" w:rsidRPr="00655E23">
        <w:rPr>
          <w:rFonts w:asciiTheme="majorHAnsi" w:hAnsiTheme="majorHAnsi"/>
          <w:sz w:val="24"/>
          <w:szCs w:val="24"/>
        </w:rPr>
        <w:t xml:space="preserve"> that he had reasonable fear of imminent peril of death or great bodily harm. However, for people of </w:t>
      </w:r>
      <w:proofErr w:type="spellStart"/>
      <w:r w:rsidR="0098020B" w:rsidRPr="00655E23">
        <w:rPr>
          <w:rFonts w:asciiTheme="majorHAnsi" w:hAnsiTheme="majorHAnsi"/>
          <w:sz w:val="24"/>
          <w:szCs w:val="24"/>
        </w:rPr>
        <w:t>color</w:t>
      </w:r>
      <w:proofErr w:type="spellEnd"/>
      <w:r w:rsidR="0098020B" w:rsidRPr="00655E23">
        <w:rPr>
          <w:rFonts w:asciiTheme="majorHAnsi" w:hAnsiTheme="majorHAnsi"/>
          <w:sz w:val="24"/>
          <w:szCs w:val="24"/>
        </w:rPr>
        <w:t xml:space="preserve"> in particular, a subjective standard of reasonableness can be problematic. </w:t>
      </w:r>
      <w:r w:rsidRPr="00655E23">
        <w:rPr>
          <w:rFonts w:asciiTheme="majorHAnsi" w:hAnsiTheme="majorHAnsi"/>
          <w:sz w:val="24"/>
          <w:szCs w:val="24"/>
        </w:rPr>
        <w:t xml:space="preserve">It </w:t>
      </w:r>
      <w:r w:rsidR="0098020B" w:rsidRPr="00655E23">
        <w:rPr>
          <w:rFonts w:asciiTheme="majorHAnsi" w:hAnsiTheme="majorHAnsi"/>
          <w:sz w:val="24"/>
          <w:szCs w:val="24"/>
        </w:rPr>
        <w:t>ignores the inherent harm caused by a defendant’s acts, allowing a defendant’s subjective belief in the need to use force to outweigh all other considerations.</w:t>
      </w:r>
      <w:r w:rsidR="0098020B" w:rsidRPr="00655E23">
        <w:rPr>
          <w:rStyle w:val="EndnoteReference"/>
          <w:rFonts w:asciiTheme="majorHAnsi" w:hAnsiTheme="majorHAnsi"/>
          <w:sz w:val="24"/>
          <w:szCs w:val="24"/>
        </w:rPr>
        <w:endnoteReference w:id="18"/>
      </w:r>
      <w:r w:rsidR="0098020B" w:rsidRPr="00655E23">
        <w:rPr>
          <w:rFonts w:asciiTheme="majorHAnsi" w:hAnsiTheme="majorHAnsi"/>
          <w:sz w:val="24"/>
          <w:szCs w:val="24"/>
        </w:rPr>
        <w:t xml:space="preserve"> </w:t>
      </w:r>
    </w:p>
    <w:p w:rsidR="00445398" w:rsidRPr="00655E23" w:rsidRDefault="00445398" w:rsidP="00655E23">
      <w:pPr>
        <w:jc w:val="both"/>
        <w:rPr>
          <w:rFonts w:asciiTheme="majorHAnsi" w:hAnsiTheme="majorHAnsi"/>
          <w:sz w:val="24"/>
          <w:szCs w:val="24"/>
        </w:rPr>
      </w:pPr>
    </w:p>
    <w:p w:rsidR="0098020B" w:rsidRPr="00655E23" w:rsidRDefault="00655E23" w:rsidP="00655E23">
      <w:pPr>
        <w:jc w:val="both"/>
        <w:rPr>
          <w:rFonts w:asciiTheme="majorHAnsi" w:hAnsiTheme="majorHAnsi"/>
          <w:sz w:val="24"/>
          <w:szCs w:val="24"/>
        </w:rPr>
      </w:pPr>
      <w:r w:rsidRPr="00655E23">
        <w:rPr>
          <w:rFonts w:asciiTheme="majorHAnsi" w:hAnsiTheme="majorHAnsi"/>
          <w:sz w:val="24"/>
          <w:szCs w:val="24"/>
        </w:rPr>
        <w:t>T</w:t>
      </w:r>
      <w:r w:rsidR="0098020B" w:rsidRPr="00655E23">
        <w:rPr>
          <w:rFonts w:asciiTheme="majorHAnsi" w:hAnsiTheme="majorHAnsi"/>
          <w:sz w:val="24"/>
          <w:szCs w:val="24"/>
        </w:rPr>
        <w:t xml:space="preserve">he reality of the application of this subjective standard is that </w:t>
      </w:r>
      <w:r w:rsidR="00EA1B0B" w:rsidRPr="00655E23">
        <w:rPr>
          <w:rFonts w:asciiTheme="majorHAnsi" w:hAnsiTheme="majorHAnsi"/>
          <w:sz w:val="24"/>
          <w:szCs w:val="24"/>
        </w:rPr>
        <w:t>the attorneys of a non-white criminal defendant </w:t>
      </w:r>
      <w:r w:rsidR="00123416" w:rsidRPr="00655E23">
        <w:rPr>
          <w:rFonts w:asciiTheme="majorHAnsi" w:hAnsiTheme="majorHAnsi"/>
          <w:sz w:val="24"/>
          <w:szCs w:val="24"/>
        </w:rPr>
        <w:t>also consider race when deciding whether to file a motion because the hearing on the SYG motion acts is an evidentiary hearing that acts as a mini-trial and therefore a denial can negatively impact the trial later</w:t>
      </w:r>
      <w:r w:rsidR="0098020B" w:rsidRPr="00655E23">
        <w:rPr>
          <w:rFonts w:asciiTheme="majorHAnsi" w:hAnsiTheme="majorHAnsi"/>
          <w:sz w:val="24"/>
          <w:szCs w:val="24"/>
        </w:rPr>
        <w:t>. Th</w:t>
      </w:r>
      <w:r w:rsidR="00123416" w:rsidRPr="00655E23">
        <w:rPr>
          <w:rFonts w:asciiTheme="majorHAnsi" w:hAnsiTheme="majorHAnsi"/>
          <w:sz w:val="24"/>
          <w:szCs w:val="24"/>
        </w:rPr>
        <w:t>us, th</w:t>
      </w:r>
      <w:r w:rsidR="0098020B" w:rsidRPr="00655E23">
        <w:rPr>
          <w:rFonts w:asciiTheme="majorHAnsi" w:hAnsiTheme="majorHAnsi"/>
          <w:sz w:val="24"/>
          <w:szCs w:val="24"/>
        </w:rPr>
        <w:t xml:space="preserve">ese attorneys essentially have to question if a judge will be able to see their client’s beliefs as reasonable depending on their client’s race and culture, which tends in the </w:t>
      </w:r>
      <w:proofErr w:type="spellStart"/>
      <w:r w:rsidR="0098020B" w:rsidRPr="00655E23">
        <w:rPr>
          <w:rFonts w:asciiTheme="majorHAnsi" w:hAnsiTheme="majorHAnsi"/>
          <w:sz w:val="24"/>
          <w:szCs w:val="24"/>
        </w:rPr>
        <w:t>favor</w:t>
      </w:r>
      <w:proofErr w:type="spellEnd"/>
      <w:r w:rsidR="0098020B" w:rsidRPr="00655E23">
        <w:rPr>
          <w:rFonts w:asciiTheme="majorHAnsi" w:hAnsiTheme="majorHAnsi"/>
          <w:sz w:val="24"/>
          <w:szCs w:val="24"/>
        </w:rPr>
        <w:t xml:space="preserve"> of white defendants because the</w:t>
      </w:r>
      <w:r w:rsidR="00123416" w:rsidRPr="00655E23">
        <w:rPr>
          <w:rFonts w:asciiTheme="majorHAnsi" w:hAnsiTheme="majorHAnsi"/>
          <w:sz w:val="24"/>
          <w:szCs w:val="24"/>
        </w:rPr>
        <w:t xml:space="preserve"> majority of </w:t>
      </w:r>
      <w:r w:rsidR="0098020B" w:rsidRPr="00655E23">
        <w:rPr>
          <w:rFonts w:asciiTheme="majorHAnsi" w:hAnsiTheme="majorHAnsi"/>
          <w:sz w:val="24"/>
          <w:szCs w:val="24"/>
        </w:rPr>
        <w:t>judge</w:t>
      </w:r>
      <w:r w:rsidR="00123416" w:rsidRPr="00655E23">
        <w:rPr>
          <w:rFonts w:asciiTheme="majorHAnsi" w:hAnsiTheme="majorHAnsi"/>
          <w:sz w:val="24"/>
          <w:szCs w:val="24"/>
        </w:rPr>
        <w:t>s are</w:t>
      </w:r>
      <w:r w:rsidR="0098020B" w:rsidRPr="00655E23">
        <w:rPr>
          <w:rFonts w:asciiTheme="majorHAnsi" w:hAnsiTheme="majorHAnsi"/>
          <w:sz w:val="24"/>
          <w:szCs w:val="24"/>
        </w:rPr>
        <w:t xml:space="preserve"> white</w:t>
      </w:r>
      <w:r w:rsidR="00EA1B0B" w:rsidRPr="00655E23">
        <w:rPr>
          <w:rFonts w:asciiTheme="majorHAnsi" w:hAnsiTheme="majorHAnsi"/>
          <w:sz w:val="24"/>
          <w:szCs w:val="24"/>
        </w:rPr>
        <w:t xml:space="preserve"> and</w:t>
      </w:r>
      <w:r w:rsidR="0098020B" w:rsidRPr="00655E23">
        <w:rPr>
          <w:rFonts w:asciiTheme="majorHAnsi" w:hAnsiTheme="majorHAnsi"/>
          <w:sz w:val="24"/>
          <w:szCs w:val="24"/>
        </w:rPr>
        <w:t xml:space="preserve"> the granting or denial of a motion depends on whether a judge can </w:t>
      </w:r>
      <w:r w:rsidR="00445398" w:rsidRPr="00655E23">
        <w:rPr>
          <w:rFonts w:asciiTheme="majorHAnsi" w:hAnsiTheme="majorHAnsi"/>
          <w:sz w:val="24"/>
          <w:szCs w:val="24"/>
        </w:rPr>
        <w:t>comprehend</w:t>
      </w:r>
      <w:r w:rsidR="0098020B" w:rsidRPr="00655E23">
        <w:rPr>
          <w:rFonts w:asciiTheme="majorHAnsi" w:hAnsiTheme="majorHAnsi"/>
          <w:sz w:val="24"/>
          <w:szCs w:val="24"/>
        </w:rPr>
        <w:t xml:space="preserve"> a defendant’s perspective.  The result is that these laws have concerning implications for racial minorities’ rights to life.  </w:t>
      </w:r>
    </w:p>
    <w:p w:rsidR="00655E23" w:rsidRPr="00655E23" w:rsidRDefault="00655E23" w:rsidP="00655E23">
      <w:pPr>
        <w:jc w:val="both"/>
        <w:rPr>
          <w:rFonts w:asciiTheme="majorHAnsi" w:hAnsiTheme="majorHAnsi"/>
          <w:sz w:val="24"/>
          <w:szCs w:val="24"/>
        </w:rPr>
      </w:pPr>
    </w:p>
    <w:p w:rsidR="0098020B" w:rsidRPr="00655E23" w:rsidRDefault="0098020B" w:rsidP="00655E23">
      <w:pPr>
        <w:pStyle w:val="normal0"/>
        <w:numPr>
          <w:ilvl w:val="0"/>
          <w:numId w:val="7"/>
        </w:numPr>
        <w:spacing w:line="240" w:lineRule="auto"/>
        <w:jc w:val="both"/>
        <w:rPr>
          <w:rFonts w:asciiTheme="majorHAnsi" w:hAnsiTheme="majorHAnsi" w:cs="Times New Roman"/>
          <w:sz w:val="24"/>
          <w:szCs w:val="24"/>
          <w:u w:val="single"/>
        </w:rPr>
      </w:pPr>
      <w:r w:rsidRPr="00655E23">
        <w:rPr>
          <w:rFonts w:asciiTheme="majorHAnsi" w:hAnsiTheme="majorHAnsi" w:cs="Times New Roman"/>
          <w:sz w:val="24"/>
          <w:szCs w:val="24"/>
          <w:u w:val="single"/>
        </w:rPr>
        <w:t>Gender Bias in the Application of SYG Laws: an update on the Marissa Alexander case</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As our last shadow report indicated, the Marissa Alexander case exemplifies how SYG laws discriminate based on gender and race, perpetuating already existing racial and gender biases in the United States criminal justice system.  Her defense counsel’s SYG motions failed twice in the course of a long proc</w:t>
      </w:r>
      <w:r w:rsidR="00EA1B0B" w:rsidRPr="00655E23">
        <w:rPr>
          <w:rFonts w:asciiTheme="majorHAnsi" w:eastAsia="Times New Roman" w:hAnsiTheme="majorHAnsi" w:cs="Times New Roman"/>
          <w:color w:val="auto"/>
          <w:sz w:val="24"/>
          <w:szCs w:val="24"/>
        </w:rPr>
        <w:t>ess, the most recent of which was</w:t>
      </w:r>
      <w:r w:rsidRPr="00655E23">
        <w:rPr>
          <w:rFonts w:asciiTheme="majorHAnsi" w:eastAsia="Times New Roman" w:hAnsiTheme="majorHAnsi" w:cs="Times New Roman"/>
          <w:color w:val="auto"/>
          <w:sz w:val="24"/>
          <w:szCs w:val="24"/>
        </w:rPr>
        <w:t xml:space="preserve"> a rehearing of the case, where the prosecution decided to seek an increased consecutive sentence of 60 years for Alexander if convicted again. Faced with </w:t>
      </w:r>
      <w:r w:rsidR="00EA1B0B" w:rsidRPr="00655E23">
        <w:rPr>
          <w:rFonts w:asciiTheme="majorHAnsi" w:eastAsia="Times New Roman" w:hAnsiTheme="majorHAnsi" w:cs="Times New Roman"/>
          <w:color w:val="auto"/>
          <w:sz w:val="24"/>
          <w:szCs w:val="24"/>
        </w:rPr>
        <w:t>a</w:t>
      </w:r>
      <w:r w:rsidRPr="00655E23">
        <w:rPr>
          <w:rFonts w:asciiTheme="majorHAnsi" w:eastAsia="Times New Roman" w:hAnsiTheme="majorHAnsi" w:cs="Times New Roman"/>
          <w:color w:val="auto"/>
          <w:sz w:val="24"/>
          <w:szCs w:val="24"/>
        </w:rPr>
        <w:t xml:space="preserve"> potential 60-year sentence, Alexander pled guilty to assault in exchange for credit for time served and was released at the end of January 2015.</w:t>
      </w:r>
      <w:r w:rsidRPr="00655E23">
        <w:rPr>
          <w:rStyle w:val="EndnoteReference"/>
          <w:rFonts w:asciiTheme="majorHAnsi" w:eastAsia="Times New Roman" w:hAnsiTheme="majorHAnsi" w:cs="Times New Roman"/>
          <w:color w:val="auto"/>
          <w:sz w:val="24"/>
          <w:szCs w:val="24"/>
        </w:rPr>
        <w:endnoteReference w:id="19"/>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hAnsiTheme="majorHAnsi" w:cs="Times New Roman"/>
          <w:color w:val="auto"/>
          <w:sz w:val="24"/>
          <w:szCs w:val="24"/>
        </w:rPr>
      </w:pPr>
      <w:r w:rsidRPr="00655E23">
        <w:rPr>
          <w:rFonts w:asciiTheme="majorHAnsi" w:eastAsia="Times New Roman" w:hAnsiTheme="majorHAnsi" w:cs="Times New Roman"/>
          <w:color w:val="auto"/>
          <w:sz w:val="24"/>
          <w:szCs w:val="24"/>
        </w:rPr>
        <w:t xml:space="preserve">This case illustrates how the application of Florida SYG laws can be discriminatory as to race and gender because while the same prosecutor could not obtain a conviction for </w:t>
      </w:r>
      <w:proofErr w:type="spellStart"/>
      <w:r w:rsidRPr="00655E23">
        <w:rPr>
          <w:rFonts w:asciiTheme="majorHAnsi" w:eastAsia="Times New Roman" w:hAnsiTheme="majorHAnsi" w:cs="Times New Roman"/>
          <w:color w:val="auto"/>
          <w:sz w:val="24"/>
          <w:szCs w:val="24"/>
        </w:rPr>
        <w:t>Trayvon</w:t>
      </w:r>
      <w:proofErr w:type="spellEnd"/>
      <w:r w:rsidRPr="00655E23">
        <w:rPr>
          <w:rFonts w:asciiTheme="majorHAnsi" w:eastAsia="Times New Roman" w:hAnsiTheme="majorHAnsi" w:cs="Times New Roman"/>
          <w:color w:val="auto"/>
          <w:sz w:val="24"/>
          <w:szCs w:val="24"/>
        </w:rPr>
        <w:t xml:space="preserve"> Martin’s and initially Jordan Davis’ killers, it could bypass the SYG hurdle to convict a Black woman for her defensive threatened use of force. Indeed, if not for such biases, then Alexander’s actions should have been covered by Florida’s self-defense law pre-SYG, which incorporated the Castle doctrine through jurisprudence.</w:t>
      </w:r>
    </w:p>
    <w:p w:rsidR="0098020B" w:rsidRPr="00655E23" w:rsidRDefault="0098020B" w:rsidP="00655E23">
      <w:pPr>
        <w:pStyle w:val="normal0"/>
        <w:spacing w:line="240" w:lineRule="auto"/>
        <w:jc w:val="both"/>
        <w:rPr>
          <w:rFonts w:asciiTheme="majorHAnsi" w:hAnsiTheme="majorHAnsi" w:cs="Times New Roman"/>
          <w:sz w:val="24"/>
          <w:szCs w:val="24"/>
        </w:rPr>
      </w:pPr>
    </w:p>
    <w:p w:rsidR="0098020B" w:rsidRPr="00655E23" w:rsidRDefault="0098020B" w:rsidP="00655E23">
      <w:pPr>
        <w:pStyle w:val="normal0"/>
        <w:numPr>
          <w:ilvl w:val="0"/>
          <w:numId w:val="7"/>
        </w:numPr>
        <w:spacing w:line="240" w:lineRule="auto"/>
        <w:jc w:val="both"/>
        <w:rPr>
          <w:rFonts w:asciiTheme="majorHAnsi" w:hAnsiTheme="majorHAnsi" w:cs="Times New Roman"/>
          <w:sz w:val="24"/>
          <w:szCs w:val="24"/>
          <w:u w:val="single"/>
        </w:rPr>
      </w:pPr>
      <w:r w:rsidRPr="00655E23">
        <w:rPr>
          <w:rFonts w:asciiTheme="majorHAnsi" w:hAnsiTheme="majorHAnsi" w:cs="Times New Roman"/>
          <w:sz w:val="24"/>
          <w:szCs w:val="24"/>
          <w:u w:val="single"/>
        </w:rPr>
        <w:t>Update on the Status of SYG laws in the U.S.</w:t>
      </w:r>
    </w:p>
    <w:p w:rsidR="0098020B" w:rsidRPr="00655E23" w:rsidRDefault="0098020B" w:rsidP="00655E23">
      <w:pPr>
        <w:pStyle w:val="normal0"/>
        <w:spacing w:line="240" w:lineRule="auto"/>
        <w:jc w:val="both"/>
        <w:rPr>
          <w:rFonts w:asciiTheme="majorHAnsi" w:hAnsiTheme="majorHAnsi" w:cs="Times New Roman"/>
          <w:i/>
          <w:sz w:val="24"/>
          <w:szCs w:val="24"/>
        </w:rPr>
      </w:pPr>
      <w:r w:rsidRPr="00655E23">
        <w:rPr>
          <w:rFonts w:asciiTheme="majorHAnsi" w:hAnsiTheme="majorHAnsi" w:cs="Times New Roman"/>
          <w:i/>
          <w:sz w:val="24"/>
          <w:szCs w:val="24"/>
        </w:rPr>
        <w:t>Expansion of SYG Laws in Florida with Disturbing Implications</w:t>
      </w:r>
    </w:p>
    <w:p w:rsidR="00EA1B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lastRenderedPageBreak/>
        <w:t>Under the guise of addressing the “warning shot” issue raised by the Marissa Alexander case,</w:t>
      </w:r>
      <w:r w:rsidR="00655E23" w:rsidRPr="00655E23">
        <w:rPr>
          <w:rStyle w:val="EndnoteReference"/>
          <w:rFonts w:asciiTheme="majorHAnsi" w:eastAsia="Times New Roman" w:hAnsiTheme="majorHAnsi" w:cs="Times New Roman"/>
          <w:color w:val="auto"/>
          <w:sz w:val="24"/>
          <w:szCs w:val="24"/>
        </w:rPr>
        <w:endnoteReference w:id="20"/>
      </w:r>
      <w:r w:rsidRPr="00655E23">
        <w:rPr>
          <w:rFonts w:asciiTheme="majorHAnsi" w:eastAsia="Times New Roman" w:hAnsiTheme="majorHAnsi" w:cs="Times New Roman"/>
          <w:color w:val="auto"/>
          <w:sz w:val="24"/>
          <w:szCs w:val="24"/>
        </w:rPr>
        <w:t xml:space="preserve"> the Florida legislature passed a bill with the backing of the NRA that in reality expanded Florida SYG law. </w:t>
      </w:r>
      <w:r w:rsidR="00655E23" w:rsidRPr="00655E23">
        <w:rPr>
          <w:rFonts w:asciiTheme="majorHAnsi" w:eastAsia="Times New Roman" w:hAnsiTheme="majorHAnsi" w:cs="Times New Roman"/>
          <w:color w:val="auto"/>
          <w:sz w:val="24"/>
          <w:szCs w:val="24"/>
        </w:rPr>
        <w:t>Under the new law</w:t>
      </w:r>
      <w:r w:rsidRPr="00655E23">
        <w:rPr>
          <w:rFonts w:asciiTheme="majorHAnsi" w:eastAsia="Times New Roman" w:hAnsiTheme="majorHAnsi" w:cs="Times New Roman"/>
          <w:color w:val="auto"/>
          <w:sz w:val="24"/>
          <w:szCs w:val="24"/>
        </w:rPr>
        <w:t>, a defendant can claim immunity for even the threatened use of deadly force in self-defense.</w:t>
      </w:r>
      <w:r w:rsidRPr="00655E23">
        <w:rPr>
          <w:rStyle w:val="EndnoteReference"/>
          <w:rFonts w:asciiTheme="majorHAnsi" w:eastAsia="Times New Roman" w:hAnsiTheme="majorHAnsi" w:cs="Times New Roman"/>
          <w:color w:val="auto"/>
          <w:sz w:val="24"/>
          <w:szCs w:val="24"/>
        </w:rPr>
        <w:endnoteReference w:id="21"/>
      </w:r>
      <w:r w:rsidRPr="00655E23">
        <w:rPr>
          <w:rFonts w:asciiTheme="majorHAnsi" w:eastAsia="Times New Roman" w:hAnsiTheme="majorHAnsi" w:cs="Times New Roman"/>
          <w:color w:val="auto"/>
          <w:sz w:val="24"/>
          <w:szCs w:val="24"/>
        </w:rPr>
        <w:t xml:space="preserve">  Yet the statute does not define what “threatened use of force” means and or place any limitations on it.</w:t>
      </w:r>
      <w:r w:rsidRPr="00655E23">
        <w:rPr>
          <w:rFonts w:asciiTheme="majorHAnsi" w:eastAsia="Times New Roman" w:hAnsiTheme="majorHAnsi" w:cs="Times New Roman"/>
          <w:color w:val="auto"/>
          <w:sz w:val="24"/>
          <w:szCs w:val="24"/>
          <w:vertAlign w:val="superscript"/>
        </w:rPr>
        <w:endnoteReference w:id="22"/>
      </w:r>
      <w:r w:rsidRPr="00655E23">
        <w:rPr>
          <w:rFonts w:asciiTheme="majorHAnsi" w:eastAsia="Times New Roman" w:hAnsiTheme="majorHAnsi" w:cs="Times New Roman"/>
          <w:color w:val="auto"/>
          <w:sz w:val="24"/>
          <w:szCs w:val="24"/>
        </w:rPr>
        <w:t xml:space="preserve"> </w:t>
      </w:r>
      <w:r w:rsidR="00655E23" w:rsidRPr="00655E23">
        <w:rPr>
          <w:rFonts w:asciiTheme="majorHAnsi" w:eastAsia="Times New Roman" w:hAnsiTheme="majorHAnsi" w:cs="Times New Roman"/>
          <w:color w:val="auto"/>
          <w:sz w:val="24"/>
          <w:szCs w:val="24"/>
        </w:rPr>
        <w:t>T</w:t>
      </w:r>
      <w:r w:rsidRPr="00655E23">
        <w:rPr>
          <w:rFonts w:asciiTheme="majorHAnsi" w:eastAsia="Times New Roman" w:hAnsiTheme="majorHAnsi" w:cs="Times New Roman"/>
          <w:color w:val="auto"/>
          <w:sz w:val="24"/>
          <w:szCs w:val="24"/>
        </w:rPr>
        <w:t>he threatened use of deadly</w:t>
      </w:r>
      <w:r w:rsidR="00123416" w:rsidRPr="00655E23">
        <w:rPr>
          <w:rFonts w:asciiTheme="majorHAnsi" w:eastAsia="Times New Roman" w:hAnsiTheme="majorHAnsi" w:cs="Times New Roman"/>
          <w:color w:val="auto"/>
          <w:sz w:val="24"/>
          <w:szCs w:val="24"/>
        </w:rPr>
        <w:t xml:space="preserve"> force </w:t>
      </w:r>
      <w:r w:rsidRPr="00655E23">
        <w:rPr>
          <w:rFonts w:asciiTheme="majorHAnsi" w:eastAsia="Times New Roman" w:hAnsiTheme="majorHAnsi" w:cs="Times New Roman"/>
          <w:color w:val="auto"/>
          <w:sz w:val="24"/>
          <w:szCs w:val="24"/>
        </w:rPr>
        <w:t>opens the door for increased gun usage, which in turn may increase the rate of gun injuries and deaths, especially because one cannot be sure of the collateral consequences of firing a warning shot or other use of threatened force. This expansion of SYG in Florida’s self-defense laws is dangerous, as it is disposed to magnifying the existing issues with these laws</w:t>
      </w:r>
      <w:r w:rsidR="00655E23" w:rsidRPr="00655E23">
        <w:rPr>
          <w:rFonts w:asciiTheme="majorHAnsi" w:eastAsia="Times New Roman" w:hAnsiTheme="majorHAnsi" w:cs="Times New Roman"/>
          <w:color w:val="auto"/>
          <w:sz w:val="24"/>
          <w:szCs w:val="24"/>
        </w:rPr>
        <w:t>.</w:t>
      </w:r>
      <w:r w:rsidRPr="00655E23">
        <w:rPr>
          <w:rFonts w:asciiTheme="majorHAnsi" w:eastAsia="Times New Roman" w:hAnsiTheme="majorHAnsi" w:cs="Times New Roman"/>
          <w:color w:val="auto"/>
          <w:sz w:val="24"/>
          <w:szCs w:val="24"/>
        </w:rPr>
        <w:t xml:space="preserve">  Instead of encouraging conciliatory approaches to conflict, the law encourages escalation of conflict by offering immunity for the use and threatened use of deadly force.</w:t>
      </w:r>
      <w:r w:rsidRPr="00655E23">
        <w:rPr>
          <w:rStyle w:val="EndnoteReference"/>
          <w:rFonts w:asciiTheme="majorHAnsi" w:eastAsia="Times New Roman" w:hAnsiTheme="majorHAnsi" w:cs="Times New Roman"/>
          <w:color w:val="auto"/>
          <w:sz w:val="24"/>
          <w:szCs w:val="24"/>
        </w:rPr>
        <w:endnoteReference w:id="23"/>
      </w:r>
      <w:r w:rsidRPr="00655E23">
        <w:rPr>
          <w:rFonts w:asciiTheme="majorHAnsi" w:eastAsia="Times New Roman"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r w:rsidRPr="00655E23">
        <w:rPr>
          <w:rFonts w:asciiTheme="majorHAnsi" w:eastAsia="Times New Roman" w:hAnsiTheme="majorHAnsi" w:cs="Times New Roman"/>
          <w:color w:val="auto"/>
          <w:sz w:val="24"/>
          <w:szCs w:val="24"/>
        </w:rPr>
        <w:t xml:space="preserve">A recent case currently being considered by the Florida Supreme Court </w:t>
      </w:r>
      <w:r w:rsidR="00655E23" w:rsidRPr="00655E23">
        <w:rPr>
          <w:rFonts w:asciiTheme="majorHAnsi" w:eastAsia="Times New Roman" w:hAnsiTheme="majorHAnsi" w:cs="Times New Roman"/>
          <w:color w:val="auto"/>
          <w:sz w:val="24"/>
          <w:szCs w:val="24"/>
        </w:rPr>
        <w:t>has concerning implications for future abuse of the law</w:t>
      </w:r>
      <w:r w:rsidRPr="00655E23">
        <w:rPr>
          <w:rFonts w:asciiTheme="majorHAnsi" w:eastAsia="Times New Roman" w:hAnsiTheme="majorHAnsi" w:cs="Times New Roman"/>
          <w:color w:val="auto"/>
          <w:sz w:val="24"/>
          <w:szCs w:val="24"/>
        </w:rPr>
        <w:t xml:space="preserve">. In that case, a highway dispute in 2011 escalated to a point where the defendant Jared </w:t>
      </w:r>
      <w:proofErr w:type="spellStart"/>
      <w:r w:rsidRPr="00655E23">
        <w:rPr>
          <w:rFonts w:asciiTheme="majorHAnsi" w:eastAsia="Times New Roman" w:hAnsiTheme="majorHAnsi" w:cs="Times New Roman"/>
          <w:color w:val="auto"/>
          <w:sz w:val="24"/>
          <w:szCs w:val="24"/>
        </w:rPr>
        <w:t>Bretherick</w:t>
      </w:r>
      <w:proofErr w:type="spellEnd"/>
      <w:r w:rsidRPr="00655E23">
        <w:rPr>
          <w:rFonts w:asciiTheme="majorHAnsi" w:eastAsia="Times New Roman" w:hAnsiTheme="majorHAnsi" w:cs="Times New Roman"/>
          <w:color w:val="auto"/>
          <w:sz w:val="24"/>
          <w:szCs w:val="24"/>
        </w:rPr>
        <w:t xml:space="preserve"> used his father’s gun to hold the unarmed driver of the other car Ronald Dunning at gunpoint until the police arrived.</w:t>
      </w:r>
      <w:r w:rsidR="00655E23" w:rsidRPr="00655E23">
        <w:rPr>
          <w:rStyle w:val="EndnoteReference"/>
          <w:rFonts w:asciiTheme="majorHAnsi" w:eastAsia="Times New Roman" w:hAnsiTheme="majorHAnsi" w:cs="Times New Roman"/>
          <w:color w:val="auto"/>
          <w:sz w:val="24"/>
          <w:szCs w:val="24"/>
        </w:rPr>
        <w:endnoteReference w:id="24"/>
      </w:r>
      <w:r w:rsidRPr="00655E23">
        <w:rPr>
          <w:rFonts w:asciiTheme="majorHAnsi" w:eastAsia="Times New Roman" w:hAnsiTheme="majorHAnsi" w:cs="Times New Roman"/>
          <w:color w:val="auto"/>
          <w:sz w:val="24"/>
          <w:szCs w:val="24"/>
        </w:rPr>
        <w:t xml:space="preserve">  </w:t>
      </w:r>
      <w:proofErr w:type="spellStart"/>
      <w:r w:rsidRPr="00655E23">
        <w:rPr>
          <w:rFonts w:asciiTheme="majorHAnsi" w:eastAsia="Times New Roman" w:hAnsiTheme="majorHAnsi" w:cs="Times New Roman"/>
          <w:color w:val="auto"/>
          <w:sz w:val="24"/>
          <w:szCs w:val="24"/>
        </w:rPr>
        <w:t>Bretherick</w:t>
      </w:r>
      <w:proofErr w:type="spellEnd"/>
      <w:r w:rsidRPr="00655E23">
        <w:rPr>
          <w:rFonts w:asciiTheme="majorHAnsi" w:eastAsia="Times New Roman" w:hAnsiTheme="majorHAnsi" w:cs="Times New Roman"/>
          <w:color w:val="auto"/>
          <w:sz w:val="24"/>
          <w:szCs w:val="24"/>
        </w:rPr>
        <w:t xml:space="preserve">, who was charged with assault with a deadly </w:t>
      </w:r>
      <w:proofErr w:type="gramStart"/>
      <w:r w:rsidRPr="00655E23">
        <w:rPr>
          <w:rFonts w:asciiTheme="majorHAnsi" w:eastAsia="Times New Roman" w:hAnsiTheme="majorHAnsi" w:cs="Times New Roman"/>
          <w:color w:val="auto"/>
          <w:sz w:val="24"/>
          <w:szCs w:val="24"/>
        </w:rPr>
        <w:t>weapon</w:t>
      </w:r>
      <w:proofErr w:type="gramEnd"/>
      <w:r w:rsidRPr="00655E23">
        <w:rPr>
          <w:rFonts w:asciiTheme="majorHAnsi" w:eastAsia="Times New Roman" w:hAnsiTheme="majorHAnsi" w:cs="Times New Roman"/>
          <w:color w:val="auto"/>
          <w:sz w:val="24"/>
          <w:szCs w:val="24"/>
        </w:rPr>
        <w:t xml:space="preserve"> is appealing a judge’s denial of his SYG motion, arguing that the immunity offered by the law does not put the burden on the defendant to prove that s/he acted in self-defense but rather on the prosecution, which must prove that the defendant did </w:t>
      </w:r>
      <w:r w:rsidR="00655E23" w:rsidRPr="00655E23">
        <w:rPr>
          <w:rFonts w:asciiTheme="majorHAnsi" w:eastAsia="Times New Roman" w:hAnsiTheme="majorHAnsi" w:cs="Times New Roman"/>
          <w:i/>
          <w:color w:val="auto"/>
          <w:sz w:val="24"/>
          <w:szCs w:val="24"/>
        </w:rPr>
        <w:t>not</w:t>
      </w:r>
      <w:r w:rsidRPr="00655E23">
        <w:rPr>
          <w:rFonts w:asciiTheme="majorHAnsi" w:eastAsia="Times New Roman" w:hAnsiTheme="majorHAnsi" w:cs="Times New Roman"/>
          <w:color w:val="auto"/>
          <w:sz w:val="24"/>
          <w:szCs w:val="24"/>
        </w:rPr>
        <w:t xml:space="preserve"> act in self-defense. This modification of the burden of proof is expected to increase defense attorneys’ use of the motion even more</w:t>
      </w:r>
      <w:r w:rsidR="00655E23" w:rsidRPr="00655E23">
        <w:rPr>
          <w:rFonts w:asciiTheme="majorHAnsi" w:eastAsia="Times New Roman" w:hAnsiTheme="majorHAnsi" w:cs="Times New Roman"/>
          <w:color w:val="auto"/>
          <w:sz w:val="24"/>
          <w:szCs w:val="24"/>
        </w:rPr>
        <w:t xml:space="preserve"> to obtain</w:t>
      </w:r>
      <w:r w:rsidRPr="00655E23">
        <w:rPr>
          <w:rFonts w:asciiTheme="majorHAnsi" w:eastAsia="Times New Roman" w:hAnsiTheme="majorHAnsi" w:cs="Times New Roman"/>
          <w:color w:val="auto"/>
          <w:sz w:val="24"/>
          <w:szCs w:val="24"/>
        </w:rPr>
        <w:t xml:space="preserve"> immunity </w:t>
      </w:r>
      <w:r w:rsidR="00655E23" w:rsidRPr="00655E23">
        <w:rPr>
          <w:rFonts w:asciiTheme="majorHAnsi" w:eastAsia="Times New Roman" w:hAnsiTheme="majorHAnsi" w:cs="Times New Roman"/>
          <w:color w:val="auto"/>
          <w:sz w:val="24"/>
          <w:szCs w:val="24"/>
        </w:rPr>
        <w:t>for</w:t>
      </w:r>
      <w:r w:rsidRPr="00655E23">
        <w:rPr>
          <w:rFonts w:asciiTheme="majorHAnsi" w:eastAsia="Times New Roman" w:hAnsiTheme="majorHAnsi" w:cs="Times New Roman"/>
          <w:color w:val="auto"/>
          <w:sz w:val="24"/>
          <w:szCs w:val="24"/>
        </w:rPr>
        <w:t xml:space="preserve"> people who claim that they used or threatened to use deadly force in self-defense</w:t>
      </w:r>
      <w:r w:rsidR="00655E23" w:rsidRPr="00655E23">
        <w:rPr>
          <w:rFonts w:asciiTheme="majorHAnsi" w:eastAsia="Times New Roman" w:hAnsiTheme="majorHAnsi" w:cs="Times New Roman"/>
          <w:color w:val="auto"/>
          <w:sz w:val="24"/>
          <w:szCs w:val="24"/>
        </w:rPr>
        <w:t>, whether true or not</w:t>
      </w:r>
      <w:r w:rsidRPr="00655E23">
        <w:rPr>
          <w:rFonts w:asciiTheme="majorHAnsi" w:eastAsia="Times New Roman" w:hAnsiTheme="majorHAnsi" w:cs="Times New Roman"/>
          <w:color w:val="auto"/>
          <w:sz w:val="24"/>
          <w:szCs w:val="24"/>
        </w:rPr>
        <w:t>.</w:t>
      </w:r>
      <w:r w:rsidR="00655E23" w:rsidRPr="00655E23">
        <w:rPr>
          <w:rStyle w:val="EndnoteReference"/>
          <w:rFonts w:asciiTheme="majorHAnsi" w:eastAsia="Times New Roman" w:hAnsiTheme="majorHAnsi" w:cs="Times New Roman"/>
          <w:color w:val="auto"/>
          <w:sz w:val="24"/>
          <w:szCs w:val="24"/>
        </w:rPr>
        <w:endnoteReference w:id="25"/>
      </w:r>
      <w:r w:rsidRPr="00655E23">
        <w:rPr>
          <w:rFonts w:asciiTheme="majorHAnsi" w:eastAsia="Times New Roman"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spacing w:line="240" w:lineRule="auto"/>
        <w:jc w:val="both"/>
        <w:rPr>
          <w:rFonts w:asciiTheme="majorHAnsi" w:eastAsia="Times New Roman" w:hAnsiTheme="majorHAnsi" w:cs="Times New Roman"/>
          <w:i/>
          <w:color w:val="auto"/>
          <w:sz w:val="24"/>
          <w:szCs w:val="24"/>
        </w:rPr>
      </w:pPr>
      <w:r w:rsidRPr="00655E23">
        <w:rPr>
          <w:rFonts w:asciiTheme="majorHAnsi" w:eastAsia="Times New Roman" w:hAnsiTheme="majorHAnsi" w:cs="Times New Roman"/>
          <w:i/>
          <w:color w:val="auto"/>
          <w:sz w:val="24"/>
          <w:szCs w:val="24"/>
        </w:rPr>
        <w:t>Public support for repeal of SYG laws exists, however the status quo persists</w:t>
      </w:r>
    </w:p>
    <w:p w:rsidR="0098020B" w:rsidRPr="00655E23" w:rsidRDefault="0098020B" w:rsidP="00655E23">
      <w:pPr>
        <w:pStyle w:val="normal0"/>
        <w:spacing w:line="240" w:lineRule="auto"/>
        <w:jc w:val="both"/>
        <w:rPr>
          <w:rFonts w:asciiTheme="majorHAnsi" w:hAnsiTheme="majorHAnsi" w:cs="Times New Roman"/>
          <w:color w:val="auto"/>
          <w:sz w:val="24"/>
          <w:szCs w:val="24"/>
        </w:rPr>
      </w:pPr>
      <w:r w:rsidRPr="00655E23">
        <w:rPr>
          <w:rFonts w:asciiTheme="majorHAnsi" w:eastAsia="Times New Roman" w:hAnsiTheme="majorHAnsi" w:cs="Times New Roman"/>
          <w:color w:val="auto"/>
          <w:sz w:val="24"/>
          <w:szCs w:val="24"/>
        </w:rPr>
        <w:t>As mentioned above, even the 2014 ABA Report by the National Task Force on Stand Your Ground laws strongly recommends that that state legislatures amend or repeal SYG laws.</w:t>
      </w:r>
      <w:r w:rsidRPr="00655E23">
        <w:rPr>
          <w:rFonts w:asciiTheme="majorHAnsi" w:eastAsia="Times New Roman" w:hAnsiTheme="majorHAnsi" w:cs="Times New Roman"/>
          <w:color w:val="auto"/>
          <w:sz w:val="24"/>
          <w:szCs w:val="24"/>
          <w:vertAlign w:val="superscript"/>
        </w:rPr>
        <w:endnoteReference w:id="26"/>
      </w:r>
      <w:r w:rsidRPr="00655E23">
        <w:rPr>
          <w:rFonts w:asciiTheme="majorHAnsi" w:eastAsia="Times New Roman" w:hAnsiTheme="majorHAnsi" w:cs="Times New Roman"/>
          <w:color w:val="auto"/>
          <w:sz w:val="24"/>
          <w:szCs w:val="24"/>
        </w:rPr>
        <w:t xml:space="preserve"> This Report led to the ABA passing a resolution in February 2015 urging all federal</w:t>
      </w:r>
      <w:r w:rsidR="00655E23" w:rsidRPr="00655E23">
        <w:rPr>
          <w:rFonts w:asciiTheme="majorHAnsi" w:eastAsia="Times New Roman" w:hAnsiTheme="majorHAnsi" w:cs="Times New Roman"/>
          <w:color w:val="auto"/>
          <w:sz w:val="24"/>
          <w:szCs w:val="24"/>
        </w:rPr>
        <w:t xml:space="preserve"> and local</w:t>
      </w:r>
      <w:r w:rsidRPr="00655E23">
        <w:rPr>
          <w:rFonts w:asciiTheme="majorHAnsi" w:eastAsia="Times New Roman" w:hAnsiTheme="majorHAnsi" w:cs="Times New Roman"/>
          <w:color w:val="auto"/>
          <w:sz w:val="24"/>
          <w:szCs w:val="24"/>
        </w:rPr>
        <w:t xml:space="preserve"> legislative bodies and governmental agencies to refrain from enacting SYG laws or to repeal SYG laws.</w:t>
      </w:r>
      <w:r w:rsidRPr="00655E23">
        <w:rPr>
          <w:rFonts w:asciiTheme="majorHAnsi" w:eastAsia="Times New Roman" w:hAnsiTheme="majorHAnsi" w:cs="Times New Roman"/>
          <w:color w:val="auto"/>
          <w:sz w:val="24"/>
          <w:szCs w:val="24"/>
          <w:vertAlign w:val="superscript"/>
        </w:rPr>
        <w:endnoteReference w:id="27"/>
      </w:r>
      <w:r w:rsidRPr="00655E23">
        <w:rPr>
          <w:rFonts w:asciiTheme="majorHAnsi" w:eastAsia="Times New Roman" w:hAnsiTheme="majorHAnsi" w:cs="Times New Roman"/>
          <w:color w:val="auto"/>
          <w:sz w:val="24"/>
          <w:szCs w:val="24"/>
        </w:rPr>
        <w:t xml:space="preserve"> The resolution also encouraged the elimination of SYG civil immunity provisions that prevent victims and/or innocent bystanders and their families from seeking compensation and other civil remedies for injuries sustained, among other recommendations.</w:t>
      </w:r>
      <w:r w:rsidRPr="00655E23">
        <w:rPr>
          <w:rFonts w:asciiTheme="majorHAnsi" w:eastAsia="Times New Roman" w:hAnsiTheme="majorHAnsi" w:cs="Times New Roman"/>
          <w:color w:val="auto"/>
          <w:sz w:val="24"/>
          <w:szCs w:val="24"/>
          <w:vertAlign w:val="superscript"/>
        </w:rPr>
        <w:endnoteReference w:id="28"/>
      </w:r>
      <w:r w:rsidRPr="00655E23">
        <w:rPr>
          <w:rFonts w:asciiTheme="majorHAnsi" w:eastAsia="Times New Roman" w:hAnsiTheme="majorHAnsi" w:cs="Times New Roman"/>
          <w:color w:val="auto"/>
          <w:sz w:val="24"/>
          <w:szCs w:val="24"/>
        </w:rPr>
        <w:t xml:space="preserve"> </w:t>
      </w:r>
      <w:r w:rsidR="009C2A64" w:rsidRPr="00655E23">
        <w:rPr>
          <w:rFonts w:asciiTheme="majorHAnsi" w:eastAsia="Times New Roman" w:hAnsiTheme="majorHAnsi" w:cs="Times New Roman"/>
          <w:color w:val="auto"/>
          <w:sz w:val="24"/>
          <w:szCs w:val="24"/>
        </w:rPr>
        <w:t>T</w:t>
      </w:r>
      <w:r w:rsidRPr="00655E23">
        <w:rPr>
          <w:rFonts w:asciiTheme="majorHAnsi" w:eastAsia="Times New Roman" w:hAnsiTheme="majorHAnsi" w:cs="Times New Roman"/>
          <w:color w:val="auto"/>
          <w:sz w:val="24"/>
          <w:szCs w:val="24"/>
        </w:rPr>
        <w:t>h</w:t>
      </w:r>
      <w:r w:rsidR="009C2A64" w:rsidRPr="00655E23">
        <w:rPr>
          <w:rFonts w:asciiTheme="majorHAnsi" w:eastAsia="Times New Roman" w:hAnsiTheme="majorHAnsi" w:cs="Times New Roman"/>
          <w:color w:val="auto"/>
          <w:sz w:val="24"/>
          <w:szCs w:val="24"/>
        </w:rPr>
        <w:t>ough just a persuasive tool the</w:t>
      </w:r>
      <w:r w:rsidRPr="00655E23">
        <w:rPr>
          <w:rFonts w:asciiTheme="majorHAnsi" w:eastAsia="Times New Roman" w:hAnsiTheme="majorHAnsi" w:cs="Times New Roman"/>
          <w:color w:val="auto"/>
          <w:sz w:val="24"/>
          <w:szCs w:val="24"/>
        </w:rPr>
        <w:t xml:space="preserve"> report </w:t>
      </w:r>
      <w:r w:rsidR="009C2A64" w:rsidRPr="00655E23">
        <w:rPr>
          <w:rFonts w:asciiTheme="majorHAnsi" w:eastAsia="Times New Roman" w:hAnsiTheme="majorHAnsi" w:cs="Times New Roman"/>
          <w:color w:val="auto"/>
          <w:sz w:val="24"/>
          <w:szCs w:val="24"/>
        </w:rPr>
        <w:t>and resolution</w:t>
      </w:r>
      <w:r w:rsidRPr="00655E23">
        <w:rPr>
          <w:rFonts w:asciiTheme="majorHAnsi" w:eastAsia="Times New Roman" w:hAnsiTheme="majorHAnsi" w:cs="Times New Roman"/>
          <w:color w:val="auto"/>
          <w:sz w:val="24"/>
          <w:szCs w:val="24"/>
        </w:rPr>
        <w:t xml:space="preserve"> provide additional grounds and broader support for the swift repeal of SYG laws as the ABA is often seen to represent the ethics and values of the U.S. legal community.</w:t>
      </w:r>
      <w:r w:rsidRPr="00655E23">
        <w:rPr>
          <w:rStyle w:val="EndnoteReference"/>
          <w:rFonts w:asciiTheme="majorHAnsi" w:eastAsia="Times New Roman" w:hAnsiTheme="majorHAnsi" w:cs="Times New Roman"/>
          <w:color w:val="auto"/>
          <w:sz w:val="24"/>
          <w:szCs w:val="24"/>
        </w:rPr>
        <w:endnoteReference w:id="29"/>
      </w:r>
      <w:hyperlink r:id="rId18">
        <w:r w:rsidRPr="00655E23">
          <w:rPr>
            <w:rFonts w:asciiTheme="majorHAnsi" w:eastAsia="Times New Roman" w:hAnsiTheme="majorHAnsi" w:cs="Times New Roman"/>
            <w:color w:val="auto"/>
            <w:sz w:val="24"/>
            <w:szCs w:val="24"/>
          </w:rPr>
          <w:t xml:space="preserve"> </w:t>
        </w:r>
      </w:hyperlink>
      <w:r w:rsidRPr="00655E23">
        <w:rPr>
          <w:rFonts w:asciiTheme="majorHAnsi" w:hAnsiTheme="majorHAnsi" w:cs="Times New Roman"/>
          <w:color w:val="auto"/>
          <w:sz w:val="24"/>
          <w:szCs w:val="24"/>
        </w:rPr>
        <w:t xml:space="preserve"> </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C2A64" w:rsidP="00655E23">
      <w:pPr>
        <w:pStyle w:val="normal0"/>
        <w:spacing w:line="240" w:lineRule="auto"/>
        <w:jc w:val="both"/>
        <w:rPr>
          <w:rFonts w:asciiTheme="majorHAnsi" w:eastAsia="Times New Roman" w:hAnsiTheme="majorHAnsi" w:cs="Times New Roman"/>
          <w:i/>
          <w:color w:val="auto"/>
          <w:sz w:val="24"/>
          <w:szCs w:val="24"/>
        </w:rPr>
      </w:pPr>
      <w:r w:rsidRPr="00655E23">
        <w:rPr>
          <w:rFonts w:asciiTheme="majorHAnsi" w:eastAsia="Times New Roman" w:hAnsiTheme="majorHAnsi" w:cs="Times New Roman"/>
          <w:i/>
          <w:color w:val="auto"/>
          <w:sz w:val="24"/>
          <w:szCs w:val="24"/>
        </w:rPr>
        <w:t>Interference of</w:t>
      </w:r>
      <w:r w:rsidR="0098020B" w:rsidRPr="00655E23">
        <w:rPr>
          <w:rFonts w:asciiTheme="majorHAnsi" w:eastAsia="Times New Roman" w:hAnsiTheme="majorHAnsi" w:cs="Times New Roman"/>
          <w:i/>
          <w:color w:val="auto"/>
          <w:sz w:val="24"/>
          <w:szCs w:val="24"/>
        </w:rPr>
        <w:t xml:space="preserve"> special interests</w:t>
      </w:r>
    </w:p>
    <w:p w:rsidR="0098020B" w:rsidRPr="00655E23" w:rsidRDefault="0098020B" w:rsidP="00655E23">
      <w:pPr>
        <w:pStyle w:val="normal0"/>
        <w:spacing w:line="240" w:lineRule="auto"/>
        <w:jc w:val="both"/>
        <w:rPr>
          <w:rFonts w:asciiTheme="majorHAnsi" w:hAnsiTheme="majorHAnsi" w:cs="Times New Roman"/>
          <w:color w:val="auto"/>
          <w:sz w:val="24"/>
          <w:szCs w:val="24"/>
        </w:rPr>
      </w:pPr>
      <w:r w:rsidRPr="00655E23">
        <w:rPr>
          <w:rFonts w:asciiTheme="majorHAnsi" w:eastAsia="Times New Roman" w:hAnsiTheme="majorHAnsi" w:cs="Times New Roman"/>
          <w:color w:val="auto"/>
          <w:sz w:val="24"/>
          <w:szCs w:val="24"/>
        </w:rPr>
        <w:t xml:space="preserve">The status quo is largely upheld because state representatives have been heavily influenced by the </w:t>
      </w:r>
      <w:r w:rsidR="00655E23" w:rsidRPr="00655E23">
        <w:rPr>
          <w:rFonts w:asciiTheme="majorHAnsi" w:eastAsia="Times New Roman" w:hAnsiTheme="majorHAnsi" w:cs="Times New Roman"/>
          <w:color w:val="auto"/>
          <w:sz w:val="24"/>
          <w:szCs w:val="24"/>
        </w:rPr>
        <w:t>NRA’s</w:t>
      </w:r>
      <w:r w:rsidRPr="00655E23">
        <w:rPr>
          <w:rFonts w:asciiTheme="majorHAnsi" w:eastAsia="Times New Roman" w:hAnsiTheme="majorHAnsi" w:cs="Times New Roman"/>
          <w:color w:val="auto"/>
          <w:sz w:val="24"/>
          <w:szCs w:val="24"/>
        </w:rPr>
        <w:t xml:space="preserve"> lobbying efforts, which promote the right to hold a firearm. Though some state legislators attempted to repeal or limit SYG laws, these attempts have been unsuccessful.</w:t>
      </w:r>
      <w:r w:rsidRPr="00655E23">
        <w:rPr>
          <w:rFonts w:asciiTheme="majorHAnsi" w:eastAsia="Times New Roman" w:hAnsiTheme="majorHAnsi" w:cs="Times New Roman"/>
          <w:color w:val="auto"/>
          <w:sz w:val="24"/>
          <w:szCs w:val="24"/>
          <w:vertAlign w:val="superscript"/>
        </w:rPr>
        <w:endnoteReference w:id="30"/>
      </w:r>
      <w:r w:rsidRPr="00655E23">
        <w:rPr>
          <w:rFonts w:asciiTheme="majorHAnsi" w:eastAsia="Times New Roman" w:hAnsiTheme="majorHAnsi" w:cs="Times New Roman"/>
          <w:color w:val="auto"/>
          <w:sz w:val="24"/>
          <w:szCs w:val="24"/>
        </w:rPr>
        <w:t xml:space="preserve"> Despite campaign efforts and numerous proposals to amend current SYG legislation in several states, special interest groups like the NRA make it </w:t>
      </w:r>
      <w:r w:rsidRPr="00655E23">
        <w:rPr>
          <w:rFonts w:asciiTheme="majorHAnsi" w:eastAsia="Times New Roman" w:hAnsiTheme="majorHAnsi" w:cs="Times New Roman"/>
          <w:color w:val="auto"/>
          <w:sz w:val="24"/>
          <w:szCs w:val="24"/>
        </w:rPr>
        <w:lastRenderedPageBreak/>
        <w:t>nearly impossible for these bills to pass through state legislatures. More direction and creative tools must be employed at the federal level to change this dynamic.</w:t>
      </w:r>
    </w:p>
    <w:p w:rsidR="0098020B" w:rsidRPr="00655E23" w:rsidRDefault="0098020B" w:rsidP="00655E23">
      <w:pPr>
        <w:pStyle w:val="normal0"/>
        <w:spacing w:line="240" w:lineRule="auto"/>
        <w:jc w:val="both"/>
        <w:rPr>
          <w:rFonts w:asciiTheme="majorHAnsi" w:eastAsia="Times New Roman" w:hAnsiTheme="majorHAnsi" w:cs="Times New Roman"/>
          <w:color w:val="auto"/>
          <w:sz w:val="24"/>
          <w:szCs w:val="24"/>
        </w:rPr>
      </w:pPr>
    </w:p>
    <w:p w:rsidR="0098020B" w:rsidRPr="00655E23" w:rsidRDefault="0098020B" w:rsidP="00655E23">
      <w:pPr>
        <w:pStyle w:val="normal0"/>
        <w:numPr>
          <w:ilvl w:val="0"/>
          <w:numId w:val="7"/>
        </w:numPr>
        <w:spacing w:line="240" w:lineRule="auto"/>
        <w:jc w:val="both"/>
        <w:rPr>
          <w:rFonts w:asciiTheme="majorHAnsi" w:hAnsiTheme="majorHAnsi" w:cs="Times New Roman"/>
          <w:sz w:val="24"/>
          <w:szCs w:val="24"/>
          <w:u w:val="single"/>
        </w:rPr>
      </w:pPr>
      <w:r w:rsidRPr="00655E23">
        <w:rPr>
          <w:rFonts w:asciiTheme="majorHAnsi" w:hAnsiTheme="majorHAnsi" w:cs="Times New Roman"/>
          <w:sz w:val="24"/>
          <w:szCs w:val="24"/>
          <w:u w:val="single"/>
        </w:rPr>
        <w:t>The next wave of gun proliferation laws – guns on campus laws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The overwhelming majority of the more than 4,300 colleges and universities in the United States prohibit students, faculty and visitors from carrying concealed handguns on campus. Following mass shootings at Virginia Tech (2007) and Northern Illinois University (2008), however, special interest groups, most notably the American Legislative Exchange Council (ALEC), the NRA, and state-level affiliates, began promoting legislation removing the authority of a college or university to regulate firearms policies.  </w:t>
      </w:r>
    </w:p>
    <w:p w:rsidR="0098020B" w:rsidRPr="00655E23" w:rsidRDefault="0098020B" w:rsidP="00655E23">
      <w:pPr>
        <w:jc w:val="both"/>
        <w:rPr>
          <w:rFonts w:asciiTheme="majorHAnsi" w:hAnsiTheme="majorHAnsi"/>
          <w:sz w:val="24"/>
          <w:szCs w:val="24"/>
        </w:rPr>
      </w:pP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Over the last several years, legislation in 40 states across the country has been introduced that would amend state laws to allow any concealed carry permit holder to carry hidden and loaded firearms on both two and four-year college and university campuses. </w:t>
      </w:r>
      <w:r w:rsidR="00655E23" w:rsidRPr="00655E23">
        <w:rPr>
          <w:rFonts w:asciiTheme="majorHAnsi" w:hAnsiTheme="majorHAnsi"/>
          <w:sz w:val="24"/>
          <w:szCs w:val="24"/>
        </w:rPr>
        <w:t>There are several adverse implications for these laws.</w:t>
      </w:r>
    </w:p>
    <w:p w:rsidR="0098020B" w:rsidRPr="00655E23" w:rsidRDefault="0098020B" w:rsidP="00655E23">
      <w:pPr>
        <w:jc w:val="both"/>
        <w:rPr>
          <w:rFonts w:asciiTheme="majorHAnsi" w:hAnsiTheme="majorHAnsi"/>
          <w:sz w:val="24"/>
          <w:szCs w:val="24"/>
        </w:rPr>
      </w:pPr>
    </w:p>
    <w:p w:rsidR="0098020B" w:rsidRPr="00655E23" w:rsidRDefault="0098020B" w:rsidP="00655E23">
      <w:pPr>
        <w:jc w:val="both"/>
        <w:rPr>
          <w:rFonts w:asciiTheme="majorHAnsi" w:hAnsiTheme="majorHAnsi"/>
          <w:i/>
          <w:sz w:val="24"/>
          <w:szCs w:val="24"/>
        </w:rPr>
      </w:pPr>
      <w:r w:rsidRPr="00655E23">
        <w:rPr>
          <w:rFonts w:asciiTheme="majorHAnsi" w:hAnsiTheme="majorHAnsi"/>
          <w:i/>
          <w:sz w:val="24"/>
          <w:szCs w:val="24"/>
        </w:rPr>
        <w:t xml:space="preserve">Increased risk of suicide </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Suicide is the second leading cause of death for college age young adults, exceeded only by accidental death (primarily caused by motor vehicle accidents). On average, about 1,100 college students commit suicide each year while another 24,000 attempt suicide.</w:t>
      </w:r>
      <w:r w:rsidRPr="00655E23">
        <w:rPr>
          <w:rStyle w:val="EndnoteReference"/>
          <w:rFonts w:asciiTheme="majorHAnsi" w:hAnsiTheme="majorHAnsi"/>
          <w:sz w:val="24"/>
          <w:szCs w:val="24"/>
        </w:rPr>
        <w:endnoteReference w:id="31"/>
      </w:r>
      <w:r w:rsidRPr="00655E23">
        <w:rPr>
          <w:rFonts w:asciiTheme="majorHAnsi" w:hAnsiTheme="majorHAnsi"/>
          <w:sz w:val="24"/>
          <w:szCs w:val="24"/>
        </w:rPr>
        <w:t xml:space="preserve"> Whereas suicide attempts by overdosing on drugs (the most common method) are fatal only about 3% of the time, suicide attempts with firearms are fatal more than 90% of the time. The increased availability of firearms to college students increases the chance that the suicide attempts will be fatal.</w:t>
      </w:r>
    </w:p>
    <w:p w:rsidR="0098020B" w:rsidRPr="00655E23" w:rsidRDefault="0098020B" w:rsidP="00655E23">
      <w:pPr>
        <w:jc w:val="both"/>
        <w:rPr>
          <w:rFonts w:asciiTheme="majorHAnsi" w:hAnsiTheme="majorHAnsi"/>
          <w:b/>
          <w:sz w:val="24"/>
          <w:szCs w:val="24"/>
          <w:u w:val="single"/>
        </w:rPr>
      </w:pPr>
    </w:p>
    <w:p w:rsidR="0098020B" w:rsidRPr="00655E23" w:rsidRDefault="0098020B" w:rsidP="00655E23">
      <w:pPr>
        <w:jc w:val="both"/>
        <w:rPr>
          <w:rFonts w:asciiTheme="majorHAnsi" w:hAnsiTheme="majorHAnsi"/>
          <w:sz w:val="24"/>
          <w:szCs w:val="24"/>
        </w:rPr>
      </w:pPr>
      <w:r w:rsidRPr="00655E23">
        <w:rPr>
          <w:rFonts w:asciiTheme="majorHAnsi" w:hAnsiTheme="majorHAnsi"/>
          <w:i/>
          <w:sz w:val="24"/>
          <w:szCs w:val="24"/>
        </w:rPr>
        <w:t>Intersection with Stand Your Ground statutes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Students of </w:t>
      </w:r>
      <w:proofErr w:type="spellStart"/>
      <w:r w:rsidRPr="00655E23">
        <w:rPr>
          <w:rFonts w:asciiTheme="majorHAnsi" w:hAnsiTheme="majorHAnsi"/>
          <w:sz w:val="24"/>
          <w:szCs w:val="24"/>
        </w:rPr>
        <w:t>color</w:t>
      </w:r>
      <w:proofErr w:type="spellEnd"/>
      <w:r w:rsidRPr="00655E23">
        <w:rPr>
          <w:rFonts w:asciiTheme="majorHAnsi" w:hAnsiTheme="majorHAnsi"/>
          <w:sz w:val="24"/>
          <w:szCs w:val="24"/>
        </w:rPr>
        <w:t xml:space="preserve"> have expressed particular concern over this type of legislation because of the way it interplays with Stand Your Ground laws. Florida is one state in which students of </w:t>
      </w:r>
      <w:proofErr w:type="spellStart"/>
      <w:r w:rsidRPr="00655E23">
        <w:rPr>
          <w:rFonts w:asciiTheme="majorHAnsi" w:hAnsiTheme="majorHAnsi"/>
          <w:sz w:val="24"/>
          <w:szCs w:val="24"/>
        </w:rPr>
        <w:t>color</w:t>
      </w:r>
      <w:proofErr w:type="spellEnd"/>
      <w:r w:rsidRPr="00655E23">
        <w:rPr>
          <w:rFonts w:asciiTheme="majorHAnsi" w:hAnsiTheme="majorHAnsi"/>
          <w:sz w:val="24"/>
          <w:szCs w:val="24"/>
        </w:rPr>
        <w:t xml:space="preserve"> mobilized to oppose this type of legislation.  Their concerns stem from the fact that most public universities in the state are predominantly white institutions and the majority of concealed carry permit holders are also white, and therefore their particular concerns for their safety are often drowned out by a predominant belief that guns can promote safety.  Specifically, students fear that, when taken together with the SYG law that allows individuals to use deadly force based on subjective fears, permitting concealed arms on campuses will place their lives at greater risks given the prevalence of implicit bias.  </w:t>
      </w:r>
    </w:p>
    <w:p w:rsidR="0098020B" w:rsidRPr="00655E23" w:rsidRDefault="0098020B" w:rsidP="00655E23">
      <w:pPr>
        <w:jc w:val="both"/>
        <w:rPr>
          <w:rFonts w:asciiTheme="majorHAnsi" w:hAnsiTheme="majorHAnsi"/>
          <w:sz w:val="24"/>
          <w:szCs w:val="24"/>
        </w:rPr>
      </w:pPr>
    </w:p>
    <w:p w:rsidR="0098020B" w:rsidRPr="00655E23" w:rsidRDefault="0098020B" w:rsidP="00655E23">
      <w:pPr>
        <w:jc w:val="both"/>
        <w:rPr>
          <w:rFonts w:asciiTheme="majorHAnsi" w:hAnsiTheme="majorHAnsi"/>
          <w:i/>
          <w:sz w:val="24"/>
          <w:szCs w:val="24"/>
        </w:rPr>
      </w:pPr>
      <w:r w:rsidRPr="00655E23">
        <w:rPr>
          <w:rFonts w:asciiTheme="majorHAnsi" w:hAnsiTheme="majorHAnsi"/>
          <w:i/>
          <w:sz w:val="24"/>
          <w:szCs w:val="24"/>
        </w:rPr>
        <w:t>Campus Rape/Sexual Assaults</w:t>
      </w:r>
    </w:p>
    <w:p w:rsidR="0098020B" w:rsidRPr="00655E23" w:rsidRDefault="0098020B" w:rsidP="00655E23">
      <w:pPr>
        <w:jc w:val="both"/>
        <w:rPr>
          <w:rFonts w:asciiTheme="majorHAnsi" w:hAnsiTheme="majorHAnsi"/>
          <w:sz w:val="24"/>
          <w:szCs w:val="24"/>
        </w:rPr>
      </w:pPr>
      <w:r w:rsidRPr="00655E23">
        <w:rPr>
          <w:rFonts w:asciiTheme="majorHAnsi" w:hAnsiTheme="majorHAnsi"/>
          <w:sz w:val="24"/>
          <w:szCs w:val="24"/>
        </w:rPr>
        <w:t>The majority of campus rape/sexual assaults occur among people known to each other (therefore limiting the possibility that the victim would be carrying a firearm at the time of the rape</w:t>
      </w:r>
      <w:r w:rsidRPr="00655E23">
        <w:rPr>
          <w:rStyle w:val="EndnoteReference"/>
          <w:rFonts w:asciiTheme="majorHAnsi" w:hAnsiTheme="majorHAnsi"/>
          <w:sz w:val="24"/>
          <w:szCs w:val="24"/>
        </w:rPr>
        <w:t xml:space="preserve"> </w:t>
      </w:r>
      <w:r w:rsidRPr="00655E23">
        <w:rPr>
          <w:rFonts w:asciiTheme="majorHAnsi" w:hAnsiTheme="majorHAnsi"/>
          <w:sz w:val="24"/>
          <w:szCs w:val="24"/>
        </w:rPr>
        <w:t>) with almost half of the student victims reporting that the offender was under the influence of drugs or alcohol at the time of the attack. Approximately one in ten rape and sexual assault victimizations against college-age females involved a weapon.</w:t>
      </w:r>
      <w:r w:rsidRPr="00655E23">
        <w:rPr>
          <w:rStyle w:val="EndnoteReference"/>
          <w:rFonts w:asciiTheme="majorHAnsi" w:hAnsiTheme="majorHAnsi"/>
          <w:sz w:val="24"/>
          <w:szCs w:val="24"/>
        </w:rPr>
        <w:endnoteReference w:id="32"/>
      </w:r>
      <w:r w:rsidRPr="00655E23">
        <w:rPr>
          <w:rFonts w:asciiTheme="majorHAnsi" w:hAnsiTheme="majorHAnsi"/>
          <w:sz w:val="24"/>
          <w:szCs w:val="24"/>
        </w:rPr>
        <w:t xml:space="preserve"> The most likely combination of factors surrounding sexual assaults on </w:t>
      </w:r>
      <w:r w:rsidRPr="00655E23">
        <w:rPr>
          <w:rFonts w:asciiTheme="majorHAnsi" w:hAnsiTheme="majorHAnsi"/>
          <w:sz w:val="24"/>
          <w:szCs w:val="24"/>
        </w:rPr>
        <w:lastRenderedPageBreak/>
        <w:t>campus, including the presence of drugs and/or alcohol at the time of an attack,</w:t>
      </w:r>
      <w:r w:rsidR="009C2A64" w:rsidRPr="00655E23">
        <w:rPr>
          <w:rStyle w:val="EndnoteReference"/>
          <w:rFonts w:asciiTheme="majorHAnsi" w:hAnsiTheme="majorHAnsi"/>
          <w:sz w:val="24"/>
          <w:szCs w:val="24"/>
        </w:rPr>
        <w:endnoteReference w:id="33"/>
      </w:r>
      <w:r w:rsidRPr="00655E23">
        <w:rPr>
          <w:rFonts w:asciiTheme="majorHAnsi" w:hAnsiTheme="majorHAnsi"/>
          <w:sz w:val="24"/>
          <w:szCs w:val="24"/>
        </w:rPr>
        <w:t xml:space="preserve"> indicates that a defensive use of firearms to successfully thwart an offender would be rare.  In addition, legislation allowing for the carrying of firearms on campuses would arm perpetrators and victims alike. </w:t>
      </w:r>
    </w:p>
    <w:p w:rsidR="0098020B" w:rsidRPr="00655E23" w:rsidRDefault="0098020B" w:rsidP="00655E23">
      <w:pPr>
        <w:jc w:val="both"/>
        <w:rPr>
          <w:rFonts w:asciiTheme="majorHAnsi" w:hAnsiTheme="majorHAnsi"/>
          <w:sz w:val="24"/>
          <w:szCs w:val="24"/>
        </w:rPr>
      </w:pPr>
    </w:p>
    <w:p w:rsidR="00293C72" w:rsidRPr="00655E23" w:rsidRDefault="0098020B" w:rsidP="00655E23">
      <w:pPr>
        <w:jc w:val="both"/>
        <w:rPr>
          <w:rFonts w:asciiTheme="majorHAnsi" w:hAnsiTheme="majorHAnsi"/>
          <w:sz w:val="24"/>
          <w:szCs w:val="24"/>
        </w:rPr>
      </w:pPr>
      <w:r w:rsidRPr="00655E23">
        <w:rPr>
          <w:rFonts w:asciiTheme="majorHAnsi" w:hAnsiTheme="majorHAnsi"/>
          <w:sz w:val="24"/>
          <w:szCs w:val="24"/>
        </w:rPr>
        <w:t xml:space="preserve">According to the Violence Policy </w:t>
      </w:r>
      <w:proofErr w:type="spellStart"/>
      <w:r w:rsidRPr="00655E23">
        <w:rPr>
          <w:rFonts w:asciiTheme="majorHAnsi" w:hAnsiTheme="majorHAnsi"/>
          <w:sz w:val="24"/>
          <w:szCs w:val="24"/>
        </w:rPr>
        <w:t>Center</w:t>
      </w:r>
      <w:proofErr w:type="spellEnd"/>
      <w:r w:rsidRPr="00655E23">
        <w:rPr>
          <w:rFonts w:asciiTheme="majorHAnsi" w:hAnsiTheme="majorHAnsi"/>
          <w:sz w:val="24"/>
          <w:szCs w:val="24"/>
        </w:rPr>
        <w:t>, a growing body of evidence suggests that allowing private citizens to carry concealed handguns in public presents increased risk to public safety and, furthermore, does not reduce crime rates.</w:t>
      </w:r>
      <w:r w:rsidRPr="00655E23">
        <w:rPr>
          <w:rStyle w:val="EndnoteReference"/>
          <w:rFonts w:asciiTheme="majorHAnsi" w:hAnsiTheme="majorHAnsi"/>
          <w:sz w:val="24"/>
          <w:szCs w:val="24"/>
        </w:rPr>
        <w:endnoteReference w:id="34"/>
      </w:r>
      <w:r w:rsidRPr="00655E23">
        <w:rPr>
          <w:rFonts w:asciiTheme="majorHAnsi" w:hAnsiTheme="majorHAnsi"/>
          <w:sz w:val="24"/>
          <w:szCs w:val="24"/>
        </w:rPr>
        <w:t xml:space="preserve"> </w:t>
      </w:r>
      <w:r w:rsidR="00BE236B" w:rsidRPr="00655E23">
        <w:rPr>
          <w:rFonts w:asciiTheme="majorHAnsi" w:hAnsiTheme="majorHAnsi"/>
          <w:sz w:val="24"/>
          <w:szCs w:val="24"/>
        </w:rPr>
        <w:t>Laws that mandate t</w:t>
      </w:r>
      <w:r w:rsidR="00293C72" w:rsidRPr="00655E23">
        <w:rPr>
          <w:rFonts w:asciiTheme="majorHAnsi" w:hAnsiTheme="majorHAnsi"/>
          <w:sz w:val="24"/>
          <w:szCs w:val="24"/>
        </w:rPr>
        <w:t>he removal of the authority of higher education administrators and campus law enforcement to establish campus security policies, by state lawmakers</w:t>
      </w:r>
      <w:r w:rsidR="00BE236B" w:rsidRPr="00655E23">
        <w:rPr>
          <w:rFonts w:asciiTheme="majorHAnsi" w:hAnsiTheme="majorHAnsi"/>
          <w:sz w:val="24"/>
          <w:szCs w:val="24"/>
        </w:rPr>
        <w:t xml:space="preserve"> have troubling implications for the right to life, particularly for students of </w:t>
      </w:r>
      <w:proofErr w:type="spellStart"/>
      <w:r w:rsidR="00BE236B" w:rsidRPr="00655E23">
        <w:rPr>
          <w:rFonts w:asciiTheme="majorHAnsi" w:hAnsiTheme="majorHAnsi"/>
          <w:sz w:val="24"/>
          <w:szCs w:val="24"/>
        </w:rPr>
        <w:t>color</w:t>
      </w:r>
      <w:proofErr w:type="spellEnd"/>
      <w:r w:rsidR="00BE236B" w:rsidRPr="00655E23">
        <w:rPr>
          <w:rFonts w:asciiTheme="majorHAnsi" w:hAnsiTheme="majorHAnsi"/>
          <w:sz w:val="24"/>
          <w:szCs w:val="24"/>
        </w:rPr>
        <w:t xml:space="preserve"> who already do not feel secure walking down the street because of the </w:t>
      </w:r>
      <w:proofErr w:type="spellStart"/>
      <w:r w:rsidR="00BE236B" w:rsidRPr="00655E23">
        <w:rPr>
          <w:rFonts w:asciiTheme="majorHAnsi" w:hAnsiTheme="majorHAnsi"/>
          <w:sz w:val="24"/>
          <w:szCs w:val="24"/>
        </w:rPr>
        <w:t>color</w:t>
      </w:r>
      <w:proofErr w:type="spellEnd"/>
      <w:r w:rsidR="00BE236B" w:rsidRPr="00655E23">
        <w:rPr>
          <w:rFonts w:asciiTheme="majorHAnsi" w:hAnsiTheme="majorHAnsi"/>
          <w:sz w:val="24"/>
          <w:szCs w:val="24"/>
        </w:rPr>
        <w:t xml:space="preserve"> of their skin.  When put together with the immunity afforded by SYG laws for the use or threatened use of deadly</w:t>
      </w:r>
      <w:r w:rsidR="00616868" w:rsidRPr="00655E23">
        <w:rPr>
          <w:rFonts w:asciiTheme="majorHAnsi" w:hAnsiTheme="majorHAnsi"/>
          <w:sz w:val="24"/>
          <w:szCs w:val="24"/>
        </w:rPr>
        <w:t xml:space="preserve"> force</w:t>
      </w:r>
      <w:r w:rsidR="00BE236B" w:rsidRPr="00655E23">
        <w:rPr>
          <w:rFonts w:asciiTheme="majorHAnsi" w:hAnsiTheme="majorHAnsi"/>
          <w:sz w:val="24"/>
          <w:szCs w:val="24"/>
        </w:rPr>
        <w:t xml:space="preserve"> that can embolden gun holders, students of </w:t>
      </w:r>
      <w:proofErr w:type="spellStart"/>
      <w:r w:rsidR="00BE236B" w:rsidRPr="00655E23">
        <w:rPr>
          <w:rFonts w:asciiTheme="majorHAnsi" w:hAnsiTheme="majorHAnsi"/>
          <w:sz w:val="24"/>
          <w:szCs w:val="24"/>
        </w:rPr>
        <w:t>color</w:t>
      </w:r>
      <w:proofErr w:type="spellEnd"/>
      <w:r w:rsidR="00BE236B" w:rsidRPr="00655E23">
        <w:rPr>
          <w:rFonts w:asciiTheme="majorHAnsi" w:hAnsiTheme="majorHAnsi"/>
          <w:sz w:val="24"/>
          <w:szCs w:val="24"/>
        </w:rPr>
        <w:t xml:space="preserve"> feel that these laws will expand the places in which their life is threatened by people who </w:t>
      </w:r>
      <w:proofErr w:type="spellStart"/>
      <w:r w:rsidR="00BE236B" w:rsidRPr="00655E23">
        <w:rPr>
          <w:rFonts w:asciiTheme="majorHAnsi" w:hAnsiTheme="majorHAnsi"/>
          <w:sz w:val="24"/>
          <w:szCs w:val="24"/>
        </w:rPr>
        <w:t>harbor</w:t>
      </w:r>
      <w:proofErr w:type="spellEnd"/>
      <w:r w:rsidR="00BE236B" w:rsidRPr="00655E23">
        <w:rPr>
          <w:rFonts w:asciiTheme="majorHAnsi" w:hAnsiTheme="majorHAnsi"/>
          <w:sz w:val="24"/>
          <w:szCs w:val="24"/>
        </w:rPr>
        <w:t xml:space="preserve"> racial biases.</w:t>
      </w:r>
    </w:p>
    <w:p w:rsidR="0090348F" w:rsidRPr="00655E23" w:rsidRDefault="0090348F" w:rsidP="00655E23">
      <w:pPr>
        <w:pStyle w:val="normal0"/>
        <w:spacing w:line="240" w:lineRule="auto"/>
        <w:jc w:val="both"/>
        <w:rPr>
          <w:rFonts w:asciiTheme="majorHAnsi" w:eastAsia="Times New Roman" w:hAnsiTheme="majorHAnsi" w:cs="Times New Roman"/>
          <w:color w:val="auto"/>
          <w:sz w:val="24"/>
          <w:szCs w:val="24"/>
        </w:rPr>
      </w:pPr>
    </w:p>
    <w:p w:rsidR="00DA0587" w:rsidRPr="00655E23" w:rsidRDefault="0090348F" w:rsidP="00655E23">
      <w:pPr>
        <w:pStyle w:val="ListParagraph"/>
        <w:numPr>
          <w:ilvl w:val="0"/>
          <w:numId w:val="3"/>
        </w:numPr>
        <w:jc w:val="both"/>
        <w:rPr>
          <w:rFonts w:asciiTheme="majorHAnsi" w:hAnsiTheme="majorHAnsi"/>
          <w:b/>
          <w:sz w:val="24"/>
          <w:szCs w:val="24"/>
        </w:rPr>
      </w:pPr>
      <w:r w:rsidRPr="00655E23">
        <w:rPr>
          <w:rFonts w:asciiTheme="majorHAnsi" w:hAnsiTheme="majorHAnsi"/>
          <w:b/>
          <w:sz w:val="24"/>
          <w:szCs w:val="24"/>
        </w:rPr>
        <w:t xml:space="preserve">Impact of the Action of the State party </w:t>
      </w:r>
      <w:r w:rsidR="00655E23" w:rsidRPr="00655E23">
        <w:rPr>
          <w:rFonts w:asciiTheme="majorHAnsi" w:hAnsiTheme="majorHAnsi"/>
          <w:b/>
          <w:sz w:val="24"/>
          <w:szCs w:val="24"/>
        </w:rPr>
        <w:t>on issue</w:t>
      </w:r>
      <w:r w:rsidR="00655E23">
        <w:rPr>
          <w:rFonts w:asciiTheme="majorHAnsi" w:hAnsiTheme="majorHAnsi"/>
          <w:b/>
          <w:sz w:val="24"/>
          <w:szCs w:val="24"/>
        </w:rPr>
        <w:t xml:space="preserve"> and Recommendations</w:t>
      </w:r>
    </w:p>
    <w:p w:rsidR="0098020B" w:rsidRPr="00655E23" w:rsidRDefault="00DA0587" w:rsidP="00655E23">
      <w:pPr>
        <w:jc w:val="both"/>
        <w:rPr>
          <w:rFonts w:asciiTheme="majorHAnsi" w:hAnsiTheme="majorHAnsi"/>
          <w:sz w:val="24"/>
          <w:szCs w:val="24"/>
        </w:rPr>
      </w:pPr>
      <w:r w:rsidRPr="00655E23">
        <w:rPr>
          <w:rFonts w:asciiTheme="majorHAnsi" w:hAnsiTheme="majorHAnsi"/>
          <w:sz w:val="24"/>
          <w:szCs w:val="24"/>
        </w:rPr>
        <w:t xml:space="preserve">As the efforts to expand SYG laws, at times successful, have shown, there has been little impact of the actions of the state party on gun proliferation and SYG laws.  </w:t>
      </w:r>
      <w:r w:rsidR="0098020B" w:rsidRPr="00655E23">
        <w:rPr>
          <w:rFonts w:asciiTheme="majorHAnsi" w:hAnsiTheme="majorHAnsi"/>
          <w:sz w:val="24"/>
          <w:szCs w:val="24"/>
        </w:rPr>
        <w:t xml:space="preserve">In order to begin to address the issues that these laws and their kin (like the guns on campus laws) present, </w:t>
      </w:r>
      <w:r w:rsidR="0098020B" w:rsidRPr="00655E23">
        <w:rPr>
          <w:rFonts w:asciiTheme="majorHAnsi" w:hAnsiTheme="majorHAnsi"/>
          <w:sz w:val="24"/>
          <w:szCs w:val="24"/>
          <w:u w:val="single"/>
        </w:rPr>
        <w:t>we reiterate our recommendations in the previous report</w:t>
      </w:r>
      <w:r w:rsidR="00655E23">
        <w:rPr>
          <w:rStyle w:val="EndnoteReference"/>
          <w:rFonts w:asciiTheme="majorHAnsi" w:hAnsiTheme="majorHAnsi"/>
          <w:sz w:val="24"/>
          <w:szCs w:val="24"/>
          <w:u w:val="single"/>
        </w:rPr>
        <w:endnoteReference w:id="35"/>
      </w:r>
      <w:r w:rsidR="0098020B" w:rsidRPr="00655E23">
        <w:rPr>
          <w:rFonts w:asciiTheme="majorHAnsi" w:hAnsiTheme="majorHAnsi"/>
          <w:sz w:val="24"/>
          <w:szCs w:val="24"/>
          <w:u w:val="single"/>
        </w:rPr>
        <w:t xml:space="preserve"> and further recommend that</w:t>
      </w:r>
      <w:r w:rsidR="0098020B" w:rsidRPr="00655E23">
        <w:rPr>
          <w:rFonts w:asciiTheme="majorHAnsi" w:hAnsiTheme="majorHAnsi"/>
          <w:sz w:val="24"/>
          <w:szCs w:val="24"/>
        </w:rPr>
        <w:t>:</w:t>
      </w:r>
    </w:p>
    <w:p w:rsidR="0098020B" w:rsidRPr="00655E23" w:rsidRDefault="0098020B" w:rsidP="00655E23">
      <w:pPr>
        <w:jc w:val="both"/>
        <w:rPr>
          <w:rFonts w:asciiTheme="majorHAnsi" w:hAnsiTheme="majorHAnsi"/>
          <w:sz w:val="24"/>
          <w:szCs w:val="24"/>
        </w:rPr>
      </w:pPr>
    </w:p>
    <w:p w:rsidR="0098020B" w:rsidRPr="00655E23" w:rsidRDefault="0098020B" w:rsidP="00655E23">
      <w:pPr>
        <w:pStyle w:val="ListParagraph"/>
        <w:numPr>
          <w:ilvl w:val="0"/>
          <w:numId w:val="10"/>
        </w:numPr>
        <w:jc w:val="both"/>
        <w:rPr>
          <w:rFonts w:asciiTheme="majorHAnsi" w:hAnsiTheme="majorHAnsi"/>
          <w:sz w:val="24"/>
          <w:szCs w:val="24"/>
        </w:rPr>
      </w:pPr>
      <w:r w:rsidRPr="00655E23">
        <w:rPr>
          <w:rFonts w:asciiTheme="majorHAnsi" w:hAnsiTheme="majorHAnsi"/>
          <w:sz w:val="24"/>
          <w:szCs w:val="24"/>
        </w:rPr>
        <w:t xml:space="preserve">The federal government mandate data collection on the use of the Stand Your Ground </w:t>
      </w:r>
      <w:proofErr w:type="spellStart"/>
      <w:r w:rsidRPr="00655E23">
        <w:rPr>
          <w:rFonts w:asciiTheme="majorHAnsi" w:hAnsiTheme="majorHAnsi"/>
          <w:sz w:val="24"/>
          <w:szCs w:val="24"/>
        </w:rPr>
        <w:t>defense</w:t>
      </w:r>
      <w:proofErr w:type="spellEnd"/>
      <w:r w:rsidRPr="00655E23">
        <w:rPr>
          <w:rFonts w:asciiTheme="majorHAnsi" w:hAnsiTheme="majorHAnsi"/>
          <w:sz w:val="24"/>
          <w:szCs w:val="24"/>
        </w:rPr>
        <w:t xml:space="preserve"> in states that have the laws, including information as to the race and gender of the defendant(s) and victim(s) </w:t>
      </w:r>
      <w:r w:rsidR="00616868" w:rsidRPr="00655E23">
        <w:rPr>
          <w:rFonts w:asciiTheme="majorHAnsi" w:hAnsiTheme="majorHAnsi"/>
          <w:sz w:val="24"/>
          <w:szCs w:val="24"/>
        </w:rPr>
        <w:t xml:space="preserve">, </w:t>
      </w:r>
      <w:r w:rsidRPr="00655E23">
        <w:rPr>
          <w:rFonts w:asciiTheme="majorHAnsi" w:hAnsiTheme="majorHAnsi"/>
          <w:sz w:val="24"/>
          <w:szCs w:val="24"/>
        </w:rPr>
        <w:t xml:space="preserve">whether the </w:t>
      </w:r>
      <w:proofErr w:type="spellStart"/>
      <w:r w:rsidRPr="00655E23">
        <w:rPr>
          <w:rFonts w:asciiTheme="majorHAnsi" w:hAnsiTheme="majorHAnsi"/>
          <w:sz w:val="24"/>
          <w:szCs w:val="24"/>
        </w:rPr>
        <w:t>defense</w:t>
      </w:r>
      <w:proofErr w:type="spellEnd"/>
      <w:r w:rsidRPr="00655E23">
        <w:rPr>
          <w:rFonts w:asciiTheme="majorHAnsi" w:hAnsiTheme="majorHAnsi"/>
          <w:sz w:val="24"/>
          <w:szCs w:val="24"/>
        </w:rPr>
        <w:t xml:space="preserve"> was granted</w:t>
      </w:r>
      <w:r w:rsidR="00616868" w:rsidRPr="00655E23">
        <w:rPr>
          <w:rFonts w:asciiTheme="majorHAnsi" w:hAnsiTheme="majorHAnsi"/>
          <w:sz w:val="24"/>
          <w:szCs w:val="24"/>
        </w:rPr>
        <w:t>, and whether the encounter was fatal</w:t>
      </w:r>
      <w:r w:rsidRPr="00655E23">
        <w:rPr>
          <w:rFonts w:asciiTheme="majorHAnsi" w:hAnsiTheme="majorHAnsi"/>
          <w:sz w:val="24"/>
          <w:szCs w:val="24"/>
        </w:rPr>
        <w:t>;</w:t>
      </w:r>
    </w:p>
    <w:p w:rsidR="0098020B" w:rsidRPr="00655E23" w:rsidRDefault="0098020B" w:rsidP="00655E23">
      <w:pPr>
        <w:pStyle w:val="ListParagraph"/>
        <w:numPr>
          <w:ilvl w:val="0"/>
          <w:numId w:val="10"/>
        </w:numPr>
        <w:jc w:val="both"/>
        <w:rPr>
          <w:rFonts w:asciiTheme="majorHAnsi" w:hAnsiTheme="majorHAnsi"/>
          <w:sz w:val="24"/>
          <w:szCs w:val="24"/>
        </w:rPr>
      </w:pPr>
      <w:r w:rsidRPr="00655E23">
        <w:rPr>
          <w:rFonts w:asciiTheme="majorHAnsi" w:hAnsiTheme="majorHAnsi"/>
          <w:sz w:val="24"/>
          <w:szCs w:val="24"/>
        </w:rPr>
        <w:t>The DOJ lower the intent standard for individual federal civil rights charges to  recklessness to provide more possibility for effective redress;</w:t>
      </w:r>
    </w:p>
    <w:p w:rsidR="0090348F" w:rsidRPr="00655E23" w:rsidRDefault="0098020B" w:rsidP="00655E23">
      <w:pPr>
        <w:pStyle w:val="ListParagraph"/>
        <w:numPr>
          <w:ilvl w:val="0"/>
          <w:numId w:val="10"/>
        </w:numPr>
        <w:jc w:val="both"/>
        <w:rPr>
          <w:rFonts w:asciiTheme="majorHAnsi" w:hAnsiTheme="majorHAnsi"/>
          <w:sz w:val="24"/>
          <w:szCs w:val="24"/>
        </w:rPr>
      </w:pPr>
      <w:r w:rsidRPr="00655E23">
        <w:rPr>
          <w:rFonts w:asciiTheme="majorHAnsi" w:hAnsiTheme="majorHAnsi"/>
          <w:sz w:val="24"/>
          <w:szCs w:val="24"/>
        </w:rPr>
        <w:t>Pass greater gun control standards at the federal level and tie federal funding to states based on compliance with these standards, including bringing use of force laws in conformity with international standards on necessity and proportionality.</w:t>
      </w:r>
    </w:p>
    <w:sectPr w:rsidR="0090348F" w:rsidRPr="00655E23" w:rsidSect="0090348F">
      <w:headerReference w:type="default" r:id="rId19"/>
      <w:footerReference w:type="default" r:id="rId20"/>
      <w:endnotePr>
        <w:numFmt w:val="decimal"/>
      </w:endnotePr>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3570" w:rsidRDefault="00963570" w:rsidP="00963570">
      <w:r>
        <w:separator/>
      </w:r>
    </w:p>
  </w:endnote>
  <w:endnote w:type="continuationSeparator" w:id="0">
    <w:p w:rsidR="00963570" w:rsidRDefault="00963570" w:rsidP="00963570">
      <w:r>
        <w:continuationSeparator/>
      </w:r>
    </w:p>
  </w:endnote>
  <w:endnote w:id="1">
    <w:p w:rsidR="00387335" w:rsidRPr="00387335" w:rsidRDefault="00387335">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Additional thanks to Dream Defenders members Melanie Andrade and Anwar Thomas for their contributions to this report. </w:t>
      </w:r>
    </w:p>
  </w:endnote>
  <w:endnote w:id="2">
    <w:p w:rsidR="00EA1B0B" w:rsidRPr="00387335" w:rsidRDefault="00EA1B0B" w:rsidP="0090348F">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gramStart"/>
      <w:r w:rsidRPr="00387335">
        <w:rPr>
          <w:rFonts w:asciiTheme="majorHAnsi" w:hAnsiTheme="majorHAnsi"/>
          <w:sz w:val="18"/>
          <w:szCs w:val="18"/>
        </w:rPr>
        <w:t>Concluding Observations on the Fourth Periodic Report of the United States of America 5-6, UN.</w:t>
      </w:r>
      <w:proofErr w:type="gramEnd"/>
      <w:r w:rsidRPr="00387335">
        <w:rPr>
          <w:rFonts w:asciiTheme="majorHAnsi" w:hAnsiTheme="majorHAnsi"/>
          <w:sz w:val="18"/>
          <w:szCs w:val="18"/>
        </w:rPr>
        <w:t xml:space="preserve"> Doc. CCPR/C/USA/CO/4 (April 23, 2014</w:t>
      </w:r>
      <w:proofErr w:type="gramStart"/>
      <w:r w:rsidRPr="00387335">
        <w:rPr>
          <w:rFonts w:asciiTheme="majorHAnsi" w:hAnsiTheme="majorHAnsi"/>
          <w:sz w:val="18"/>
          <w:szCs w:val="18"/>
        </w:rPr>
        <w:t>) .</w:t>
      </w:r>
      <w:proofErr w:type="gramEnd"/>
    </w:p>
  </w:endnote>
  <w:endnote w:id="3">
    <w:p w:rsidR="00EA1B0B" w:rsidRPr="00387335" w:rsidRDefault="00EA1B0B" w:rsidP="0090348F">
      <w:pPr>
        <w:pStyle w:val="EndnoteText"/>
        <w:rPr>
          <w:rFonts w:asciiTheme="majorHAnsi" w:hAnsiTheme="majorHAnsi"/>
          <w: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hAnsiTheme="majorHAnsi"/>
          <w:i/>
          <w:sz w:val="18"/>
          <w:szCs w:val="18"/>
        </w:rPr>
        <w:t>Id.</w:t>
      </w:r>
    </w:p>
  </w:endnote>
  <w:endnote w:id="4">
    <w:p w:rsidR="00EA1B0B" w:rsidRPr="00387335" w:rsidRDefault="00EA1B0B" w:rsidP="0029068C">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w:t>
      </w:r>
      <w:proofErr w:type="gramStart"/>
      <w:r w:rsidRPr="00387335">
        <w:rPr>
          <w:rFonts w:asciiTheme="majorHAnsi" w:hAnsiTheme="majorHAnsi" w:cs="Times New Roman"/>
          <w:color w:val="auto"/>
          <w:sz w:val="18"/>
          <w:szCs w:val="18"/>
        </w:rPr>
        <w:t>United States Commission on Civil Rights, Strategic Plan FY 2014-2018</w:t>
      </w:r>
      <w:r w:rsidRPr="00387335">
        <w:rPr>
          <w:rFonts w:asciiTheme="majorHAnsi" w:hAnsiTheme="majorHAnsi" w:cs="Times New Roman"/>
          <w:i/>
          <w:color w:val="auto"/>
          <w:sz w:val="18"/>
          <w:szCs w:val="18"/>
        </w:rPr>
        <w:t xml:space="preserve"> </w:t>
      </w:r>
      <w:r w:rsidRPr="00387335">
        <w:rPr>
          <w:rFonts w:asciiTheme="majorHAnsi" w:hAnsiTheme="majorHAnsi" w:cs="Times New Roman"/>
          <w:color w:val="auto"/>
          <w:sz w:val="18"/>
          <w:szCs w:val="18"/>
        </w:rPr>
        <w:t>at 6.</w:t>
      </w:r>
      <w:proofErr w:type="gramEnd"/>
      <w:r w:rsidRPr="00387335">
        <w:rPr>
          <w:rFonts w:asciiTheme="majorHAnsi" w:hAnsiTheme="majorHAnsi" w:cs="Times New Roman"/>
          <w:color w:val="auto"/>
          <w:sz w:val="18"/>
          <w:szCs w:val="18"/>
        </w:rPr>
        <w:t xml:space="preserve"> </w:t>
      </w:r>
    </w:p>
  </w:endnote>
  <w:endnote w:id="5">
    <w:p w:rsidR="00EA1B0B" w:rsidRPr="00387335" w:rsidRDefault="00EA1B0B" w:rsidP="0029068C">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United States Commission on Civil Rights, Strategic Plan FY 2014-2018</w:t>
      </w:r>
    </w:p>
  </w:endnote>
  <w:endnote w:id="6">
    <w:p w:rsidR="00387335" w:rsidRPr="00387335" w:rsidRDefault="00387335">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gramStart"/>
      <w:r w:rsidRPr="00387335">
        <w:rPr>
          <w:rFonts w:asciiTheme="majorHAnsi" w:hAnsiTheme="majorHAnsi"/>
          <w:i/>
          <w:sz w:val="18"/>
          <w:szCs w:val="18"/>
        </w:rPr>
        <w:t>See also</w:t>
      </w:r>
      <w:r w:rsidRPr="00387335">
        <w:rPr>
          <w:rFonts w:asciiTheme="majorHAnsi" w:hAnsiTheme="majorHAnsi"/>
          <w:sz w:val="18"/>
          <w:szCs w:val="18"/>
        </w:rPr>
        <w:t xml:space="preserve">, </w:t>
      </w:r>
      <w:r w:rsidRPr="00387335">
        <w:rPr>
          <w:rFonts w:asciiTheme="majorHAnsi" w:hAnsiTheme="majorHAnsi"/>
          <w:sz w:val="18"/>
          <w:szCs w:val="18"/>
        </w:rPr>
        <w:t xml:space="preserve">Robert J. Spitzer, “Stand Your Ground Makes No Sense” </w:t>
      </w:r>
      <w:r w:rsidRPr="00387335">
        <w:rPr>
          <w:rFonts w:asciiTheme="majorHAnsi" w:hAnsiTheme="majorHAnsi"/>
          <w:i/>
          <w:sz w:val="18"/>
          <w:szCs w:val="18"/>
        </w:rPr>
        <w:t>The New York Times</w:t>
      </w:r>
      <w:r w:rsidRPr="00387335">
        <w:rPr>
          <w:rFonts w:asciiTheme="majorHAnsi" w:hAnsiTheme="majorHAnsi"/>
          <w:sz w:val="18"/>
          <w:szCs w:val="18"/>
        </w:rPr>
        <w:t xml:space="preserve"> (May 4, 2015).</w:t>
      </w:r>
      <w:proofErr w:type="gramEnd"/>
      <w:r w:rsidRPr="00387335">
        <w:rPr>
          <w:rFonts w:asciiTheme="majorHAnsi" w:hAnsiTheme="majorHAnsi"/>
          <w:sz w:val="18"/>
          <w:szCs w:val="18"/>
        </w:rPr>
        <w:t xml:space="preserve"> Available at: http://www.nytimes.com/2015/05/04/opinion/stand-your-ground-makes-no-sense.html?_r=0</w:t>
      </w:r>
      <w:r w:rsidRPr="00387335">
        <w:rPr>
          <w:rFonts w:asciiTheme="majorHAnsi" w:hAnsiTheme="majorHAnsi"/>
          <w:sz w:val="18"/>
          <w:szCs w:val="18"/>
        </w:rPr>
        <w:t xml:space="preserve"> </w:t>
      </w:r>
    </w:p>
  </w:endnote>
  <w:endnote w:id="7">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http://www.ncsl.org/research/education/guns-on-campus-overview.aspx</w:t>
      </w:r>
    </w:p>
  </w:endnote>
  <w:endnote w:id="8">
    <w:p w:rsidR="00EA1B0B" w:rsidRPr="00387335" w:rsidRDefault="00EA1B0B" w:rsidP="00234077">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http://www.justice.gov/opa/pr/federal-officials-close-investigation-death-trayvon-martin</w:t>
      </w:r>
    </w:p>
  </w:endnote>
  <w:endnote w:id="9">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USG One Year Report (Apr. 1, 2015), </w:t>
      </w:r>
      <w:proofErr w:type="spellStart"/>
      <w:r w:rsidRPr="00387335">
        <w:rPr>
          <w:rFonts w:asciiTheme="majorHAnsi" w:hAnsiTheme="majorHAnsi"/>
          <w:sz w:val="18"/>
          <w:szCs w:val="18"/>
        </w:rPr>
        <w:t>para</w:t>
      </w:r>
      <w:proofErr w:type="spellEnd"/>
      <w:r w:rsidRPr="00387335">
        <w:rPr>
          <w:rFonts w:asciiTheme="majorHAnsi" w:hAnsiTheme="majorHAnsi"/>
          <w:sz w:val="18"/>
          <w:szCs w:val="18"/>
        </w:rPr>
        <w:t xml:space="preserve"> 22</w:t>
      </w:r>
    </w:p>
  </w:endnote>
  <w:endnote w:id="10">
    <w:p w:rsidR="00EA1B0B" w:rsidRPr="00387335" w:rsidRDefault="00EA1B0B" w:rsidP="0029068C">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http://www.slate.com/articles/news_and_politics/jurisprudence/2014/11/will_justice_department_charge_darren_wilson_supreme_court_gutted_civil.html</w:t>
      </w:r>
    </w:p>
  </w:endnote>
  <w:endnote w:id="11">
    <w:p w:rsidR="00EA1B0B" w:rsidRPr="00387335" w:rsidRDefault="00EA1B0B" w:rsidP="0029068C">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http://www.justice.gov/opa/speech/attorney-general-holder-delivers-update-investigations-ferguson-missouri</w:t>
      </w:r>
    </w:p>
  </w:endnote>
  <w:endnote w:id="12">
    <w:p w:rsidR="001038C1" w:rsidRPr="00387335" w:rsidRDefault="001038C1">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eastAsia="Times New Roman" w:hAnsiTheme="majorHAnsi"/>
          <w:sz w:val="18"/>
          <w:szCs w:val="18"/>
        </w:rPr>
        <w:t xml:space="preserve">During the February 2014 trial of Michael Dunn for shooting and killing of </w:t>
      </w:r>
      <w:r w:rsidR="00445398" w:rsidRPr="00387335">
        <w:rPr>
          <w:rFonts w:asciiTheme="majorHAnsi" w:eastAsia="Times New Roman" w:hAnsiTheme="majorHAnsi"/>
          <w:sz w:val="18"/>
          <w:szCs w:val="18"/>
        </w:rPr>
        <w:t>Black teenager</w:t>
      </w:r>
      <w:r w:rsidRPr="00387335">
        <w:rPr>
          <w:rFonts w:asciiTheme="majorHAnsi" w:eastAsia="Times New Roman" w:hAnsiTheme="majorHAnsi"/>
          <w:sz w:val="18"/>
          <w:szCs w:val="18"/>
        </w:rPr>
        <w:t xml:space="preserve"> Jordan Davis in Jacksonville, Florida, the jury was hung on the first degree murder count and only found Dunn guilty of three counts of attempted second-degree murder of Davis’ three friends, and one count of discharging a firearm into a vehicle. A retrial on murder count was ordered, creating a new controversy around the disparate impacts of SYG laws and the subjective standard for “reasonable fear.”  At the October 1, 2014 retrial, the jury found Dunn guilty of first degree murder and sentenced him to life in prison plus 90 years for the attempted murder of the friends of Davis that were in the car with him at the time of the incident.  </w:t>
      </w:r>
      <w:r w:rsidRPr="00387335">
        <w:rPr>
          <w:rFonts w:asciiTheme="majorHAnsi" w:eastAsia="Times New Roman" w:hAnsiTheme="majorHAnsi"/>
          <w:i/>
          <w:sz w:val="18"/>
          <w:szCs w:val="18"/>
        </w:rPr>
        <w:t xml:space="preserve">See, e.g., </w:t>
      </w:r>
      <w:r w:rsidRPr="00387335">
        <w:rPr>
          <w:rFonts w:asciiTheme="majorHAnsi" w:hAnsiTheme="majorHAnsi"/>
          <w:sz w:val="18"/>
          <w:szCs w:val="18"/>
        </w:rPr>
        <w:t xml:space="preserve">Andrew </w:t>
      </w:r>
      <w:proofErr w:type="spellStart"/>
      <w:r w:rsidRPr="00387335">
        <w:rPr>
          <w:rFonts w:asciiTheme="majorHAnsi" w:hAnsiTheme="majorHAnsi"/>
          <w:sz w:val="18"/>
          <w:szCs w:val="18"/>
        </w:rPr>
        <w:t>Pantazi</w:t>
      </w:r>
      <w:proofErr w:type="spellEnd"/>
      <w:r w:rsidRPr="00387335">
        <w:rPr>
          <w:rFonts w:asciiTheme="majorHAnsi" w:hAnsiTheme="majorHAnsi"/>
          <w:sz w:val="18"/>
          <w:szCs w:val="18"/>
        </w:rPr>
        <w:t xml:space="preserve">, </w:t>
      </w:r>
      <w:r w:rsidRPr="00387335">
        <w:rPr>
          <w:rFonts w:asciiTheme="majorHAnsi" w:hAnsiTheme="majorHAnsi"/>
          <w:i/>
          <w:sz w:val="18"/>
          <w:szCs w:val="18"/>
        </w:rPr>
        <w:t>Michael Dunn gets life, plus 90 years for Jordan Davis killing</w:t>
      </w:r>
      <w:r w:rsidRPr="00387335">
        <w:rPr>
          <w:rFonts w:asciiTheme="majorHAnsi" w:hAnsiTheme="majorHAnsi"/>
          <w:sz w:val="18"/>
          <w:szCs w:val="18"/>
        </w:rPr>
        <w:t xml:space="preserve">, The Florida Times-Union (October 17, 2014).  Available at: </w:t>
      </w:r>
      <w:hyperlink r:id="rId1">
        <w:r w:rsidRPr="00387335">
          <w:rPr>
            <w:rFonts w:asciiTheme="majorHAnsi" w:hAnsiTheme="majorHAnsi"/>
            <w:sz w:val="18"/>
            <w:szCs w:val="18"/>
            <w:u w:val="single"/>
          </w:rPr>
          <w:t>http://jacksonville.com/news/crime/2014-10-17/story/michael-dunn-gets-life-plus-90-years-jordan-davis-killing</w:t>
        </w:r>
      </w:hyperlink>
      <w:r w:rsidRPr="00387335">
        <w:rPr>
          <w:rFonts w:asciiTheme="majorHAnsi" w:hAnsiTheme="majorHAnsi"/>
          <w:sz w:val="18"/>
          <w:szCs w:val="18"/>
        </w:rPr>
        <w:t>.</w:t>
      </w:r>
    </w:p>
  </w:endnote>
  <w:endnote w:id="13">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hAnsiTheme="majorHAnsi"/>
          <w:i/>
          <w:sz w:val="18"/>
          <w:szCs w:val="18"/>
        </w:rPr>
        <w:t xml:space="preserve">See </w:t>
      </w:r>
      <w:r w:rsidRPr="00387335">
        <w:rPr>
          <w:rFonts w:asciiTheme="majorHAnsi" w:hAnsiTheme="majorHAnsi"/>
          <w:sz w:val="18"/>
          <w:szCs w:val="18"/>
        </w:rPr>
        <w:t xml:space="preserve">Ahmad </w:t>
      </w:r>
      <w:proofErr w:type="spellStart"/>
      <w:r w:rsidRPr="00387335">
        <w:rPr>
          <w:rFonts w:asciiTheme="majorHAnsi" w:hAnsiTheme="majorHAnsi"/>
          <w:sz w:val="18"/>
          <w:szCs w:val="18"/>
        </w:rPr>
        <w:t>Abuznaid</w:t>
      </w:r>
      <w:proofErr w:type="spellEnd"/>
      <w:r w:rsidRPr="00387335">
        <w:rPr>
          <w:rFonts w:asciiTheme="majorHAnsi" w:hAnsiTheme="majorHAnsi"/>
          <w:sz w:val="18"/>
          <w:szCs w:val="18"/>
        </w:rPr>
        <w:t xml:space="preserve"> </w:t>
      </w:r>
      <w:r w:rsidRPr="00387335">
        <w:rPr>
          <w:rFonts w:asciiTheme="majorHAnsi" w:hAnsiTheme="majorHAnsi"/>
          <w:i/>
          <w:sz w:val="18"/>
          <w:szCs w:val="18"/>
        </w:rPr>
        <w:t>et al</w:t>
      </w:r>
      <w:r w:rsidRPr="00387335">
        <w:rPr>
          <w:rFonts w:asciiTheme="majorHAnsi" w:hAnsiTheme="majorHAnsi"/>
          <w:sz w:val="18"/>
          <w:szCs w:val="18"/>
        </w:rPr>
        <w:t>., “Stand Your Ground” Laws: International Human Rights Implications, 68 U. Miami L. Rev. 1129, 1140-1142 (Fall 2014). Available at: http://lawreview.law.miami.edu/wp-content/uploads/2014/09/Stand-Your-Ground-Laws.pdf</w:t>
      </w:r>
    </w:p>
  </w:endnote>
  <w:endnote w:id="14">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Id.</w:t>
      </w:r>
    </w:p>
  </w:endnote>
  <w:endnote w:id="15">
    <w:p w:rsidR="00123416" w:rsidRPr="00387335" w:rsidRDefault="00123416">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lang w:val="en-US"/>
        </w:rPr>
        <w:t xml:space="preserve"> CERD Concluding Observations on the Combined Seventh to Ninth Reports of the United States, </w:t>
      </w:r>
      <w:r w:rsidRPr="00387335">
        <w:rPr>
          <w:rFonts w:asciiTheme="majorHAnsi" w:hAnsiTheme="majorHAnsi"/>
          <w:sz w:val="18"/>
          <w:szCs w:val="18"/>
        </w:rPr>
        <w:t>CERD/C/USA/CO/7-9, pp. 7-8 (29 August</w:t>
      </w:r>
      <w:r w:rsidRPr="00387335">
        <w:rPr>
          <w:rFonts w:asciiTheme="majorHAnsi" w:hAnsiTheme="majorHAnsi"/>
          <w:sz w:val="18"/>
          <w:szCs w:val="18"/>
          <w:lang w:val="en-US"/>
        </w:rPr>
        <w:t xml:space="preserve"> 2014) http://www.ushrnetwork.org/sites/ushrnetwork.org/files/cerd_concluding_observations2014.pdf</w:t>
      </w:r>
    </w:p>
  </w:endnote>
  <w:endnote w:id="16">
    <w:p w:rsidR="00EA1B0B" w:rsidRPr="00387335" w:rsidRDefault="00EA1B0B" w:rsidP="00487284">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American Bar Association National Task Force on Stand Your Ground Laws, </w:t>
      </w:r>
      <w:r w:rsidRPr="00387335">
        <w:rPr>
          <w:rFonts w:asciiTheme="majorHAnsi" w:hAnsiTheme="majorHAnsi" w:cs="Times New Roman"/>
          <w:i/>
          <w:color w:val="auto"/>
          <w:sz w:val="18"/>
          <w:szCs w:val="18"/>
        </w:rPr>
        <w:t>Preliminary Report and Recommendations</w:t>
      </w:r>
      <w:r w:rsidRPr="00387335">
        <w:rPr>
          <w:rFonts w:asciiTheme="majorHAnsi" w:hAnsiTheme="majorHAnsi" w:cs="Times New Roman"/>
          <w:color w:val="auto"/>
          <w:sz w:val="18"/>
          <w:szCs w:val="18"/>
        </w:rPr>
        <w:t xml:space="preserve"> (August 8, 2014).  Available at: </w:t>
      </w:r>
      <w:hyperlink r:id="rId2">
        <w:r w:rsidRPr="00387335">
          <w:rPr>
            <w:rFonts w:asciiTheme="majorHAnsi" w:hAnsiTheme="majorHAnsi" w:cs="Times New Roman"/>
            <w:color w:val="auto"/>
            <w:sz w:val="18"/>
            <w:szCs w:val="18"/>
            <w:u w:val="single"/>
          </w:rPr>
          <w:t>http://www.abajournal.com/files/GunReport.pdf</w:t>
        </w:r>
      </w:hyperlink>
      <w:r w:rsidRPr="00387335">
        <w:rPr>
          <w:rFonts w:asciiTheme="majorHAnsi" w:hAnsiTheme="majorHAnsi" w:cs="Times New Roman"/>
          <w:color w:val="auto"/>
          <w:sz w:val="18"/>
          <w:szCs w:val="18"/>
        </w:rPr>
        <w:t xml:space="preserve">. </w:t>
      </w:r>
    </w:p>
  </w:endnote>
  <w:endnote w:id="17">
    <w:p w:rsidR="00EA1B0B" w:rsidRPr="00387335" w:rsidRDefault="00EA1B0B" w:rsidP="00247393">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w:t>
      </w:r>
      <w:proofErr w:type="gramStart"/>
      <w:r w:rsidRPr="00387335">
        <w:rPr>
          <w:rFonts w:asciiTheme="majorHAnsi" w:hAnsiTheme="majorHAnsi" w:cs="Times New Roman"/>
          <w:i/>
          <w:color w:val="auto"/>
          <w:sz w:val="18"/>
          <w:szCs w:val="18"/>
        </w:rPr>
        <w:t xml:space="preserve">Supra </w:t>
      </w:r>
      <w:r w:rsidRPr="00387335">
        <w:rPr>
          <w:rFonts w:asciiTheme="majorHAnsi" w:hAnsiTheme="majorHAnsi" w:cs="Times New Roman"/>
          <w:color w:val="auto"/>
          <w:sz w:val="18"/>
          <w:szCs w:val="18"/>
        </w:rPr>
        <w:t>pg. 10.</w:t>
      </w:r>
      <w:proofErr w:type="gramEnd"/>
      <w:r w:rsidRPr="00387335">
        <w:rPr>
          <w:rFonts w:asciiTheme="majorHAnsi" w:hAnsiTheme="majorHAnsi" w:cs="Times New Roman"/>
          <w:color w:val="auto"/>
          <w:sz w:val="18"/>
          <w:szCs w:val="18"/>
        </w:rPr>
        <w:t xml:space="preserve"> </w:t>
      </w:r>
    </w:p>
  </w:endnote>
  <w:endnote w:id="18">
    <w:p w:rsidR="00EA1B0B" w:rsidRPr="00387335" w:rsidRDefault="00EA1B0B" w:rsidP="00B568AC">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Race and Self-</w:t>
      </w:r>
      <w:proofErr w:type="spellStart"/>
      <w:r w:rsidRPr="00387335">
        <w:rPr>
          <w:rFonts w:asciiTheme="majorHAnsi" w:hAnsiTheme="majorHAnsi"/>
          <w:sz w:val="18"/>
          <w:szCs w:val="18"/>
        </w:rPr>
        <w:t>Defense</w:t>
      </w:r>
      <w:proofErr w:type="spellEnd"/>
      <w:r w:rsidRPr="00387335">
        <w:rPr>
          <w:rFonts w:asciiTheme="majorHAnsi" w:hAnsiTheme="majorHAnsi"/>
          <w:sz w:val="18"/>
          <w:szCs w:val="18"/>
        </w:rPr>
        <w:t xml:space="preserve">: Toward a normative Conception of Reasonableness, Cynthia </w:t>
      </w:r>
      <w:proofErr w:type="spellStart"/>
      <w:r w:rsidRPr="00387335">
        <w:rPr>
          <w:rFonts w:asciiTheme="majorHAnsi" w:hAnsiTheme="majorHAnsi"/>
          <w:sz w:val="18"/>
          <w:szCs w:val="18"/>
        </w:rPr>
        <w:t>Kwei</w:t>
      </w:r>
      <w:proofErr w:type="spellEnd"/>
      <w:r w:rsidRPr="00387335">
        <w:rPr>
          <w:rFonts w:asciiTheme="majorHAnsi" w:hAnsiTheme="majorHAnsi"/>
          <w:sz w:val="18"/>
          <w:szCs w:val="18"/>
        </w:rPr>
        <w:t xml:space="preserve"> Yung Lee, </w:t>
      </w:r>
      <w:r w:rsidRPr="00387335">
        <w:rPr>
          <w:rFonts w:asciiTheme="majorHAnsi" w:eastAsia="Times New Roman" w:hAnsiTheme="majorHAnsi"/>
          <w:color w:val="252525"/>
          <w:sz w:val="18"/>
          <w:szCs w:val="18"/>
        </w:rPr>
        <w:t>81 Minn. L. Rev. 367 (Fall 1996)</w:t>
      </w:r>
    </w:p>
  </w:endnote>
  <w:endnote w:id="19">
    <w:p w:rsidR="00EA1B0B" w:rsidRPr="00387335" w:rsidRDefault="00EA1B0B" w:rsidP="000B1149">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http://www.msnbc.com/msnbc/marissa-alexander-may-be-released</w:t>
      </w:r>
    </w:p>
  </w:endnote>
  <w:endnote w:id="20">
    <w:p w:rsidR="00655E23" w:rsidRPr="00387335" w:rsidRDefault="00655E23">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r w:rsidRPr="00387335">
        <w:rPr>
          <w:rFonts w:asciiTheme="majorHAnsi" w:eastAsia="Times New Roman" w:hAnsiTheme="majorHAnsi"/>
          <w:sz w:val="18"/>
          <w:szCs w:val="18"/>
        </w:rPr>
        <w:t>Though it was billed to respond to the Marissa Alexander case, the passage of this law actually masks the reality that Florida’s use of force jurisprudence even before SYG should have covered Alexander if the justice system operated in a non-discriminatory way towards racial minorities and women.</w:t>
      </w:r>
    </w:p>
  </w:endnote>
  <w:endnote w:id="21">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gramStart"/>
      <w:r w:rsidRPr="00387335">
        <w:rPr>
          <w:rFonts w:asciiTheme="majorHAnsi" w:hAnsiTheme="majorHAnsi"/>
          <w:sz w:val="18"/>
          <w:szCs w:val="18"/>
        </w:rPr>
        <w:t>Florida Statutes, §§ 776.012, 776.032.</w:t>
      </w:r>
      <w:proofErr w:type="gramEnd"/>
    </w:p>
  </w:endnote>
  <w:endnote w:id="22">
    <w:p w:rsidR="00EA1B0B" w:rsidRPr="00387335" w:rsidRDefault="00EA1B0B" w:rsidP="00D02B4F">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Andres </w:t>
      </w:r>
      <w:proofErr w:type="spellStart"/>
      <w:r w:rsidRPr="00387335">
        <w:rPr>
          <w:rFonts w:asciiTheme="majorHAnsi" w:hAnsiTheme="majorHAnsi" w:cs="Times New Roman"/>
          <w:color w:val="auto"/>
          <w:sz w:val="18"/>
          <w:szCs w:val="18"/>
        </w:rPr>
        <w:t>Jauregui</w:t>
      </w:r>
      <w:proofErr w:type="spellEnd"/>
      <w:r w:rsidRPr="00387335">
        <w:rPr>
          <w:rFonts w:asciiTheme="majorHAnsi" w:hAnsiTheme="majorHAnsi" w:cs="Times New Roman"/>
          <w:color w:val="auto"/>
          <w:sz w:val="18"/>
          <w:szCs w:val="18"/>
        </w:rPr>
        <w:t xml:space="preserve">, </w:t>
      </w:r>
      <w:r w:rsidRPr="00387335">
        <w:rPr>
          <w:rFonts w:asciiTheme="majorHAnsi" w:hAnsiTheme="majorHAnsi" w:cs="Times New Roman"/>
          <w:i/>
          <w:color w:val="auto"/>
          <w:sz w:val="18"/>
          <w:szCs w:val="18"/>
        </w:rPr>
        <w:t>Florida Extends ‘Stand Your Ground’ To Cover Warning Shots</w:t>
      </w:r>
      <w:r w:rsidRPr="00387335">
        <w:rPr>
          <w:rFonts w:asciiTheme="majorHAnsi" w:hAnsiTheme="majorHAnsi" w:cs="Times New Roman"/>
          <w:color w:val="auto"/>
          <w:sz w:val="18"/>
          <w:szCs w:val="18"/>
        </w:rPr>
        <w:t>, The Huffington Post (June 22, 2014).  Available at:</w:t>
      </w:r>
      <w:hyperlink r:id="rId3">
        <w:r w:rsidRPr="00387335">
          <w:rPr>
            <w:rFonts w:asciiTheme="majorHAnsi" w:hAnsiTheme="majorHAnsi" w:cs="Times New Roman"/>
            <w:color w:val="auto"/>
            <w:sz w:val="18"/>
            <w:szCs w:val="18"/>
          </w:rPr>
          <w:t xml:space="preserve"> </w:t>
        </w:r>
      </w:hyperlink>
      <w:hyperlink r:id="rId4">
        <w:r w:rsidRPr="00387335">
          <w:rPr>
            <w:rFonts w:asciiTheme="majorHAnsi" w:hAnsiTheme="majorHAnsi" w:cs="Times New Roman"/>
            <w:color w:val="auto"/>
            <w:sz w:val="18"/>
            <w:szCs w:val="18"/>
            <w:u w:val="single"/>
          </w:rPr>
          <w:t>http://www.huffingtonpost.com/2014/06/22/stand-your-ground-warning-shots-marissa-alexander_n_5519168.html</w:t>
        </w:r>
      </w:hyperlink>
      <w:r w:rsidRPr="00387335">
        <w:rPr>
          <w:rFonts w:asciiTheme="majorHAnsi" w:hAnsiTheme="majorHAnsi" w:cs="Times New Roman"/>
          <w:color w:val="auto"/>
          <w:sz w:val="18"/>
          <w:szCs w:val="18"/>
        </w:rPr>
        <w:t>.</w:t>
      </w:r>
    </w:p>
  </w:endnote>
  <w:endnote w:id="23">
    <w:p w:rsidR="00EA1B0B" w:rsidRPr="00387335" w:rsidRDefault="00EA1B0B">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http://www.tallahassee.com/story/columnists/2014/03/12/my-view-dont-make-a-bad-stand-your-ground-law-worse/6302283/</w:t>
      </w:r>
    </w:p>
  </w:endnote>
  <w:endnote w:id="24">
    <w:p w:rsidR="00655E23" w:rsidRPr="00387335" w:rsidRDefault="00655E23" w:rsidP="00655E23">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http://www.reuters.com/article/2014/12/02/us-usa-florida-guns-idUSKCN0JG0VK20141202</w:t>
      </w:r>
    </w:p>
  </w:endnote>
  <w:endnote w:id="25">
    <w:p w:rsidR="00655E23" w:rsidRPr="00387335" w:rsidRDefault="00655E23">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http://www.orlandosentinel.com/news/breaking-news/os-stand-your-ground-supreme-court-case-20141129-story.html#page=1</w:t>
      </w:r>
    </w:p>
  </w:endnote>
  <w:endnote w:id="26">
    <w:p w:rsidR="00EA1B0B" w:rsidRPr="00387335" w:rsidRDefault="00EA1B0B" w:rsidP="00D02B4F">
      <w:pPr>
        <w:pStyle w:val="normal0"/>
        <w:spacing w:line="240" w:lineRule="auto"/>
        <w:rPr>
          <w:rFonts w:asciiTheme="majorHAnsi" w:hAnsiTheme="majorHAnsi" w:cs="Times New Roman"/>
          <w:color w:val="auto"/>
          <w:sz w:val="18"/>
          <w:szCs w:val="18"/>
          <w:lang w:val="es-US"/>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lang w:val="es-US"/>
        </w:rPr>
        <w:t xml:space="preserve"> Supra note 10.</w:t>
      </w:r>
    </w:p>
  </w:endnote>
  <w:endnote w:id="27">
    <w:p w:rsidR="00EA1B0B" w:rsidRPr="00387335" w:rsidRDefault="00EA1B0B" w:rsidP="00D02B4F">
      <w:pPr>
        <w:pStyle w:val="normal0"/>
        <w:spacing w:line="240" w:lineRule="auto"/>
        <w:rPr>
          <w:rFonts w:asciiTheme="majorHAnsi" w:hAnsiTheme="majorHAnsi" w:cs="Times New Roman"/>
          <w:color w:val="auto"/>
          <w:sz w:val="18"/>
          <w:szCs w:val="18"/>
          <w:lang w:val="es-US"/>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lang w:val="es-US"/>
        </w:rPr>
        <w:t xml:space="preserve"> </w:t>
      </w:r>
      <w:r w:rsidRPr="00387335">
        <w:rPr>
          <w:rFonts w:asciiTheme="majorHAnsi" w:hAnsiTheme="majorHAnsi" w:cs="Times New Roman"/>
          <w:i/>
          <w:color w:val="auto"/>
          <w:sz w:val="18"/>
          <w:szCs w:val="18"/>
          <w:lang w:val="es-US"/>
        </w:rPr>
        <w:t xml:space="preserve">Supra </w:t>
      </w:r>
      <w:r w:rsidRPr="00387335">
        <w:rPr>
          <w:rFonts w:asciiTheme="majorHAnsi" w:hAnsiTheme="majorHAnsi" w:cs="Times New Roman"/>
          <w:color w:val="auto"/>
          <w:sz w:val="18"/>
          <w:szCs w:val="18"/>
          <w:lang w:val="es-US"/>
        </w:rPr>
        <w:t>note 10.</w:t>
      </w:r>
    </w:p>
  </w:endnote>
  <w:endnote w:id="28">
    <w:p w:rsidR="00EA1B0B" w:rsidRPr="00387335" w:rsidRDefault="00EA1B0B" w:rsidP="00D02B4F">
      <w:pPr>
        <w:pStyle w:val="normal0"/>
        <w:spacing w:line="240" w:lineRule="auto"/>
        <w:rPr>
          <w:rFonts w:asciiTheme="majorHAnsi" w:hAnsiTheme="majorHAnsi" w:cs="Times New Roman"/>
          <w:color w:val="auto"/>
          <w:sz w:val="18"/>
          <w:szCs w:val="18"/>
          <w:lang w:val="es-US"/>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lang w:val="es-US"/>
        </w:rPr>
        <w:t xml:space="preserve"> </w:t>
      </w:r>
      <w:r w:rsidRPr="00387335">
        <w:rPr>
          <w:rFonts w:asciiTheme="majorHAnsi" w:hAnsiTheme="majorHAnsi" w:cs="Times New Roman"/>
          <w:i/>
          <w:color w:val="auto"/>
          <w:sz w:val="18"/>
          <w:szCs w:val="18"/>
          <w:lang w:val="es-US"/>
        </w:rPr>
        <w:t>Id.</w:t>
      </w:r>
    </w:p>
  </w:endnote>
  <w:endnote w:id="29">
    <w:p w:rsidR="00EA1B0B" w:rsidRPr="00387335" w:rsidRDefault="00EA1B0B">
      <w:pPr>
        <w:pStyle w:val="EndnoteText"/>
        <w:rPr>
          <w:rFonts w:asciiTheme="majorHAnsi" w:hAnsiTheme="majorHAnsi"/>
          <w:sz w:val="18"/>
          <w:szCs w:val="18"/>
          <w:lang w:val="es-US"/>
        </w:rPr>
      </w:pPr>
      <w:r w:rsidRPr="00387335">
        <w:rPr>
          <w:rStyle w:val="EndnoteReference"/>
          <w:rFonts w:asciiTheme="majorHAnsi" w:hAnsiTheme="majorHAnsi"/>
          <w:sz w:val="18"/>
          <w:szCs w:val="18"/>
        </w:rPr>
        <w:endnoteRef/>
      </w:r>
      <w:hyperlink r:id="rId5">
        <w:r w:rsidRPr="00387335">
          <w:rPr>
            <w:rStyle w:val="Hyperlink"/>
            <w:rFonts w:asciiTheme="majorHAnsi" w:hAnsiTheme="majorHAnsi"/>
            <w:sz w:val="18"/>
            <w:szCs w:val="18"/>
            <w:lang w:val="es-US"/>
          </w:rPr>
          <w:t>http://www.americanbar.org/content/dam/aba/directories/policy/2015_hod_midyear_meeting_112.docx-88k-2015-02-26</w:t>
        </w:r>
      </w:hyperlink>
    </w:p>
  </w:endnote>
  <w:endnote w:id="30">
    <w:p w:rsidR="00EA1B0B" w:rsidRPr="00387335" w:rsidRDefault="00EA1B0B" w:rsidP="00D02B4F">
      <w:pPr>
        <w:pStyle w:val="normal0"/>
        <w:spacing w:line="240" w:lineRule="auto"/>
        <w:rPr>
          <w:rFonts w:asciiTheme="majorHAnsi" w:hAnsiTheme="majorHAnsi" w:cs="Times New Roman"/>
          <w:color w:val="auto"/>
          <w:sz w:val="18"/>
          <w:szCs w:val="18"/>
        </w:rPr>
      </w:pPr>
      <w:r w:rsidRPr="00387335">
        <w:rPr>
          <w:rFonts w:asciiTheme="majorHAnsi" w:hAnsiTheme="majorHAnsi" w:cs="Times New Roman"/>
          <w:color w:val="auto"/>
          <w:sz w:val="18"/>
          <w:szCs w:val="18"/>
          <w:vertAlign w:val="superscript"/>
        </w:rPr>
        <w:endnoteRef/>
      </w:r>
      <w:r w:rsidRPr="00387335">
        <w:rPr>
          <w:rFonts w:asciiTheme="majorHAnsi" w:hAnsiTheme="majorHAnsi" w:cs="Times New Roman"/>
          <w:color w:val="auto"/>
          <w:sz w:val="18"/>
          <w:szCs w:val="18"/>
        </w:rPr>
        <w:t xml:space="preserve"> Law Center to Prevent Gun Violence, </w:t>
      </w:r>
      <w:r w:rsidRPr="00387335">
        <w:rPr>
          <w:rFonts w:asciiTheme="majorHAnsi" w:hAnsiTheme="majorHAnsi" w:cs="Times New Roman"/>
          <w:i/>
          <w:color w:val="auto"/>
          <w:sz w:val="18"/>
          <w:szCs w:val="18"/>
        </w:rPr>
        <w:t xml:space="preserve">Developing Trend in Gun Legislation: The </w:t>
      </w:r>
      <w:proofErr w:type="spellStart"/>
      <w:r w:rsidRPr="00387335">
        <w:rPr>
          <w:rFonts w:asciiTheme="majorHAnsi" w:hAnsiTheme="majorHAnsi" w:cs="Times New Roman"/>
          <w:i/>
          <w:color w:val="auto"/>
          <w:sz w:val="18"/>
          <w:szCs w:val="18"/>
        </w:rPr>
        <w:t>Trayvon</w:t>
      </w:r>
      <w:proofErr w:type="spellEnd"/>
      <w:r w:rsidRPr="00387335">
        <w:rPr>
          <w:rFonts w:asciiTheme="majorHAnsi" w:hAnsiTheme="majorHAnsi" w:cs="Times New Roman"/>
          <w:i/>
          <w:color w:val="auto"/>
          <w:sz w:val="18"/>
          <w:szCs w:val="18"/>
        </w:rPr>
        <w:t xml:space="preserve"> Martin Exception to Stand Your Ground Laws</w:t>
      </w:r>
      <w:r w:rsidRPr="00387335">
        <w:rPr>
          <w:rFonts w:asciiTheme="majorHAnsi" w:hAnsiTheme="majorHAnsi" w:cs="Times New Roman"/>
          <w:color w:val="auto"/>
          <w:sz w:val="18"/>
          <w:szCs w:val="18"/>
        </w:rPr>
        <w:t xml:space="preserve"> (February 7, 2014).  Available at: </w:t>
      </w:r>
      <w:hyperlink r:id="rId6">
        <w:r w:rsidRPr="00387335">
          <w:rPr>
            <w:rFonts w:asciiTheme="majorHAnsi" w:hAnsiTheme="majorHAnsi" w:cs="Times New Roman"/>
            <w:color w:val="auto"/>
            <w:sz w:val="18"/>
            <w:szCs w:val="18"/>
            <w:u w:val="single"/>
          </w:rPr>
          <w:t>http://smartgunlaws.org/developing-trends-in-gun-legislation-the-trayvon-martin-exception-to-stand-your-ground-laws/</w:t>
        </w:r>
      </w:hyperlink>
    </w:p>
  </w:endnote>
  <w:endnote w:id="31">
    <w:p w:rsidR="00EA1B0B" w:rsidRPr="00387335" w:rsidRDefault="00EA1B0B" w:rsidP="00293C72">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M. </w:t>
      </w:r>
      <w:proofErr w:type="spellStart"/>
      <w:r w:rsidRPr="00387335">
        <w:rPr>
          <w:rFonts w:asciiTheme="majorHAnsi" w:hAnsiTheme="majorHAnsi"/>
          <w:sz w:val="18"/>
          <w:szCs w:val="18"/>
        </w:rPr>
        <w:t>Cintron</w:t>
      </w:r>
      <w:proofErr w:type="spellEnd"/>
      <w:r w:rsidRPr="00387335">
        <w:rPr>
          <w:rFonts w:asciiTheme="majorHAnsi" w:hAnsiTheme="majorHAnsi"/>
          <w:sz w:val="18"/>
          <w:szCs w:val="18"/>
        </w:rPr>
        <w:t xml:space="preserve">, </w:t>
      </w:r>
      <w:r w:rsidRPr="00387335">
        <w:rPr>
          <w:rFonts w:asciiTheme="majorHAnsi" w:hAnsiTheme="majorHAnsi"/>
          <w:i/>
          <w:sz w:val="18"/>
          <w:szCs w:val="18"/>
        </w:rPr>
        <w:t>College Campuses Grapple with Escalating Suicide Rates</w:t>
      </w:r>
      <w:r w:rsidRPr="00387335">
        <w:rPr>
          <w:rFonts w:asciiTheme="majorHAnsi" w:hAnsiTheme="majorHAnsi"/>
          <w:sz w:val="18"/>
          <w:szCs w:val="18"/>
        </w:rPr>
        <w:t xml:space="preserve"> at www.nearwestgazette.com.</w:t>
      </w:r>
    </w:p>
  </w:endnote>
  <w:endnote w:id="32">
    <w:p w:rsidR="00EA1B0B" w:rsidRPr="00387335" w:rsidRDefault="00EA1B0B" w:rsidP="00293C72">
      <w:pPr>
        <w:pStyle w:val="EndnoteText"/>
        <w:rPr>
          <w:rFonts w:asciiTheme="majorHAnsi" w:hAnsiTheme="majorHAnsi"/>
          <w:sz w:val="18"/>
          <w:szCs w:val="18"/>
        </w:rPr>
      </w:pPr>
      <w:r w:rsidRPr="00387335">
        <w:rPr>
          <w:rStyle w:val="FootnoteReference"/>
          <w:rFonts w:asciiTheme="majorHAnsi" w:eastAsiaTheme="minorHAnsi" w:hAnsiTheme="majorHAnsi"/>
          <w:sz w:val="18"/>
          <w:szCs w:val="18"/>
          <w:lang w:val="en-US"/>
        </w:rPr>
        <w:endnoteRef/>
      </w:r>
      <w:r w:rsidRPr="00387335">
        <w:rPr>
          <w:rStyle w:val="EndnoteReference"/>
          <w:rFonts w:asciiTheme="majorHAnsi" w:hAnsiTheme="majorHAnsi"/>
          <w:sz w:val="18"/>
          <w:szCs w:val="18"/>
        </w:rPr>
        <w:endnoteRef/>
      </w:r>
      <w:r w:rsidRPr="00387335">
        <w:rPr>
          <w:rFonts w:asciiTheme="majorHAnsi" w:hAnsiTheme="majorHAnsi"/>
          <w:sz w:val="18"/>
          <w:szCs w:val="18"/>
        </w:rPr>
        <w:t xml:space="preserve"> </w:t>
      </w:r>
      <w:proofErr w:type="spellStart"/>
      <w:proofErr w:type="gramStart"/>
      <w:r w:rsidRPr="00387335">
        <w:rPr>
          <w:rFonts w:asciiTheme="majorHAnsi" w:hAnsiTheme="majorHAnsi"/>
          <w:sz w:val="18"/>
          <w:szCs w:val="18"/>
        </w:rPr>
        <w:t>Sinozich</w:t>
      </w:r>
      <w:proofErr w:type="spellEnd"/>
      <w:r w:rsidRPr="00387335">
        <w:rPr>
          <w:rFonts w:asciiTheme="majorHAnsi" w:hAnsiTheme="majorHAnsi"/>
          <w:sz w:val="18"/>
          <w:szCs w:val="18"/>
        </w:rPr>
        <w:t>, S., &amp; Langton, L. US Department of Justice, Office of Justice Programs.</w:t>
      </w:r>
      <w:proofErr w:type="gramEnd"/>
      <w:r w:rsidRPr="00387335">
        <w:rPr>
          <w:rFonts w:asciiTheme="majorHAnsi" w:hAnsiTheme="majorHAnsi"/>
          <w:sz w:val="18"/>
          <w:szCs w:val="18"/>
        </w:rPr>
        <w:t xml:space="preserve"> </w:t>
      </w:r>
      <w:proofErr w:type="gramStart"/>
      <w:r w:rsidRPr="00387335">
        <w:rPr>
          <w:rFonts w:asciiTheme="majorHAnsi" w:hAnsiTheme="majorHAnsi"/>
          <w:sz w:val="18"/>
          <w:szCs w:val="18"/>
        </w:rPr>
        <w:t xml:space="preserve">(2014). </w:t>
      </w:r>
      <w:r w:rsidRPr="00387335">
        <w:rPr>
          <w:rFonts w:asciiTheme="majorHAnsi" w:hAnsiTheme="majorHAnsi"/>
          <w:i/>
          <w:iCs/>
          <w:sz w:val="18"/>
          <w:szCs w:val="18"/>
        </w:rPr>
        <w:t>Rape and sexual assault victimization among college-age females, 1995-2013</w:t>
      </w:r>
      <w:r w:rsidRPr="00387335">
        <w:rPr>
          <w:rFonts w:asciiTheme="majorHAnsi" w:hAnsiTheme="majorHAnsi"/>
          <w:sz w:val="18"/>
          <w:szCs w:val="18"/>
        </w:rPr>
        <w:t xml:space="preserve"> (NCJ248471).</w:t>
      </w:r>
      <w:proofErr w:type="gramEnd"/>
      <w:r w:rsidRPr="00387335">
        <w:rPr>
          <w:rFonts w:asciiTheme="majorHAnsi" w:hAnsiTheme="majorHAnsi"/>
          <w:sz w:val="18"/>
          <w:szCs w:val="18"/>
        </w:rPr>
        <w:t xml:space="preserve"> Retrieved from Bureau of Justice Statistics website: www.bjs.gov/content/pdf/rsavcaf9513.pdf</w:t>
      </w:r>
    </w:p>
  </w:endnote>
  <w:endnote w:id="33">
    <w:p w:rsidR="009C2A64" w:rsidRPr="00387335" w:rsidRDefault="009C2A64">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According to a 2007 study conducted by the National </w:t>
      </w:r>
      <w:proofErr w:type="spellStart"/>
      <w:r w:rsidRPr="00387335">
        <w:rPr>
          <w:rFonts w:asciiTheme="majorHAnsi" w:hAnsiTheme="majorHAnsi"/>
          <w:sz w:val="18"/>
          <w:szCs w:val="18"/>
        </w:rPr>
        <w:t>Center</w:t>
      </w:r>
      <w:proofErr w:type="spellEnd"/>
      <w:r w:rsidRPr="00387335">
        <w:rPr>
          <w:rFonts w:asciiTheme="majorHAnsi" w:hAnsiTheme="majorHAnsi"/>
          <w:sz w:val="18"/>
          <w:szCs w:val="18"/>
        </w:rPr>
        <w:t xml:space="preserve"> on Addiction and Substance Abuse at Columbia University, “nearly half of America’s 5.4 million full-time college students abuse drugs or drink alcohol on binges at least once a month.”</w:t>
      </w:r>
    </w:p>
  </w:endnote>
  <w:endnote w:id="34">
    <w:p w:rsidR="00EA1B0B" w:rsidRPr="00387335" w:rsidRDefault="00EA1B0B" w:rsidP="00293C72">
      <w:pPr>
        <w:pStyle w:val="EndnoteText"/>
        <w:rPr>
          <w:rFonts w:asciiTheme="majorHAnsi" w:hAnsiTheme="majorHAnsi"/>
          <w:sz w:val="18"/>
          <w:szCs w:val="18"/>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Violence Policy </w:t>
      </w:r>
      <w:proofErr w:type="spellStart"/>
      <w:r w:rsidRPr="00387335">
        <w:rPr>
          <w:rFonts w:asciiTheme="majorHAnsi" w:hAnsiTheme="majorHAnsi"/>
          <w:sz w:val="18"/>
          <w:szCs w:val="18"/>
        </w:rPr>
        <w:t>Center</w:t>
      </w:r>
      <w:proofErr w:type="spellEnd"/>
      <w:r w:rsidRPr="00387335">
        <w:rPr>
          <w:rFonts w:asciiTheme="majorHAnsi" w:hAnsiTheme="majorHAnsi"/>
          <w:sz w:val="18"/>
          <w:szCs w:val="18"/>
        </w:rPr>
        <w:t xml:space="preserve"> – Concealed Carry Killers (www.concealedcarrykillers.org)</w:t>
      </w:r>
    </w:p>
  </w:endnote>
  <w:endnote w:id="35">
    <w:p w:rsidR="00655E23" w:rsidRPr="00387335" w:rsidRDefault="00655E23">
      <w:pPr>
        <w:pStyle w:val="EndnoteText"/>
        <w:rPr>
          <w:rFonts w:asciiTheme="majorHAnsi" w:hAnsiTheme="majorHAnsi"/>
          <w:sz w:val="18"/>
          <w:szCs w:val="18"/>
          <w:lang w:val="en-US"/>
        </w:rPr>
      </w:pPr>
      <w:r w:rsidRPr="00387335">
        <w:rPr>
          <w:rStyle w:val="EndnoteReference"/>
          <w:rFonts w:asciiTheme="majorHAnsi" w:hAnsiTheme="majorHAnsi"/>
          <w:sz w:val="18"/>
          <w:szCs w:val="18"/>
        </w:rPr>
        <w:endnoteRef/>
      </w:r>
      <w:r w:rsidRPr="00387335">
        <w:rPr>
          <w:rFonts w:asciiTheme="majorHAnsi" w:hAnsiTheme="majorHAnsi"/>
          <w:sz w:val="18"/>
          <w:szCs w:val="18"/>
        </w:rPr>
        <w:t xml:space="preserve"> http://www.ushrnetwork.org/resources-media/iccpr-shadow-report-stand-your-ground-laws</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Lucida Grande">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5062315"/>
      <w:docPartObj>
        <w:docPartGallery w:val="Page Numbers (Bottom of Page)"/>
        <w:docPartUnique/>
      </w:docPartObj>
    </w:sdtPr>
    <w:sdtEndPr>
      <w:rPr>
        <w:rFonts w:asciiTheme="majorHAnsi" w:hAnsiTheme="majorHAnsi"/>
        <w:sz w:val="16"/>
        <w:szCs w:val="16"/>
      </w:rPr>
    </w:sdtEndPr>
    <w:sdtContent>
      <w:p w:rsidR="00EA1B0B" w:rsidRPr="00EA0B8C" w:rsidRDefault="000C5FE7" w:rsidP="0090348F">
        <w:pPr>
          <w:pStyle w:val="Footer"/>
          <w:jc w:val="right"/>
          <w:rPr>
            <w:rFonts w:asciiTheme="majorHAnsi" w:hAnsiTheme="majorHAnsi"/>
            <w:sz w:val="16"/>
            <w:szCs w:val="16"/>
          </w:rPr>
        </w:pPr>
        <w:fldSimple w:instr=" PAGE   \* MERGEFORMAT ">
          <w:r w:rsidR="00136610" w:rsidRPr="00136610">
            <w:rPr>
              <w:rFonts w:asciiTheme="majorHAnsi" w:hAnsiTheme="majorHAnsi"/>
              <w:noProof/>
              <w:sz w:val="16"/>
              <w:szCs w:val="16"/>
            </w:rPr>
            <w:t>1</w:t>
          </w:r>
        </w:fldSimple>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3570" w:rsidRDefault="00963570" w:rsidP="00963570">
      <w:r>
        <w:separator/>
      </w:r>
    </w:p>
  </w:footnote>
  <w:footnote w:type="continuationSeparator" w:id="0">
    <w:p w:rsidR="00963570" w:rsidRDefault="00963570" w:rsidP="0096357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1B0B" w:rsidRPr="00F119F6" w:rsidRDefault="00EA1B0B" w:rsidP="0090348F">
    <w:pPr>
      <w:pStyle w:val="Header"/>
      <w:ind w:right="-158"/>
      <w:jc w:val="center"/>
      <w:rPr>
        <w:rFonts w:asciiTheme="majorHAnsi" w:hAnsiTheme="majorHAnsi"/>
        <w:sz w:val="17"/>
        <w:szCs w:val="17"/>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86E1B"/>
    <w:multiLevelType w:val="multilevel"/>
    <w:tmpl w:val="B2F0374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2FF6C92"/>
    <w:multiLevelType w:val="hybridMultilevel"/>
    <w:tmpl w:val="B6C2E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CB2B92"/>
    <w:multiLevelType w:val="hybridMultilevel"/>
    <w:tmpl w:val="91D04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7F6DD5"/>
    <w:multiLevelType w:val="hybridMultilevel"/>
    <w:tmpl w:val="F1807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B64808"/>
    <w:multiLevelType w:val="hybridMultilevel"/>
    <w:tmpl w:val="A7C6F89C"/>
    <w:lvl w:ilvl="0" w:tplc="0E4841C6">
      <w:start w:val="3"/>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EB21E4"/>
    <w:multiLevelType w:val="hybridMultilevel"/>
    <w:tmpl w:val="F18078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A16717"/>
    <w:multiLevelType w:val="hybridMultilevel"/>
    <w:tmpl w:val="27AC4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2F3D24"/>
    <w:multiLevelType w:val="hybridMultilevel"/>
    <w:tmpl w:val="98160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C962DD8"/>
    <w:multiLevelType w:val="hybridMultilevel"/>
    <w:tmpl w:val="6FC8D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2C1FAD"/>
    <w:multiLevelType w:val="hybridMultilevel"/>
    <w:tmpl w:val="DCB22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8"/>
  </w:num>
  <w:num w:numId="5">
    <w:abstractNumId w:val="1"/>
  </w:num>
  <w:num w:numId="6">
    <w:abstractNumId w:val="5"/>
  </w:num>
  <w:num w:numId="7">
    <w:abstractNumId w:val="6"/>
  </w:num>
  <w:num w:numId="8">
    <w:abstractNumId w:val="0"/>
  </w:num>
  <w:num w:numId="9">
    <w:abstractNumId w:val="4"/>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numFmt w:val="decimal"/>
    <w:endnote w:id="-1"/>
    <w:endnote w:id="0"/>
  </w:endnotePr>
  <w:compat>
    <w:doNotAutofitConstrainedTables/>
    <w:splitPgBreakAndParaMark/>
    <w:doNotVertAlignCellWithSp/>
    <w:doNotBreakConstrainedForcedTable/>
    <w:useAnsiKerningPairs/>
    <w:cachedColBalance/>
  </w:compat>
  <w:rsids>
    <w:rsidRoot w:val="0090348F"/>
    <w:rsid w:val="000B1149"/>
    <w:rsid w:val="000C5FE7"/>
    <w:rsid w:val="000E7A1C"/>
    <w:rsid w:val="001038C1"/>
    <w:rsid w:val="00113AF0"/>
    <w:rsid w:val="00123416"/>
    <w:rsid w:val="00136610"/>
    <w:rsid w:val="00170B99"/>
    <w:rsid w:val="001C2200"/>
    <w:rsid w:val="00234077"/>
    <w:rsid w:val="002426B1"/>
    <w:rsid w:val="00247393"/>
    <w:rsid w:val="0029068C"/>
    <w:rsid w:val="00293C72"/>
    <w:rsid w:val="002D503A"/>
    <w:rsid w:val="003638AA"/>
    <w:rsid w:val="00387335"/>
    <w:rsid w:val="004141DD"/>
    <w:rsid w:val="00445398"/>
    <w:rsid w:val="00462ADF"/>
    <w:rsid w:val="004638C2"/>
    <w:rsid w:val="00487284"/>
    <w:rsid w:val="005241CF"/>
    <w:rsid w:val="005559C0"/>
    <w:rsid w:val="005D253F"/>
    <w:rsid w:val="00616868"/>
    <w:rsid w:val="00623229"/>
    <w:rsid w:val="006522BB"/>
    <w:rsid w:val="00655E23"/>
    <w:rsid w:val="00723F15"/>
    <w:rsid w:val="00743D62"/>
    <w:rsid w:val="008805F1"/>
    <w:rsid w:val="00881EBA"/>
    <w:rsid w:val="008B31B3"/>
    <w:rsid w:val="008E0F68"/>
    <w:rsid w:val="008F1933"/>
    <w:rsid w:val="0090348F"/>
    <w:rsid w:val="009416A2"/>
    <w:rsid w:val="009434C2"/>
    <w:rsid w:val="00963570"/>
    <w:rsid w:val="00971889"/>
    <w:rsid w:val="0098020B"/>
    <w:rsid w:val="0099452E"/>
    <w:rsid w:val="009C2A64"/>
    <w:rsid w:val="00A2297D"/>
    <w:rsid w:val="00A27D75"/>
    <w:rsid w:val="00A40BAB"/>
    <w:rsid w:val="00A7071C"/>
    <w:rsid w:val="00B528F9"/>
    <w:rsid w:val="00B568AC"/>
    <w:rsid w:val="00BE236B"/>
    <w:rsid w:val="00D02B4F"/>
    <w:rsid w:val="00D42DDC"/>
    <w:rsid w:val="00D63F24"/>
    <w:rsid w:val="00D8728A"/>
    <w:rsid w:val="00DA0587"/>
    <w:rsid w:val="00DC1248"/>
    <w:rsid w:val="00DD1C04"/>
    <w:rsid w:val="00E3544B"/>
    <w:rsid w:val="00EA1B0B"/>
    <w:rsid w:val="00EF24C1"/>
    <w:rsid w:val="00EF4BAB"/>
    <w:rsid w:val="00F55D1A"/>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67">
    <w:lsdException w:name="heading 4" w:uiPriority="9"/>
    <w:lsdException w:name="footnote text" w:uiPriority="99"/>
    <w:lsdException w:name="annotation text" w:uiPriority="99"/>
    <w:lsdException w:name="footer" w:uiPriority="99"/>
    <w:lsdException w:name="footnote reference" w:uiPriority="99"/>
    <w:lsdException w:name="annotation reference" w:uiPriority="99"/>
    <w:lsdException w:name="Hyperlink" w:uiPriority="99"/>
    <w:lsdException w:name="Strong" w:uiPriority="22"/>
  </w:latentStyles>
  <w:style w:type="paragraph" w:default="1" w:styleId="Normal">
    <w:name w:val="Normal"/>
    <w:rsid w:val="0090348F"/>
    <w:pPr>
      <w:suppressAutoHyphens/>
    </w:pPr>
    <w:rPr>
      <w:rFonts w:ascii="Calibri" w:eastAsia="Calibri" w:hAnsi="Calibri" w:cs="Times New Roman"/>
      <w:sz w:val="22"/>
      <w:szCs w:val="22"/>
      <w:lang w:val="en-GB"/>
    </w:rPr>
  </w:style>
  <w:style w:type="paragraph" w:styleId="Heading4">
    <w:name w:val="heading 4"/>
    <w:basedOn w:val="Normal"/>
    <w:link w:val="Heading4Char"/>
    <w:uiPriority w:val="9"/>
    <w:rsid w:val="00A7071C"/>
    <w:pPr>
      <w:suppressAutoHyphens w:val="0"/>
      <w:spacing w:beforeLines="1" w:afterLines="1"/>
      <w:outlineLvl w:val="3"/>
    </w:pPr>
    <w:rPr>
      <w:rFonts w:ascii="Times" w:eastAsiaTheme="minorHAnsi" w:hAnsi="Times" w:cstheme="minorBidi"/>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0348F"/>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HeaderChar">
    <w:name w:val="Header Char"/>
    <w:basedOn w:val="DefaultParagraphFont"/>
    <w:link w:val="Header"/>
    <w:rsid w:val="0090348F"/>
    <w:rPr>
      <w:rFonts w:eastAsiaTheme="minorEastAsia"/>
      <w:sz w:val="24"/>
      <w:szCs w:val="24"/>
    </w:rPr>
  </w:style>
  <w:style w:type="paragraph" w:styleId="Footer">
    <w:name w:val="footer"/>
    <w:basedOn w:val="Normal"/>
    <w:link w:val="FooterChar"/>
    <w:uiPriority w:val="99"/>
    <w:unhideWhenUsed/>
    <w:rsid w:val="0090348F"/>
    <w:pPr>
      <w:tabs>
        <w:tab w:val="center" w:pos="4320"/>
        <w:tab w:val="right" w:pos="8640"/>
      </w:tabs>
      <w:suppressAutoHyphens w:val="0"/>
    </w:pPr>
    <w:rPr>
      <w:rFonts w:asciiTheme="minorHAnsi" w:eastAsiaTheme="minorEastAsia" w:hAnsiTheme="minorHAnsi" w:cstheme="minorBidi"/>
      <w:sz w:val="24"/>
      <w:szCs w:val="24"/>
      <w:lang w:val="en-US"/>
    </w:rPr>
  </w:style>
  <w:style w:type="character" w:customStyle="1" w:styleId="FooterChar">
    <w:name w:val="Footer Char"/>
    <w:basedOn w:val="DefaultParagraphFont"/>
    <w:link w:val="Footer"/>
    <w:uiPriority w:val="99"/>
    <w:rsid w:val="0090348F"/>
    <w:rPr>
      <w:rFonts w:eastAsiaTheme="minorEastAsia"/>
      <w:sz w:val="24"/>
      <w:szCs w:val="24"/>
    </w:rPr>
  </w:style>
  <w:style w:type="paragraph" w:styleId="ListParagraph">
    <w:name w:val="List Paragraph"/>
    <w:basedOn w:val="Normal"/>
    <w:uiPriority w:val="34"/>
    <w:qFormat/>
    <w:rsid w:val="0090348F"/>
    <w:pPr>
      <w:ind w:left="720"/>
      <w:contextualSpacing/>
    </w:pPr>
  </w:style>
  <w:style w:type="paragraph" w:customStyle="1" w:styleId="normal0">
    <w:name w:val="normal"/>
    <w:rsid w:val="0090348F"/>
    <w:pPr>
      <w:spacing w:line="276" w:lineRule="auto"/>
    </w:pPr>
    <w:rPr>
      <w:rFonts w:ascii="Arial" w:eastAsia="Arial" w:hAnsi="Arial" w:cs="Arial"/>
      <w:color w:val="000000"/>
      <w:sz w:val="22"/>
      <w:szCs w:val="20"/>
    </w:rPr>
  </w:style>
  <w:style w:type="paragraph" w:styleId="FootnoteText">
    <w:name w:val="footnote text"/>
    <w:basedOn w:val="Normal"/>
    <w:link w:val="FootnoteTextChar"/>
    <w:uiPriority w:val="99"/>
    <w:unhideWhenUsed/>
    <w:rsid w:val="0090348F"/>
    <w:pPr>
      <w:suppressAutoHyphens w:val="0"/>
    </w:pPr>
    <w:rPr>
      <w:rFonts w:asciiTheme="minorHAnsi" w:eastAsiaTheme="minorHAnsi" w:hAnsiTheme="minorHAnsi" w:cstheme="minorBidi"/>
      <w:sz w:val="20"/>
      <w:szCs w:val="20"/>
      <w:lang w:val="en-US"/>
    </w:rPr>
  </w:style>
  <w:style w:type="character" w:customStyle="1" w:styleId="FootnoteTextChar">
    <w:name w:val="Footnote Text Char"/>
    <w:basedOn w:val="DefaultParagraphFont"/>
    <w:link w:val="FootnoteText"/>
    <w:uiPriority w:val="99"/>
    <w:rsid w:val="0090348F"/>
    <w:rPr>
      <w:sz w:val="20"/>
      <w:szCs w:val="20"/>
    </w:rPr>
  </w:style>
  <w:style w:type="character" w:styleId="FootnoteReference">
    <w:name w:val="footnote reference"/>
    <w:basedOn w:val="DefaultParagraphFont"/>
    <w:uiPriority w:val="99"/>
    <w:unhideWhenUsed/>
    <w:rsid w:val="0090348F"/>
    <w:rPr>
      <w:vertAlign w:val="superscript"/>
    </w:rPr>
  </w:style>
  <w:style w:type="character" w:styleId="CommentReference">
    <w:name w:val="annotation reference"/>
    <w:basedOn w:val="DefaultParagraphFont"/>
    <w:uiPriority w:val="99"/>
    <w:unhideWhenUsed/>
    <w:rsid w:val="00D02B4F"/>
    <w:rPr>
      <w:sz w:val="18"/>
      <w:szCs w:val="18"/>
    </w:rPr>
  </w:style>
  <w:style w:type="paragraph" w:styleId="CommentText">
    <w:name w:val="annotation text"/>
    <w:basedOn w:val="Normal"/>
    <w:link w:val="CommentTextChar"/>
    <w:uiPriority w:val="99"/>
    <w:unhideWhenUsed/>
    <w:rsid w:val="00D02B4F"/>
    <w:pPr>
      <w:suppressAutoHyphens w:val="0"/>
    </w:pPr>
    <w:rPr>
      <w:rFonts w:ascii="Arial" w:eastAsia="Arial" w:hAnsi="Arial" w:cs="Arial"/>
      <w:color w:val="000000"/>
      <w:sz w:val="24"/>
      <w:szCs w:val="24"/>
      <w:lang w:val="en-US"/>
    </w:rPr>
  </w:style>
  <w:style w:type="character" w:customStyle="1" w:styleId="CommentTextChar">
    <w:name w:val="Comment Text Char"/>
    <w:basedOn w:val="DefaultParagraphFont"/>
    <w:link w:val="CommentText"/>
    <w:uiPriority w:val="99"/>
    <w:rsid w:val="00D02B4F"/>
    <w:rPr>
      <w:rFonts w:ascii="Arial" w:eastAsia="Arial" w:hAnsi="Arial" w:cs="Arial"/>
      <w:color w:val="000000"/>
    </w:rPr>
  </w:style>
  <w:style w:type="paragraph" w:styleId="BalloonText">
    <w:name w:val="Balloon Text"/>
    <w:basedOn w:val="Normal"/>
    <w:link w:val="BalloonTextChar"/>
    <w:rsid w:val="00D02B4F"/>
    <w:rPr>
      <w:rFonts w:ascii="Lucida Grande" w:hAnsi="Lucida Grande"/>
      <w:sz w:val="18"/>
      <w:szCs w:val="18"/>
    </w:rPr>
  </w:style>
  <w:style w:type="character" w:customStyle="1" w:styleId="BalloonTextChar">
    <w:name w:val="Balloon Text Char"/>
    <w:basedOn w:val="DefaultParagraphFont"/>
    <w:link w:val="BalloonText"/>
    <w:rsid w:val="00D02B4F"/>
    <w:rPr>
      <w:rFonts w:ascii="Lucida Grande" w:eastAsia="Calibri" w:hAnsi="Lucida Grande" w:cs="Times New Roman"/>
      <w:sz w:val="18"/>
      <w:szCs w:val="18"/>
      <w:lang w:val="en-GB"/>
    </w:rPr>
  </w:style>
  <w:style w:type="character" w:styleId="Hyperlink">
    <w:name w:val="Hyperlink"/>
    <w:basedOn w:val="DefaultParagraphFont"/>
    <w:uiPriority w:val="99"/>
    <w:unhideWhenUsed/>
    <w:rsid w:val="00D02B4F"/>
    <w:rPr>
      <w:color w:val="0000FF" w:themeColor="hyperlink"/>
      <w:u w:val="single"/>
    </w:rPr>
  </w:style>
  <w:style w:type="paragraph" w:styleId="EndnoteText">
    <w:name w:val="endnote text"/>
    <w:basedOn w:val="Normal"/>
    <w:link w:val="EndnoteTextChar"/>
    <w:rsid w:val="0098020B"/>
    <w:rPr>
      <w:sz w:val="24"/>
      <w:szCs w:val="24"/>
    </w:rPr>
  </w:style>
  <w:style w:type="character" w:customStyle="1" w:styleId="EndnoteTextChar">
    <w:name w:val="Endnote Text Char"/>
    <w:basedOn w:val="DefaultParagraphFont"/>
    <w:link w:val="EndnoteText"/>
    <w:rsid w:val="0098020B"/>
    <w:rPr>
      <w:rFonts w:ascii="Calibri" w:eastAsia="Calibri" w:hAnsi="Calibri" w:cs="Times New Roman"/>
      <w:lang w:val="en-GB"/>
    </w:rPr>
  </w:style>
  <w:style w:type="character" w:styleId="EndnoteReference">
    <w:name w:val="endnote reference"/>
    <w:basedOn w:val="DefaultParagraphFont"/>
    <w:rsid w:val="0098020B"/>
    <w:rPr>
      <w:vertAlign w:val="superscript"/>
    </w:rPr>
  </w:style>
  <w:style w:type="character" w:customStyle="1" w:styleId="Heading4Char">
    <w:name w:val="Heading 4 Char"/>
    <w:basedOn w:val="DefaultParagraphFont"/>
    <w:link w:val="Heading4"/>
    <w:uiPriority w:val="9"/>
    <w:rsid w:val="00A7071C"/>
    <w:rPr>
      <w:rFonts w:ascii="Times" w:hAnsi="Times"/>
      <w:b/>
      <w:szCs w:val="20"/>
    </w:rPr>
  </w:style>
  <w:style w:type="character" w:styleId="Strong">
    <w:name w:val="Strong"/>
    <w:basedOn w:val="DefaultParagraphFont"/>
    <w:uiPriority w:val="22"/>
    <w:rsid w:val="00A7071C"/>
    <w:rPr>
      <w:b/>
    </w:rPr>
  </w:style>
  <w:style w:type="character" w:customStyle="1" w:styleId="gi">
    <w:name w:val="gi"/>
    <w:basedOn w:val="DefaultParagraphFont"/>
    <w:rsid w:val="00A7071C"/>
  </w:style>
  <w:style w:type="character" w:styleId="FollowedHyperlink">
    <w:name w:val="FollowedHyperlink"/>
    <w:basedOn w:val="DefaultParagraphFont"/>
    <w:rsid w:val="002D503A"/>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898514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eena@communityjusticeproject.com" TargetMode="External"/><Relationship Id="rId18" Type="http://schemas.openxmlformats.org/officeDocument/2006/relationships/hyperlink" Target="http://www.americanbar.org/content/dam/aba/directories/policy/2015_hod_midyear_meeting_112.docx-88k-2015-02-26"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dreamdefenders.org" TargetMode="External"/><Relationship Id="rId17" Type="http://schemas.openxmlformats.org/officeDocument/2006/relationships/hyperlink" Target="http://www.keepgunsoffcampus.org" TargetMode="Externa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mailto:keepgunsoffcampusfl@gmail.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buznaid@dreamdefenders.org"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mailto:andy@gunfreekids.org" TargetMode="External"/><Relationship Id="rId23"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communityjusticeproject.com" TargetMode="External"/><Relationship Id="rId22"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www.huffingtonpost.com/2014/06/22/stand-your-ground-warning-shots-marissa-alexander_n_5519168.html" TargetMode="External"/><Relationship Id="rId2" Type="http://schemas.openxmlformats.org/officeDocument/2006/relationships/hyperlink" Target="http://www.abajournal.com/files/GunReport.pdf" TargetMode="External"/><Relationship Id="rId1" Type="http://schemas.openxmlformats.org/officeDocument/2006/relationships/hyperlink" Target="http://jacksonville.com/news/crime/2014-10-17/story/michael-dunn-gets-life-plus-90-years-jordan-davis-killing" TargetMode="External"/><Relationship Id="rId6" Type="http://schemas.openxmlformats.org/officeDocument/2006/relationships/hyperlink" Target="http://smartgunlaws.org/developing-trends-in-gun-legislation-the-trayvon-martin-exception-to-stand-your-ground-laws/" TargetMode="External"/><Relationship Id="rId5" Type="http://schemas.openxmlformats.org/officeDocument/2006/relationships/hyperlink" Target="http://www.americanbar.org/content/dam/aba/directories/policy/2015_hod_midyear_meeting_112.docx-88k-2015-02-26" TargetMode="External"/><Relationship Id="rId4" Type="http://schemas.openxmlformats.org/officeDocument/2006/relationships/hyperlink" Target="http://www.huffingtonpost.com/2014/06/22/stand-your-ground-warning-shots-marissa-alexander_n_55191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95AF07E9D52746B60E2F270CE938D2" ma:contentTypeVersion="0" ma:contentTypeDescription="Create a new document." ma:contentTypeScope="" ma:versionID="071de37fd9dcf30865a9de005d783a3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22A10D-393F-4375-AFEF-A7ECBDEB5448}"/>
</file>

<file path=customXml/itemProps2.xml><?xml version="1.0" encoding="utf-8"?>
<ds:datastoreItem xmlns:ds="http://schemas.openxmlformats.org/officeDocument/2006/customXml" ds:itemID="{45329A1C-E106-424C-83F7-9CD1A046ADFB}"/>
</file>

<file path=customXml/itemProps3.xml><?xml version="1.0" encoding="utf-8"?>
<ds:datastoreItem xmlns:ds="http://schemas.openxmlformats.org/officeDocument/2006/customXml" ds:itemID="{AFF13CCE-FC6F-4D25-BB35-922BE9F9C756}"/>
</file>

<file path=customXml/itemProps4.xml><?xml version="1.0" encoding="utf-8"?>
<ds:datastoreItem xmlns:ds="http://schemas.openxmlformats.org/officeDocument/2006/customXml" ds:itemID="{09ECE7C3-257C-4B24-A76F-4B2AC1CE6034}"/>
</file>

<file path=docProps/app.xml><?xml version="1.0" encoding="utf-8"?>
<Properties xmlns="http://schemas.openxmlformats.org/officeDocument/2006/extended-properties" xmlns:vt="http://schemas.openxmlformats.org/officeDocument/2006/docPropsVTypes">
  <Template>Normal.dotm</Template>
  <TotalTime>0</TotalTime>
  <Pages>8</Pages>
  <Words>3149</Words>
  <Characters>17951</Characters>
  <Application>Microsoft Office Word</Application>
  <DocSecurity>0</DocSecurity>
  <Lines>149</Lines>
  <Paragraphs>42</Paragraphs>
  <ScaleCrop>false</ScaleCrop>
  <Company/>
  <LinksUpToDate>false</LinksUpToDate>
  <CharactersWithSpaces>21058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Meena Jagannath</dc:creator>
  <cp:lastModifiedBy>FLS</cp:lastModifiedBy>
  <cp:revision>2</cp:revision>
  <cp:lastPrinted>2015-05-11T20:48:00Z</cp:lastPrinted>
  <dcterms:created xsi:type="dcterms:W3CDTF">2015-05-19T16:20:00Z</dcterms:created>
  <dcterms:modified xsi:type="dcterms:W3CDTF">2015-05-19T16:20:00Z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0x0101001095AF07E9D52746B60E2F270CE938D2</vt:lpwstr>
  </property>
</Properties>
</file>