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7BAF" w:rsidRPr="004F0E3B" w:rsidRDefault="007B20E3" w:rsidP="004F4B68">
      <w:pPr>
        <w:autoSpaceDE w:val="0"/>
        <w:autoSpaceDN w:val="0"/>
        <w:adjustRightInd w:val="0"/>
        <w:spacing w:after="0" w:line="240" w:lineRule="auto"/>
        <w:rPr>
          <w:rFonts w:ascii="Times New Roman" w:hAnsi="Times New Roman" w:cs="Times New Roman"/>
          <w:sz w:val="24"/>
          <w:szCs w:val="24"/>
        </w:rPr>
      </w:pPr>
      <w:bookmarkStart w:id="0" w:name="_GoBack"/>
      <w:bookmarkEnd w:id="0"/>
      <w:r>
        <w:rPr>
          <w:rFonts w:ascii="Times New Roman" w:hAnsi="Times New Roman" w:cs="Times New Roman"/>
          <w:sz w:val="24"/>
          <w:szCs w:val="24"/>
        </w:rPr>
        <w:t>United Nation</w:t>
      </w:r>
      <w:r w:rsidR="00394487">
        <w:rPr>
          <w:rFonts w:ascii="Times New Roman" w:hAnsi="Times New Roman" w:cs="Times New Roman"/>
          <w:sz w:val="24"/>
          <w:szCs w:val="24"/>
        </w:rPr>
        <w:t>s</w:t>
      </w:r>
      <w:r>
        <w:rPr>
          <w:rFonts w:ascii="Times New Roman" w:hAnsi="Times New Roman" w:cs="Times New Roman"/>
          <w:sz w:val="24"/>
          <w:szCs w:val="24"/>
        </w:rPr>
        <w:t xml:space="preserve"> </w:t>
      </w:r>
      <w:r w:rsidR="00D47BAF" w:rsidRPr="004F0E3B">
        <w:rPr>
          <w:rFonts w:ascii="Times New Roman" w:hAnsi="Times New Roman" w:cs="Times New Roman"/>
          <w:sz w:val="24"/>
          <w:szCs w:val="24"/>
        </w:rPr>
        <w:t>Human Rights Committee</w:t>
      </w:r>
    </w:p>
    <w:p w:rsidR="00D47BAF" w:rsidRPr="004F0E3B" w:rsidRDefault="00D47BAF" w:rsidP="004F4B68">
      <w:pPr>
        <w:autoSpaceDE w:val="0"/>
        <w:autoSpaceDN w:val="0"/>
        <w:adjustRightInd w:val="0"/>
        <w:spacing w:after="0" w:line="240" w:lineRule="auto"/>
        <w:rPr>
          <w:rFonts w:ascii="Times New Roman" w:hAnsi="Times New Roman" w:cs="Times New Roman"/>
          <w:sz w:val="24"/>
          <w:szCs w:val="24"/>
        </w:rPr>
      </w:pPr>
      <w:proofErr w:type="spellStart"/>
      <w:r w:rsidRPr="004F0E3B">
        <w:rPr>
          <w:rFonts w:ascii="Times New Roman" w:hAnsi="Times New Roman" w:cs="Times New Roman"/>
          <w:sz w:val="24"/>
          <w:szCs w:val="24"/>
        </w:rPr>
        <w:t>Palais</w:t>
      </w:r>
      <w:proofErr w:type="spellEnd"/>
      <w:r w:rsidRPr="004F0E3B">
        <w:rPr>
          <w:rFonts w:ascii="Times New Roman" w:hAnsi="Times New Roman" w:cs="Times New Roman"/>
          <w:sz w:val="24"/>
          <w:szCs w:val="24"/>
        </w:rPr>
        <w:t xml:space="preserve"> Wilson</w:t>
      </w:r>
    </w:p>
    <w:p w:rsidR="00D47BAF" w:rsidRPr="004F0E3B" w:rsidRDefault="00D47BAF" w:rsidP="004F4B68">
      <w:pPr>
        <w:autoSpaceDE w:val="0"/>
        <w:autoSpaceDN w:val="0"/>
        <w:adjustRightInd w:val="0"/>
        <w:spacing w:after="0" w:line="240" w:lineRule="auto"/>
        <w:rPr>
          <w:rStyle w:val="st1"/>
          <w:rFonts w:ascii="Times New Roman" w:hAnsi="Times New Roman" w:cs="Times New Roman"/>
          <w:sz w:val="24"/>
          <w:szCs w:val="24"/>
          <w:lang w:val="en"/>
        </w:rPr>
      </w:pPr>
      <w:r w:rsidRPr="004F0E3B">
        <w:rPr>
          <w:rStyle w:val="st1"/>
          <w:rFonts w:ascii="Times New Roman" w:hAnsi="Times New Roman" w:cs="Times New Roman"/>
          <w:sz w:val="24"/>
          <w:szCs w:val="24"/>
          <w:lang w:val="en"/>
        </w:rPr>
        <w:t>52 rue des Pâquis</w:t>
      </w:r>
    </w:p>
    <w:p w:rsidR="00D47BAF" w:rsidRPr="004F0E3B" w:rsidRDefault="00D47BAF" w:rsidP="004F4B68">
      <w:pPr>
        <w:autoSpaceDE w:val="0"/>
        <w:autoSpaceDN w:val="0"/>
        <w:adjustRightInd w:val="0"/>
        <w:spacing w:after="0" w:line="240" w:lineRule="auto"/>
        <w:rPr>
          <w:rStyle w:val="st1"/>
          <w:rFonts w:ascii="Times New Roman" w:hAnsi="Times New Roman" w:cs="Times New Roman"/>
          <w:sz w:val="24"/>
          <w:szCs w:val="24"/>
          <w:lang w:val="en"/>
        </w:rPr>
      </w:pPr>
      <w:r w:rsidRPr="004F0E3B">
        <w:rPr>
          <w:rStyle w:val="st1"/>
          <w:rFonts w:ascii="Times New Roman" w:hAnsi="Times New Roman" w:cs="Times New Roman"/>
          <w:sz w:val="24"/>
          <w:szCs w:val="24"/>
          <w:lang w:val="en"/>
        </w:rPr>
        <w:t>CH-1201</w:t>
      </w:r>
    </w:p>
    <w:p w:rsidR="00D47BAF" w:rsidRPr="004F0E3B" w:rsidRDefault="00D47BAF" w:rsidP="004F4B68">
      <w:pPr>
        <w:autoSpaceDE w:val="0"/>
        <w:autoSpaceDN w:val="0"/>
        <w:adjustRightInd w:val="0"/>
        <w:spacing w:after="0" w:line="240" w:lineRule="auto"/>
        <w:rPr>
          <w:rStyle w:val="st1"/>
          <w:rFonts w:ascii="Times New Roman" w:hAnsi="Times New Roman" w:cs="Times New Roman"/>
          <w:sz w:val="24"/>
          <w:szCs w:val="24"/>
          <w:lang w:val="en"/>
        </w:rPr>
      </w:pPr>
      <w:r w:rsidRPr="004F0E3B">
        <w:rPr>
          <w:rStyle w:val="st1"/>
          <w:rFonts w:ascii="Times New Roman" w:hAnsi="Times New Roman" w:cs="Times New Roman"/>
          <w:sz w:val="24"/>
          <w:szCs w:val="24"/>
          <w:lang w:val="en"/>
        </w:rPr>
        <w:t>Geneva, Switzerland</w:t>
      </w:r>
    </w:p>
    <w:p w:rsidR="00D47BAF" w:rsidRPr="004F0E3B" w:rsidRDefault="00D47BAF" w:rsidP="004F4B68">
      <w:pPr>
        <w:autoSpaceDE w:val="0"/>
        <w:autoSpaceDN w:val="0"/>
        <w:adjustRightInd w:val="0"/>
        <w:spacing w:after="0" w:line="480" w:lineRule="auto"/>
        <w:rPr>
          <w:rStyle w:val="st1"/>
          <w:rFonts w:ascii="Times New Roman" w:hAnsi="Times New Roman" w:cs="Times New Roman"/>
          <w:sz w:val="24"/>
          <w:szCs w:val="24"/>
          <w:lang w:val="en"/>
        </w:rPr>
      </w:pPr>
    </w:p>
    <w:p w:rsidR="00D47BAF" w:rsidRPr="004F0E3B" w:rsidRDefault="009F5480" w:rsidP="004F4B68">
      <w:pPr>
        <w:autoSpaceDE w:val="0"/>
        <w:autoSpaceDN w:val="0"/>
        <w:adjustRightInd w:val="0"/>
        <w:spacing w:after="0" w:line="480" w:lineRule="auto"/>
        <w:jc w:val="right"/>
        <w:rPr>
          <w:rFonts w:ascii="Times New Roman" w:hAnsi="Times New Roman" w:cs="Times New Roman"/>
          <w:sz w:val="24"/>
          <w:szCs w:val="24"/>
        </w:rPr>
      </w:pPr>
      <w:r>
        <w:rPr>
          <w:rStyle w:val="st1"/>
          <w:rFonts w:ascii="Times New Roman" w:hAnsi="Times New Roman" w:cs="Times New Roman"/>
          <w:sz w:val="24"/>
          <w:szCs w:val="24"/>
          <w:lang w:val="en"/>
        </w:rPr>
        <w:t>December</w:t>
      </w:r>
      <w:r w:rsidR="00D47BAF" w:rsidRPr="004F0E3B">
        <w:rPr>
          <w:rStyle w:val="st1"/>
          <w:rFonts w:ascii="Times New Roman" w:hAnsi="Times New Roman" w:cs="Times New Roman"/>
          <w:sz w:val="24"/>
          <w:szCs w:val="24"/>
          <w:lang w:val="en"/>
        </w:rPr>
        <w:t xml:space="preserve"> 9, 2015</w:t>
      </w:r>
    </w:p>
    <w:p w:rsidR="004F0E3B" w:rsidRPr="004F0E3B" w:rsidRDefault="004F0E3B" w:rsidP="004F4B68">
      <w:pPr>
        <w:autoSpaceDE w:val="0"/>
        <w:autoSpaceDN w:val="0"/>
        <w:adjustRightInd w:val="0"/>
        <w:spacing w:after="0" w:line="480" w:lineRule="auto"/>
        <w:rPr>
          <w:rFonts w:ascii="Times New Roman" w:hAnsi="Times New Roman" w:cs="Times New Roman"/>
          <w:sz w:val="24"/>
          <w:szCs w:val="24"/>
        </w:rPr>
      </w:pPr>
    </w:p>
    <w:p w:rsidR="000843B4" w:rsidRDefault="004F4B68" w:rsidP="004F4B68">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Dear Ms. Fox and Ms. Santana:</w:t>
      </w:r>
    </w:p>
    <w:p w:rsidR="004F4B68" w:rsidRPr="004F0E3B" w:rsidRDefault="004F4B68" w:rsidP="004F4B68">
      <w:pPr>
        <w:autoSpaceDE w:val="0"/>
        <w:autoSpaceDN w:val="0"/>
        <w:adjustRightInd w:val="0"/>
        <w:spacing w:after="0" w:line="480" w:lineRule="auto"/>
        <w:rPr>
          <w:rFonts w:ascii="Times New Roman" w:hAnsi="Times New Roman" w:cs="Times New Roman"/>
          <w:sz w:val="24"/>
          <w:szCs w:val="24"/>
        </w:rPr>
      </w:pPr>
    </w:p>
    <w:p w:rsidR="000843B4" w:rsidRDefault="000843B4" w:rsidP="004F4B68">
      <w:pPr>
        <w:autoSpaceDE w:val="0"/>
        <w:autoSpaceDN w:val="0"/>
        <w:adjustRightInd w:val="0"/>
        <w:spacing w:after="0" w:line="480" w:lineRule="auto"/>
        <w:rPr>
          <w:rFonts w:ascii="Times New Roman" w:hAnsi="Times New Roman" w:cs="Times New Roman"/>
          <w:sz w:val="24"/>
          <w:szCs w:val="24"/>
        </w:rPr>
      </w:pPr>
      <w:r w:rsidRPr="004F0E3B">
        <w:rPr>
          <w:rFonts w:ascii="Times New Roman" w:hAnsi="Times New Roman" w:cs="Times New Roman"/>
          <w:sz w:val="24"/>
          <w:szCs w:val="24"/>
        </w:rPr>
        <w:t>As follow-up to the October 9, 2015 reply of the United States government to the Committee’s letter dated August 6, 2015, we here include updated information on the ongoing violations of Article 14</w:t>
      </w:r>
      <w:r w:rsidR="004F0E3B" w:rsidRPr="004F0E3B">
        <w:rPr>
          <w:rFonts w:ascii="Times New Roman" w:hAnsi="Times New Roman" w:cs="Times New Roman"/>
          <w:sz w:val="24"/>
          <w:szCs w:val="24"/>
        </w:rPr>
        <w:t xml:space="preserve"> of the International Covenant on Civil and Political Rights (ICCPR)</w:t>
      </w:r>
      <w:r w:rsidRPr="004F0E3B">
        <w:rPr>
          <w:rFonts w:ascii="Times New Roman" w:hAnsi="Times New Roman" w:cs="Times New Roman"/>
          <w:sz w:val="24"/>
          <w:szCs w:val="24"/>
        </w:rPr>
        <w:t xml:space="preserve"> by the United States at the mi</w:t>
      </w:r>
      <w:r w:rsidR="00394487">
        <w:rPr>
          <w:rFonts w:ascii="Times New Roman" w:hAnsi="Times New Roman" w:cs="Times New Roman"/>
          <w:sz w:val="24"/>
          <w:szCs w:val="24"/>
        </w:rPr>
        <w:t>litary commission court proceedings</w:t>
      </w:r>
      <w:r w:rsidRPr="004F0E3B">
        <w:rPr>
          <w:rFonts w:ascii="Times New Roman" w:hAnsi="Times New Roman" w:cs="Times New Roman"/>
          <w:sz w:val="24"/>
          <w:szCs w:val="24"/>
        </w:rPr>
        <w:t xml:space="preserve"> being held in </w:t>
      </w:r>
      <w:r w:rsidR="00D36D1F">
        <w:rPr>
          <w:rFonts w:ascii="Times New Roman" w:hAnsi="Times New Roman" w:cs="Times New Roman"/>
          <w:sz w:val="24"/>
          <w:szCs w:val="24"/>
        </w:rPr>
        <w:t>Guantánamo Bay</w:t>
      </w:r>
      <w:r w:rsidRPr="004F0E3B">
        <w:rPr>
          <w:rFonts w:ascii="Times New Roman" w:hAnsi="Times New Roman" w:cs="Times New Roman"/>
          <w:sz w:val="24"/>
          <w:szCs w:val="24"/>
        </w:rPr>
        <w:t>, Cuba.</w:t>
      </w:r>
      <w:r w:rsidR="003B0ED9">
        <w:rPr>
          <w:rStyle w:val="FootnoteReference"/>
          <w:rFonts w:ascii="Times New Roman" w:hAnsi="Times New Roman" w:cs="Times New Roman"/>
          <w:sz w:val="24"/>
          <w:szCs w:val="24"/>
        </w:rPr>
        <w:footnoteReference w:id="1"/>
      </w:r>
      <w:r w:rsidRPr="004F0E3B">
        <w:rPr>
          <w:rFonts w:ascii="Times New Roman" w:hAnsi="Times New Roman" w:cs="Times New Roman"/>
          <w:sz w:val="24"/>
          <w:szCs w:val="24"/>
        </w:rPr>
        <w:t xml:space="preserve"> </w:t>
      </w:r>
    </w:p>
    <w:p w:rsidR="004F4B68" w:rsidRPr="004F0E3B" w:rsidRDefault="004F4B68" w:rsidP="004F4B68">
      <w:pPr>
        <w:autoSpaceDE w:val="0"/>
        <w:autoSpaceDN w:val="0"/>
        <w:adjustRightInd w:val="0"/>
        <w:spacing w:after="0" w:line="480" w:lineRule="auto"/>
        <w:rPr>
          <w:rFonts w:ascii="Times New Roman" w:hAnsi="Times New Roman" w:cs="Times New Roman"/>
          <w:sz w:val="24"/>
          <w:szCs w:val="24"/>
        </w:rPr>
      </w:pPr>
    </w:p>
    <w:p w:rsidR="00DD5EAE" w:rsidRDefault="000843B4" w:rsidP="004F4B68">
      <w:pPr>
        <w:autoSpaceDE w:val="0"/>
        <w:autoSpaceDN w:val="0"/>
        <w:adjustRightInd w:val="0"/>
        <w:spacing w:after="0" w:line="480" w:lineRule="auto"/>
        <w:rPr>
          <w:rFonts w:ascii="Times New Roman" w:hAnsi="Times New Roman" w:cs="Times New Roman"/>
          <w:sz w:val="24"/>
          <w:szCs w:val="24"/>
        </w:rPr>
      </w:pPr>
      <w:r w:rsidRPr="004F0E3B">
        <w:rPr>
          <w:rFonts w:ascii="Times New Roman" w:hAnsi="Times New Roman" w:cs="Times New Roman"/>
          <w:sz w:val="24"/>
          <w:szCs w:val="24"/>
        </w:rPr>
        <w:t>Additionally, we enclose here as background our previous reports to your committee and to the Committee on the Elimination of Racial Discrimination</w:t>
      </w:r>
      <w:r w:rsidR="003207CA">
        <w:rPr>
          <w:rFonts w:ascii="Times New Roman" w:hAnsi="Times New Roman" w:cs="Times New Roman"/>
          <w:sz w:val="24"/>
          <w:szCs w:val="24"/>
        </w:rPr>
        <w:t>, which cover other violations of the ICCPR</w:t>
      </w:r>
      <w:r w:rsidR="007E2FDE">
        <w:rPr>
          <w:rFonts w:ascii="Times New Roman" w:hAnsi="Times New Roman" w:cs="Times New Roman"/>
          <w:sz w:val="24"/>
          <w:szCs w:val="24"/>
        </w:rPr>
        <w:t xml:space="preserve"> and of the CERD:</w:t>
      </w:r>
    </w:p>
    <w:p w:rsidR="004F4B68" w:rsidRPr="004F0E3B" w:rsidRDefault="004F4B68" w:rsidP="004F4B68">
      <w:pPr>
        <w:autoSpaceDE w:val="0"/>
        <w:autoSpaceDN w:val="0"/>
        <w:adjustRightInd w:val="0"/>
        <w:spacing w:after="0" w:line="480" w:lineRule="auto"/>
        <w:rPr>
          <w:rFonts w:ascii="Times New Roman" w:hAnsi="Times New Roman" w:cs="Times New Roman"/>
          <w:sz w:val="24"/>
          <w:szCs w:val="24"/>
        </w:rPr>
      </w:pPr>
    </w:p>
    <w:p w:rsidR="000843B4" w:rsidRPr="004F0E3B" w:rsidRDefault="001052D1" w:rsidP="004F4B68">
      <w:pPr>
        <w:pStyle w:val="ListParagraph"/>
        <w:numPr>
          <w:ilvl w:val="0"/>
          <w:numId w:val="3"/>
        </w:numPr>
        <w:autoSpaceDE w:val="0"/>
        <w:autoSpaceDN w:val="0"/>
        <w:adjustRightInd w:val="0"/>
        <w:spacing w:after="0" w:line="480" w:lineRule="auto"/>
        <w:rPr>
          <w:rFonts w:ascii="Times New Roman" w:hAnsi="Times New Roman" w:cs="Times New Roman"/>
          <w:sz w:val="24"/>
          <w:szCs w:val="24"/>
        </w:rPr>
      </w:pPr>
      <w:r w:rsidRPr="004F0E3B">
        <w:rPr>
          <w:rFonts w:ascii="Times New Roman" w:hAnsi="Times New Roman" w:cs="Times New Roman"/>
          <w:sz w:val="24"/>
          <w:szCs w:val="24"/>
        </w:rPr>
        <w:t xml:space="preserve">Follow-Up Recommendation Report </w:t>
      </w:r>
      <w:r w:rsidR="00DB101B">
        <w:rPr>
          <w:rFonts w:ascii="Times New Roman" w:hAnsi="Times New Roman" w:cs="Times New Roman"/>
          <w:sz w:val="24"/>
          <w:szCs w:val="24"/>
        </w:rPr>
        <w:t>(CCPR</w:t>
      </w:r>
      <w:r w:rsidR="007E2FDE">
        <w:rPr>
          <w:rFonts w:ascii="Times New Roman" w:hAnsi="Times New Roman" w:cs="Times New Roman"/>
          <w:sz w:val="24"/>
          <w:szCs w:val="24"/>
        </w:rPr>
        <w:t xml:space="preserve">) </w:t>
      </w:r>
      <w:r w:rsidRPr="004F0E3B">
        <w:rPr>
          <w:rFonts w:ascii="Times New Roman" w:hAnsi="Times New Roman" w:cs="Times New Roman"/>
          <w:sz w:val="24"/>
          <w:szCs w:val="24"/>
        </w:rPr>
        <w:t xml:space="preserve">of Attorneys for </w:t>
      </w:r>
      <w:r w:rsidR="00D36D1F">
        <w:rPr>
          <w:rFonts w:ascii="Times New Roman" w:hAnsi="Times New Roman" w:cs="Times New Roman"/>
          <w:sz w:val="24"/>
          <w:szCs w:val="24"/>
        </w:rPr>
        <w:t>Guantánamo Bay</w:t>
      </w:r>
      <w:r w:rsidRPr="004F0E3B">
        <w:rPr>
          <w:rFonts w:ascii="Times New Roman" w:hAnsi="Times New Roman" w:cs="Times New Roman"/>
          <w:sz w:val="24"/>
          <w:szCs w:val="24"/>
        </w:rPr>
        <w:t xml:space="preserve"> Prisoners Ammar al Baluchi and Khalid Sheikh Mohammad, </w:t>
      </w:r>
      <w:r w:rsidR="00A318DB">
        <w:rPr>
          <w:rFonts w:ascii="Times New Roman" w:hAnsi="Times New Roman" w:cs="Times New Roman"/>
          <w:sz w:val="24"/>
          <w:szCs w:val="24"/>
        </w:rPr>
        <w:t xml:space="preserve">submitted </w:t>
      </w:r>
      <w:r w:rsidRPr="004F0E3B">
        <w:rPr>
          <w:rFonts w:ascii="Times New Roman" w:hAnsi="Times New Roman" w:cs="Times New Roman"/>
          <w:sz w:val="24"/>
          <w:szCs w:val="24"/>
        </w:rPr>
        <w:t>May 1, 2015.</w:t>
      </w:r>
    </w:p>
    <w:p w:rsidR="001052D1" w:rsidRPr="004F0E3B" w:rsidRDefault="00854297" w:rsidP="004F4B68">
      <w:pPr>
        <w:pStyle w:val="ListParagraph"/>
        <w:numPr>
          <w:ilvl w:val="0"/>
          <w:numId w:val="3"/>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Follow-Up Recommendation R</w:t>
      </w:r>
      <w:r w:rsidR="001052D1" w:rsidRPr="004F0E3B">
        <w:rPr>
          <w:rFonts w:ascii="Times New Roman" w:hAnsi="Times New Roman" w:cs="Times New Roman"/>
          <w:sz w:val="24"/>
          <w:szCs w:val="24"/>
        </w:rPr>
        <w:t xml:space="preserve">eport </w:t>
      </w:r>
      <w:r w:rsidR="007E2FDE">
        <w:rPr>
          <w:rFonts w:ascii="Times New Roman" w:hAnsi="Times New Roman" w:cs="Times New Roman"/>
          <w:sz w:val="24"/>
          <w:szCs w:val="24"/>
        </w:rPr>
        <w:t xml:space="preserve">(CERD) </w:t>
      </w:r>
      <w:r w:rsidR="001052D1" w:rsidRPr="004F0E3B">
        <w:rPr>
          <w:rFonts w:ascii="Times New Roman" w:hAnsi="Times New Roman" w:cs="Times New Roman"/>
          <w:sz w:val="24"/>
          <w:szCs w:val="24"/>
        </w:rPr>
        <w:t xml:space="preserve">of Attorneys for </w:t>
      </w:r>
      <w:r w:rsidR="00D36D1F">
        <w:rPr>
          <w:rFonts w:ascii="Times New Roman" w:hAnsi="Times New Roman" w:cs="Times New Roman"/>
          <w:sz w:val="24"/>
          <w:szCs w:val="24"/>
        </w:rPr>
        <w:t>Guantánamo Bay</w:t>
      </w:r>
      <w:r w:rsidR="001052D1" w:rsidRPr="004F0E3B">
        <w:rPr>
          <w:rFonts w:ascii="Times New Roman" w:hAnsi="Times New Roman" w:cs="Times New Roman"/>
          <w:sz w:val="24"/>
          <w:szCs w:val="24"/>
        </w:rPr>
        <w:t xml:space="preserve"> Prisoner Ammar al Baluchi and the National Coalition for the Protection of Civil Freedoms, </w:t>
      </w:r>
      <w:r w:rsidR="00A318DB">
        <w:rPr>
          <w:rFonts w:ascii="Times New Roman" w:hAnsi="Times New Roman" w:cs="Times New Roman"/>
          <w:sz w:val="24"/>
          <w:szCs w:val="24"/>
        </w:rPr>
        <w:t xml:space="preserve">submitted </w:t>
      </w:r>
      <w:r w:rsidR="001052D1" w:rsidRPr="004F0E3B">
        <w:rPr>
          <w:rFonts w:ascii="Times New Roman" w:hAnsi="Times New Roman" w:cs="Times New Roman"/>
          <w:sz w:val="24"/>
          <w:szCs w:val="24"/>
        </w:rPr>
        <w:t>Nov. 19, 2015.</w:t>
      </w:r>
    </w:p>
    <w:p w:rsidR="004F0E3B" w:rsidRPr="004F0E3B" w:rsidRDefault="004F0E3B" w:rsidP="004F4B68">
      <w:pPr>
        <w:autoSpaceDE w:val="0"/>
        <w:autoSpaceDN w:val="0"/>
        <w:adjustRightInd w:val="0"/>
        <w:spacing w:after="0" w:line="480" w:lineRule="auto"/>
        <w:rPr>
          <w:rFonts w:ascii="Times New Roman" w:hAnsi="Times New Roman" w:cs="Times New Roman"/>
          <w:sz w:val="24"/>
          <w:szCs w:val="24"/>
        </w:rPr>
      </w:pPr>
    </w:p>
    <w:p w:rsidR="004F0E3B" w:rsidRDefault="004F0E3B" w:rsidP="004F4B68">
      <w:pPr>
        <w:autoSpaceDE w:val="0"/>
        <w:autoSpaceDN w:val="0"/>
        <w:adjustRightInd w:val="0"/>
        <w:spacing w:after="0" w:line="480" w:lineRule="auto"/>
        <w:rPr>
          <w:rFonts w:ascii="Times New Roman" w:hAnsi="Times New Roman" w:cs="Times New Roman"/>
          <w:sz w:val="24"/>
          <w:szCs w:val="24"/>
        </w:rPr>
      </w:pPr>
      <w:r w:rsidRPr="004F0E3B">
        <w:rPr>
          <w:rFonts w:ascii="Times New Roman" w:hAnsi="Times New Roman" w:cs="Times New Roman"/>
          <w:sz w:val="24"/>
          <w:szCs w:val="24"/>
        </w:rPr>
        <w:t xml:space="preserve">In our Follow-Up Recommendation Report of May 2015, we issued the grade of C1 to the United States for Issue 3 at Paragraph 21 of the Committee’s letter (Detainees at </w:t>
      </w:r>
      <w:r w:rsidR="00D36D1F">
        <w:rPr>
          <w:rFonts w:ascii="Times New Roman" w:hAnsi="Times New Roman" w:cs="Times New Roman"/>
          <w:sz w:val="24"/>
          <w:szCs w:val="24"/>
        </w:rPr>
        <w:t>Guantánamo Bay</w:t>
      </w:r>
      <w:r w:rsidRPr="004F0E3B">
        <w:rPr>
          <w:rFonts w:ascii="Times New Roman" w:hAnsi="Times New Roman" w:cs="Times New Roman"/>
          <w:sz w:val="24"/>
          <w:szCs w:val="24"/>
        </w:rPr>
        <w:t>).</w:t>
      </w:r>
      <w:r w:rsidR="003207CA">
        <w:rPr>
          <w:rFonts w:ascii="Times New Roman" w:hAnsi="Times New Roman" w:cs="Times New Roman"/>
          <w:sz w:val="24"/>
          <w:szCs w:val="24"/>
        </w:rPr>
        <w:t xml:space="preserve"> This grade </w:t>
      </w:r>
      <w:r w:rsidR="00610EFB">
        <w:rPr>
          <w:rFonts w:ascii="Times New Roman" w:hAnsi="Times New Roman" w:cs="Times New Roman"/>
          <w:sz w:val="24"/>
          <w:szCs w:val="24"/>
        </w:rPr>
        <w:t>remains unchanged.</w:t>
      </w:r>
    </w:p>
    <w:p w:rsidR="00610EFB" w:rsidRPr="004F0E3B" w:rsidRDefault="00610EFB" w:rsidP="004F4B68">
      <w:pPr>
        <w:autoSpaceDE w:val="0"/>
        <w:autoSpaceDN w:val="0"/>
        <w:adjustRightInd w:val="0"/>
        <w:spacing w:after="0" w:line="480" w:lineRule="auto"/>
        <w:rPr>
          <w:rFonts w:ascii="Times New Roman" w:hAnsi="Times New Roman" w:cs="Times New Roman"/>
          <w:sz w:val="24"/>
          <w:szCs w:val="24"/>
        </w:rPr>
      </w:pPr>
    </w:p>
    <w:p w:rsidR="002717E5" w:rsidRDefault="002717E5" w:rsidP="004F4B68">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United States </w:t>
      </w:r>
      <w:r w:rsidR="004F0E3B" w:rsidRPr="004F0E3B">
        <w:rPr>
          <w:rFonts w:ascii="Times New Roman" w:hAnsi="Times New Roman" w:cs="Times New Roman"/>
          <w:sz w:val="24"/>
          <w:szCs w:val="24"/>
        </w:rPr>
        <w:t>stated in their October 9 reply that “</w:t>
      </w:r>
      <w:r w:rsidR="001F1BE0">
        <w:rPr>
          <w:rFonts w:ascii="Times New Roman" w:hAnsi="Times New Roman" w:cs="Times New Roman"/>
          <w:sz w:val="24"/>
          <w:szCs w:val="24"/>
        </w:rPr>
        <w:t>[A]</w:t>
      </w:r>
      <w:proofErr w:type="spellStart"/>
      <w:r w:rsidR="002F2726" w:rsidRPr="004F0E3B">
        <w:rPr>
          <w:rFonts w:ascii="Times New Roman" w:hAnsi="Times New Roman" w:cs="Times New Roman"/>
          <w:sz w:val="24"/>
          <w:szCs w:val="24"/>
        </w:rPr>
        <w:t>ll</w:t>
      </w:r>
      <w:proofErr w:type="spellEnd"/>
      <w:r w:rsidR="002F2726" w:rsidRPr="004F0E3B">
        <w:rPr>
          <w:rFonts w:ascii="Times New Roman" w:hAnsi="Times New Roman" w:cs="Times New Roman"/>
          <w:sz w:val="24"/>
          <w:szCs w:val="24"/>
        </w:rPr>
        <w:t xml:space="preserve"> current military commission proc</w:t>
      </w:r>
      <w:r w:rsidR="004F0E3B" w:rsidRPr="004F0E3B">
        <w:rPr>
          <w:rFonts w:ascii="Times New Roman" w:hAnsi="Times New Roman" w:cs="Times New Roman"/>
          <w:sz w:val="24"/>
          <w:szCs w:val="24"/>
        </w:rPr>
        <w:t xml:space="preserve">eedings incorporate fundamental </w:t>
      </w:r>
      <w:r w:rsidR="002F2726" w:rsidRPr="004F0E3B">
        <w:rPr>
          <w:rFonts w:ascii="Times New Roman" w:hAnsi="Times New Roman" w:cs="Times New Roman"/>
          <w:sz w:val="24"/>
          <w:szCs w:val="24"/>
        </w:rPr>
        <w:t>procedural guarantees that meet or exceed the fair trial safeguards require</w:t>
      </w:r>
      <w:r w:rsidR="004F0E3B" w:rsidRPr="004F0E3B">
        <w:rPr>
          <w:rFonts w:ascii="Times New Roman" w:hAnsi="Times New Roman" w:cs="Times New Roman"/>
          <w:sz w:val="24"/>
          <w:szCs w:val="24"/>
        </w:rPr>
        <w:t xml:space="preserve">d by Common Article 3 and other </w:t>
      </w:r>
      <w:r w:rsidR="002F2726" w:rsidRPr="004F0E3B">
        <w:rPr>
          <w:rFonts w:ascii="Times New Roman" w:hAnsi="Times New Roman" w:cs="Times New Roman"/>
          <w:sz w:val="24"/>
          <w:szCs w:val="24"/>
        </w:rPr>
        <w:t>applicable law, and are further consistent</w:t>
      </w:r>
      <w:r>
        <w:rPr>
          <w:rFonts w:ascii="Times New Roman" w:hAnsi="Times New Roman" w:cs="Times New Roman"/>
          <w:sz w:val="24"/>
          <w:szCs w:val="24"/>
        </w:rPr>
        <w:t xml:space="preserve"> </w:t>
      </w:r>
      <w:r w:rsidR="002F2726" w:rsidRPr="004F0E3B">
        <w:rPr>
          <w:rFonts w:ascii="Times New Roman" w:hAnsi="Times New Roman" w:cs="Times New Roman"/>
          <w:sz w:val="24"/>
          <w:szCs w:val="24"/>
        </w:rPr>
        <w:t>with those in Additional Protocol II of the 1949 Geneva Conventions.</w:t>
      </w:r>
      <w:r w:rsidR="004F0E3B" w:rsidRPr="004F0E3B">
        <w:rPr>
          <w:rFonts w:ascii="Times New Roman" w:hAnsi="Times New Roman" w:cs="Times New Roman"/>
          <w:sz w:val="24"/>
          <w:szCs w:val="24"/>
        </w:rPr>
        <w:t>”</w:t>
      </w:r>
      <w:r w:rsidR="001C0692">
        <w:rPr>
          <w:rStyle w:val="FootnoteReference"/>
          <w:rFonts w:ascii="Times New Roman" w:hAnsi="Times New Roman" w:cs="Times New Roman"/>
          <w:sz w:val="24"/>
          <w:szCs w:val="24"/>
        </w:rPr>
        <w:footnoteReference w:id="2"/>
      </w:r>
      <w:r w:rsidR="004F0E3B" w:rsidRPr="004F0E3B">
        <w:rPr>
          <w:rFonts w:ascii="Times New Roman" w:hAnsi="Times New Roman" w:cs="Times New Roman"/>
          <w:sz w:val="24"/>
          <w:szCs w:val="24"/>
        </w:rPr>
        <w:t xml:space="preserve"> </w:t>
      </w:r>
      <w:r w:rsidR="001C58B9" w:rsidRPr="004F0E3B">
        <w:rPr>
          <w:rFonts w:ascii="Times New Roman" w:hAnsi="Times New Roman" w:cs="Times New Roman"/>
          <w:sz w:val="24"/>
          <w:szCs w:val="24"/>
        </w:rPr>
        <w:t>This statement is demonstrably false.</w:t>
      </w:r>
      <w:r w:rsidR="001C58B9" w:rsidRPr="004F0E3B">
        <w:rPr>
          <w:rStyle w:val="FootnoteReference"/>
          <w:rFonts w:ascii="Times New Roman" w:hAnsi="Times New Roman" w:cs="Times New Roman"/>
          <w:sz w:val="24"/>
          <w:szCs w:val="24"/>
        </w:rPr>
        <w:footnoteReference w:id="3"/>
      </w:r>
    </w:p>
    <w:p w:rsidR="00610EFB" w:rsidRDefault="00610EFB" w:rsidP="004F4B68">
      <w:pPr>
        <w:autoSpaceDE w:val="0"/>
        <w:autoSpaceDN w:val="0"/>
        <w:adjustRightInd w:val="0"/>
        <w:spacing w:after="0" w:line="480" w:lineRule="auto"/>
        <w:rPr>
          <w:rFonts w:ascii="Times New Roman" w:hAnsi="Times New Roman" w:cs="Times New Roman"/>
          <w:sz w:val="24"/>
          <w:szCs w:val="24"/>
        </w:rPr>
      </w:pPr>
    </w:p>
    <w:p w:rsidR="004F0E3B" w:rsidRDefault="001F1BE0" w:rsidP="004F4B68">
      <w:pPr>
        <w:autoSpaceDE w:val="0"/>
        <w:autoSpaceDN w:val="0"/>
        <w:adjustRightInd w:val="0"/>
        <w:spacing w:after="0" w:line="480" w:lineRule="auto"/>
        <w:rPr>
          <w:rFonts w:ascii="Times New Roman" w:hAnsi="Times New Roman" w:cs="Times New Roman"/>
          <w:sz w:val="24"/>
          <w:szCs w:val="24"/>
        </w:rPr>
      </w:pPr>
      <w:r w:rsidRPr="001C58B9">
        <w:rPr>
          <w:rFonts w:ascii="Times New Roman" w:hAnsi="Times New Roman" w:cs="Times New Roman"/>
          <w:sz w:val="24"/>
          <w:szCs w:val="24"/>
        </w:rPr>
        <w:t xml:space="preserve">Our previous reports detail the torture of the </w:t>
      </w:r>
      <w:r w:rsidR="00D36D1F">
        <w:rPr>
          <w:rFonts w:ascii="Times New Roman" w:hAnsi="Times New Roman" w:cs="Times New Roman"/>
          <w:sz w:val="24"/>
          <w:szCs w:val="24"/>
        </w:rPr>
        <w:t>Guantánamo Bay</w:t>
      </w:r>
      <w:r w:rsidRPr="001C58B9">
        <w:rPr>
          <w:rFonts w:ascii="Times New Roman" w:hAnsi="Times New Roman" w:cs="Times New Roman"/>
          <w:sz w:val="24"/>
          <w:szCs w:val="24"/>
        </w:rPr>
        <w:t xml:space="preserve"> prisoners at the hands of the government at secret detention centers between 2002 and 2006, and their continuing substandard conditions of confinement, including being held indefinitely without consular access, visits or simultaneously communication with their families, and access to human monitors other than the </w:t>
      </w:r>
      <w:r w:rsidRPr="001C58B9">
        <w:rPr>
          <w:rFonts w:ascii="Times New Roman" w:hAnsi="Times New Roman" w:cs="Times New Roman"/>
          <w:sz w:val="24"/>
          <w:szCs w:val="24"/>
        </w:rPr>
        <w:lastRenderedPageBreak/>
        <w:t xml:space="preserve">ICRC. Even the United Nations Special Rapporteur on Torture has not been permitted to meet with </w:t>
      </w:r>
      <w:r w:rsidR="00D36D1F">
        <w:rPr>
          <w:rFonts w:ascii="Times New Roman" w:hAnsi="Times New Roman" w:cs="Times New Roman"/>
          <w:sz w:val="24"/>
          <w:szCs w:val="24"/>
        </w:rPr>
        <w:t>Guantánamo Bay</w:t>
      </w:r>
      <w:r w:rsidRPr="001C58B9">
        <w:rPr>
          <w:rFonts w:ascii="Times New Roman" w:hAnsi="Times New Roman" w:cs="Times New Roman"/>
          <w:sz w:val="24"/>
          <w:szCs w:val="24"/>
        </w:rPr>
        <w:t xml:space="preserve"> prisoners.</w:t>
      </w:r>
      <w:r w:rsidRPr="001C58B9">
        <w:rPr>
          <w:rStyle w:val="FootnoteReference"/>
          <w:rFonts w:ascii="Times New Roman" w:hAnsi="Times New Roman" w:cs="Times New Roman"/>
          <w:sz w:val="24"/>
          <w:szCs w:val="24"/>
        </w:rPr>
        <w:footnoteReference w:id="4"/>
      </w:r>
    </w:p>
    <w:p w:rsidR="00610EFB" w:rsidRPr="001C58B9" w:rsidRDefault="00610EFB" w:rsidP="004F4B68">
      <w:pPr>
        <w:autoSpaceDE w:val="0"/>
        <w:autoSpaceDN w:val="0"/>
        <w:adjustRightInd w:val="0"/>
        <w:spacing w:after="0" w:line="480" w:lineRule="auto"/>
        <w:rPr>
          <w:rFonts w:ascii="Times New Roman" w:hAnsi="Times New Roman" w:cs="Times New Roman"/>
          <w:sz w:val="24"/>
          <w:szCs w:val="24"/>
        </w:rPr>
      </w:pPr>
    </w:p>
    <w:p w:rsidR="001F1BE0" w:rsidRPr="001C58B9" w:rsidRDefault="001F1BE0" w:rsidP="004F4B68">
      <w:pPr>
        <w:autoSpaceDE w:val="0"/>
        <w:autoSpaceDN w:val="0"/>
        <w:adjustRightInd w:val="0"/>
        <w:spacing w:after="0" w:line="480" w:lineRule="auto"/>
        <w:rPr>
          <w:rFonts w:ascii="Times New Roman" w:hAnsi="Times New Roman" w:cs="Times New Roman"/>
          <w:sz w:val="24"/>
          <w:szCs w:val="24"/>
        </w:rPr>
      </w:pPr>
      <w:r w:rsidRPr="001C58B9">
        <w:rPr>
          <w:rFonts w:ascii="Times New Roman" w:hAnsi="Times New Roman" w:cs="Times New Roman"/>
          <w:sz w:val="24"/>
          <w:szCs w:val="24"/>
        </w:rPr>
        <w:t>The prisoners currently being tried before the military commissions, including our client, are also held in solitary confinement</w:t>
      </w:r>
      <w:r w:rsidR="001C0692" w:rsidRPr="001C58B9">
        <w:rPr>
          <w:rFonts w:ascii="Times New Roman" w:hAnsi="Times New Roman" w:cs="Times New Roman"/>
          <w:sz w:val="24"/>
          <w:szCs w:val="24"/>
        </w:rPr>
        <w:t>,</w:t>
      </w:r>
      <w:r w:rsidRPr="001C58B9">
        <w:rPr>
          <w:rFonts w:ascii="Times New Roman" w:hAnsi="Times New Roman" w:cs="Times New Roman"/>
          <w:sz w:val="24"/>
          <w:szCs w:val="24"/>
        </w:rPr>
        <w:t xml:space="preserve"> </w:t>
      </w:r>
      <w:r w:rsidR="001C0692" w:rsidRPr="001C58B9">
        <w:rPr>
          <w:rFonts w:ascii="Times New Roman" w:hAnsi="Times New Roman" w:cs="Times New Roman"/>
          <w:sz w:val="24"/>
          <w:szCs w:val="24"/>
        </w:rPr>
        <w:t xml:space="preserve">without communal worship, meals, indoor recreation, or educational opportunities, and without crucial rehabilitation for the torture that they have suffered. </w:t>
      </w:r>
      <w:r w:rsidR="001C58B9" w:rsidRPr="001C58B9">
        <w:rPr>
          <w:rFonts w:ascii="Times New Roman" w:hAnsi="Times New Roman" w:cs="Times New Roman"/>
          <w:sz w:val="24"/>
          <w:szCs w:val="24"/>
        </w:rPr>
        <w:t>All of these conditions are ongoing, and n</w:t>
      </w:r>
      <w:r w:rsidR="001C0692" w:rsidRPr="001C58B9">
        <w:rPr>
          <w:rFonts w:ascii="Times New Roman" w:hAnsi="Times New Roman" w:cs="Times New Roman"/>
          <w:sz w:val="24"/>
          <w:szCs w:val="24"/>
        </w:rPr>
        <w:t xml:space="preserve">one of </w:t>
      </w:r>
      <w:r w:rsidR="001C58B9" w:rsidRPr="001C58B9">
        <w:rPr>
          <w:rFonts w:ascii="Times New Roman" w:hAnsi="Times New Roman" w:cs="Times New Roman"/>
          <w:sz w:val="24"/>
          <w:szCs w:val="24"/>
        </w:rPr>
        <w:t xml:space="preserve">them </w:t>
      </w:r>
      <w:r w:rsidR="001C0692" w:rsidRPr="001C58B9">
        <w:rPr>
          <w:rFonts w:ascii="Times New Roman" w:hAnsi="Times New Roman" w:cs="Times New Roman"/>
          <w:sz w:val="24"/>
          <w:szCs w:val="24"/>
        </w:rPr>
        <w:t>are compliant with Common Article 3, Articl</w:t>
      </w:r>
      <w:r w:rsidR="001C58B9" w:rsidRPr="001C58B9">
        <w:rPr>
          <w:rFonts w:ascii="Times New Roman" w:hAnsi="Times New Roman" w:cs="Times New Roman"/>
          <w:sz w:val="24"/>
          <w:szCs w:val="24"/>
        </w:rPr>
        <w:t>e</w:t>
      </w:r>
      <w:r w:rsidR="001C0692" w:rsidRPr="001C58B9">
        <w:rPr>
          <w:rFonts w:ascii="Times New Roman" w:hAnsi="Times New Roman" w:cs="Times New Roman"/>
          <w:sz w:val="24"/>
          <w:szCs w:val="24"/>
        </w:rPr>
        <w:t xml:space="preserve"> 75 of Additional Protocol I (which contains essential guarantees under Common Article 3)</w:t>
      </w:r>
      <w:r w:rsidR="001C58B9" w:rsidRPr="001C58B9">
        <w:rPr>
          <w:rFonts w:ascii="Times New Roman" w:hAnsi="Times New Roman" w:cs="Times New Roman"/>
          <w:sz w:val="24"/>
          <w:szCs w:val="24"/>
        </w:rPr>
        <w:t>, or Articles 4-6 of Additional Protocol II of the Geneva Conventions.</w:t>
      </w:r>
    </w:p>
    <w:p w:rsidR="001C58B9" w:rsidRDefault="001C58B9" w:rsidP="004F4B68">
      <w:pPr>
        <w:autoSpaceDE w:val="0"/>
        <w:autoSpaceDN w:val="0"/>
        <w:adjustRightInd w:val="0"/>
        <w:spacing w:after="0" w:line="480" w:lineRule="auto"/>
        <w:rPr>
          <w:rFonts w:asciiTheme="majorHAnsi" w:hAnsiTheme="majorHAnsi"/>
          <w:sz w:val="28"/>
          <w:szCs w:val="28"/>
        </w:rPr>
      </w:pPr>
    </w:p>
    <w:p w:rsidR="001C58B9" w:rsidRPr="001C58B9" w:rsidRDefault="001C58B9" w:rsidP="004F4B68">
      <w:pPr>
        <w:autoSpaceDE w:val="0"/>
        <w:autoSpaceDN w:val="0"/>
        <w:adjustRightInd w:val="0"/>
        <w:spacing w:after="0" w:line="480" w:lineRule="auto"/>
        <w:rPr>
          <w:rFonts w:ascii="Times New Roman" w:hAnsi="Times New Roman" w:cs="Times New Roman"/>
          <w:sz w:val="20"/>
          <w:szCs w:val="20"/>
        </w:rPr>
      </w:pPr>
      <w:r>
        <w:rPr>
          <w:rFonts w:ascii="Times New Roman" w:hAnsi="Times New Roman" w:cs="Times New Roman"/>
          <w:sz w:val="24"/>
          <w:szCs w:val="24"/>
        </w:rPr>
        <w:t xml:space="preserve">The United States further implies </w:t>
      </w:r>
      <w:r w:rsidR="00D125C8">
        <w:rPr>
          <w:rFonts w:ascii="Times New Roman" w:hAnsi="Times New Roman" w:cs="Times New Roman"/>
          <w:sz w:val="24"/>
          <w:szCs w:val="24"/>
        </w:rPr>
        <w:t xml:space="preserve">in the October 9 reply </w:t>
      </w:r>
      <w:r>
        <w:rPr>
          <w:rFonts w:ascii="Times New Roman" w:hAnsi="Times New Roman" w:cs="Times New Roman"/>
          <w:sz w:val="24"/>
          <w:szCs w:val="24"/>
        </w:rPr>
        <w:t xml:space="preserve">that Article 14 of the ICCPR does not apply to </w:t>
      </w:r>
      <w:r w:rsidR="00D36D1F">
        <w:rPr>
          <w:rFonts w:ascii="Times New Roman" w:hAnsi="Times New Roman" w:cs="Times New Roman"/>
          <w:sz w:val="24"/>
          <w:szCs w:val="24"/>
        </w:rPr>
        <w:t>Guantánamo Bay</w:t>
      </w:r>
      <w:r>
        <w:rPr>
          <w:rFonts w:ascii="Times New Roman" w:hAnsi="Times New Roman" w:cs="Times New Roman"/>
          <w:sz w:val="24"/>
          <w:szCs w:val="24"/>
        </w:rPr>
        <w:t xml:space="preserve"> prisoners </w:t>
      </w:r>
      <w:r w:rsidRPr="001C58B9">
        <w:rPr>
          <w:rFonts w:ascii="Times New Roman" w:hAnsi="Times New Roman" w:cs="Times New Roman"/>
          <w:sz w:val="24"/>
          <w:szCs w:val="24"/>
        </w:rPr>
        <w:t xml:space="preserve">who are being held under the </w:t>
      </w:r>
      <w:proofErr w:type="spellStart"/>
      <w:r w:rsidRPr="001C58B9">
        <w:rPr>
          <w:rFonts w:ascii="Times New Roman" w:hAnsi="Times New Roman" w:cs="Times New Roman"/>
          <w:i/>
          <w:sz w:val="24"/>
          <w:szCs w:val="24"/>
        </w:rPr>
        <w:t>lex</w:t>
      </w:r>
      <w:proofErr w:type="spellEnd"/>
      <w:r w:rsidRPr="001C58B9">
        <w:rPr>
          <w:rFonts w:ascii="Times New Roman" w:hAnsi="Times New Roman" w:cs="Times New Roman"/>
          <w:i/>
          <w:sz w:val="24"/>
          <w:szCs w:val="24"/>
        </w:rPr>
        <w:t xml:space="preserve"> </w:t>
      </w:r>
      <w:proofErr w:type="spellStart"/>
      <w:r w:rsidRPr="001C58B9">
        <w:rPr>
          <w:rFonts w:ascii="Times New Roman" w:hAnsi="Times New Roman" w:cs="Times New Roman"/>
          <w:i/>
          <w:sz w:val="24"/>
          <w:szCs w:val="24"/>
        </w:rPr>
        <w:t>specialis</w:t>
      </w:r>
      <w:proofErr w:type="spellEnd"/>
      <w:r w:rsidRPr="001C58B9">
        <w:rPr>
          <w:rFonts w:ascii="Times New Roman" w:hAnsi="Times New Roman" w:cs="Times New Roman"/>
          <w:sz w:val="24"/>
          <w:szCs w:val="24"/>
        </w:rPr>
        <w:t xml:space="preserve"> of</w:t>
      </w:r>
      <w:r w:rsidR="001374DF">
        <w:rPr>
          <w:rFonts w:ascii="Times New Roman" w:hAnsi="Times New Roman" w:cs="Times New Roman"/>
          <w:sz w:val="24"/>
          <w:szCs w:val="24"/>
        </w:rPr>
        <w:t xml:space="preserve"> armed conflict</w:t>
      </w:r>
      <w:r w:rsidRPr="001C58B9">
        <w:rPr>
          <w:rFonts w:ascii="Times New Roman" w:hAnsi="Times New Roman" w:cs="Times New Roman"/>
          <w:sz w:val="24"/>
          <w:szCs w:val="24"/>
        </w:rPr>
        <w:t>.</w:t>
      </w:r>
      <w:r w:rsidRPr="001C58B9">
        <w:rPr>
          <w:rStyle w:val="FootnoteReference"/>
          <w:rFonts w:ascii="Times New Roman" w:hAnsi="Times New Roman" w:cs="Times New Roman"/>
          <w:sz w:val="24"/>
          <w:szCs w:val="24"/>
        </w:rPr>
        <w:footnoteReference w:id="5"/>
      </w:r>
      <w:r w:rsidRPr="001C58B9">
        <w:rPr>
          <w:rFonts w:ascii="Times New Roman" w:hAnsi="Times New Roman" w:cs="Times New Roman"/>
          <w:sz w:val="24"/>
          <w:szCs w:val="24"/>
        </w:rPr>
        <w:t xml:space="preserve"> It has been clearly established by the International Court of Justice that human rights law continues to apply during armed conflict: “[T]he protection offered by human rights conventions does not cease in case of armed conflict . . . there are thus three possible situations: some rights may be exclusively matters of international humanitarian law; others may be exclusively matters of human rights law; yet others may be matters of both these branches of international law.”</w:t>
      </w:r>
      <w:r>
        <w:rPr>
          <w:rStyle w:val="FootnoteReference"/>
          <w:rFonts w:ascii="Times New Roman" w:hAnsi="Times New Roman" w:cs="Times New Roman"/>
          <w:sz w:val="24"/>
          <w:szCs w:val="24"/>
        </w:rPr>
        <w:footnoteReference w:id="6"/>
      </w:r>
      <w:r w:rsidR="005D612C">
        <w:rPr>
          <w:rFonts w:ascii="Times New Roman" w:hAnsi="Times New Roman" w:cs="Times New Roman"/>
          <w:sz w:val="24"/>
          <w:szCs w:val="24"/>
        </w:rPr>
        <w:t xml:space="preserve"> Both humanitarian law and human rights law provide for fair trial rights.</w:t>
      </w:r>
    </w:p>
    <w:p w:rsidR="001C58B9" w:rsidRDefault="001C58B9" w:rsidP="004F4B68">
      <w:pPr>
        <w:autoSpaceDE w:val="0"/>
        <w:autoSpaceDN w:val="0"/>
        <w:adjustRightInd w:val="0"/>
        <w:spacing w:after="0" w:line="480" w:lineRule="auto"/>
        <w:rPr>
          <w:rFonts w:ascii="Times New Roman" w:hAnsi="Times New Roman" w:cs="Times New Roman"/>
          <w:sz w:val="24"/>
          <w:szCs w:val="24"/>
        </w:rPr>
      </w:pPr>
    </w:p>
    <w:p w:rsidR="00D125C8" w:rsidRDefault="00801EBB" w:rsidP="004F4B68">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Therefore, </w:t>
      </w:r>
      <w:r w:rsidR="004A3C38">
        <w:rPr>
          <w:rFonts w:ascii="Times New Roman" w:hAnsi="Times New Roman" w:cs="Times New Roman"/>
          <w:sz w:val="24"/>
          <w:szCs w:val="24"/>
        </w:rPr>
        <w:t xml:space="preserve">outlined below </w:t>
      </w:r>
      <w:r w:rsidR="001374DF">
        <w:rPr>
          <w:rFonts w:ascii="Times New Roman" w:hAnsi="Times New Roman" w:cs="Times New Roman"/>
          <w:sz w:val="24"/>
          <w:szCs w:val="24"/>
        </w:rPr>
        <w:t xml:space="preserve">for the Committee </w:t>
      </w:r>
      <w:r w:rsidR="009D2099">
        <w:rPr>
          <w:rFonts w:ascii="Times New Roman" w:hAnsi="Times New Roman" w:cs="Times New Roman"/>
          <w:sz w:val="24"/>
          <w:szCs w:val="24"/>
        </w:rPr>
        <w:t xml:space="preserve">are </w:t>
      </w:r>
      <w:r w:rsidR="00D125C8">
        <w:rPr>
          <w:rFonts w:ascii="Times New Roman" w:hAnsi="Times New Roman" w:cs="Times New Roman"/>
          <w:sz w:val="24"/>
          <w:szCs w:val="24"/>
        </w:rPr>
        <w:t>the most recent violations of Article 14 of the ICCPR</w:t>
      </w:r>
      <w:r w:rsidR="00D36D1F">
        <w:rPr>
          <w:rFonts w:ascii="Times New Roman" w:hAnsi="Times New Roman" w:cs="Times New Roman"/>
          <w:sz w:val="24"/>
          <w:szCs w:val="24"/>
        </w:rPr>
        <w:t xml:space="preserve"> by the United States at Guantánamo Bay</w:t>
      </w:r>
      <w:r w:rsidR="00D125C8">
        <w:rPr>
          <w:rFonts w:ascii="Times New Roman" w:hAnsi="Times New Roman" w:cs="Times New Roman"/>
          <w:sz w:val="24"/>
          <w:szCs w:val="24"/>
        </w:rPr>
        <w:t>, in addition to the ongoing violations that we previously reported</w:t>
      </w:r>
      <w:r w:rsidR="005D612C">
        <w:rPr>
          <w:rFonts w:ascii="Times New Roman" w:hAnsi="Times New Roman" w:cs="Times New Roman"/>
          <w:sz w:val="24"/>
          <w:szCs w:val="24"/>
        </w:rPr>
        <w:t xml:space="preserve"> and those under humanitarian law</w:t>
      </w:r>
      <w:r w:rsidR="00D125C8">
        <w:rPr>
          <w:rFonts w:ascii="Times New Roman" w:hAnsi="Times New Roman" w:cs="Times New Roman"/>
          <w:sz w:val="24"/>
          <w:szCs w:val="24"/>
        </w:rPr>
        <w:t>:</w:t>
      </w:r>
    </w:p>
    <w:p w:rsidR="00D125C8" w:rsidRDefault="00D125C8" w:rsidP="004F4B68">
      <w:pPr>
        <w:autoSpaceDE w:val="0"/>
        <w:autoSpaceDN w:val="0"/>
        <w:adjustRightInd w:val="0"/>
        <w:spacing w:after="0" w:line="480" w:lineRule="auto"/>
        <w:rPr>
          <w:rFonts w:ascii="Times New Roman" w:hAnsi="Times New Roman" w:cs="Times New Roman"/>
          <w:sz w:val="24"/>
          <w:szCs w:val="24"/>
        </w:rPr>
      </w:pPr>
    </w:p>
    <w:p w:rsidR="00D125C8" w:rsidRDefault="00D125C8" w:rsidP="00BA0D2B">
      <w:pPr>
        <w:pStyle w:val="ListParagraph"/>
        <w:numPr>
          <w:ilvl w:val="0"/>
          <w:numId w:val="5"/>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On Tuesday, October 22, 2015, it was discovered that </w:t>
      </w:r>
      <w:r w:rsidR="009F06F3">
        <w:rPr>
          <w:rFonts w:ascii="Times New Roman" w:hAnsi="Times New Roman" w:cs="Times New Roman"/>
          <w:sz w:val="24"/>
          <w:szCs w:val="24"/>
        </w:rPr>
        <w:t xml:space="preserve">access to certain </w:t>
      </w:r>
      <w:r>
        <w:rPr>
          <w:rFonts w:ascii="Times New Roman" w:hAnsi="Times New Roman" w:cs="Times New Roman"/>
          <w:sz w:val="24"/>
          <w:szCs w:val="24"/>
        </w:rPr>
        <w:t xml:space="preserve">classified evidence had not been </w:t>
      </w:r>
      <w:r w:rsidR="009F06F3">
        <w:rPr>
          <w:rFonts w:ascii="Times New Roman" w:hAnsi="Times New Roman" w:cs="Times New Roman"/>
          <w:sz w:val="24"/>
          <w:szCs w:val="24"/>
        </w:rPr>
        <w:t xml:space="preserve">given </w:t>
      </w:r>
      <w:r w:rsidR="002717E5">
        <w:rPr>
          <w:rFonts w:ascii="Times New Roman" w:hAnsi="Times New Roman" w:cs="Times New Roman"/>
          <w:sz w:val="24"/>
          <w:szCs w:val="24"/>
        </w:rPr>
        <w:t xml:space="preserve">to many </w:t>
      </w:r>
      <w:r w:rsidR="003B0ED9">
        <w:rPr>
          <w:rFonts w:ascii="Times New Roman" w:hAnsi="Times New Roman" w:cs="Times New Roman"/>
          <w:sz w:val="24"/>
          <w:szCs w:val="24"/>
        </w:rPr>
        <w:t xml:space="preserve">members of the defense teams or </w:t>
      </w:r>
      <w:r w:rsidR="009F06F3">
        <w:rPr>
          <w:rFonts w:ascii="Times New Roman" w:hAnsi="Times New Roman" w:cs="Times New Roman"/>
          <w:sz w:val="24"/>
          <w:szCs w:val="24"/>
        </w:rPr>
        <w:t xml:space="preserve">to </w:t>
      </w:r>
      <w:r w:rsidR="003B0ED9">
        <w:rPr>
          <w:rFonts w:ascii="Times New Roman" w:hAnsi="Times New Roman" w:cs="Times New Roman"/>
          <w:sz w:val="24"/>
          <w:szCs w:val="24"/>
        </w:rPr>
        <w:t>the trial judge, a decision that lies with the United States Department of Defense.</w:t>
      </w:r>
      <w:r w:rsidR="003B0ED9">
        <w:rPr>
          <w:rStyle w:val="FootnoteReference"/>
          <w:rFonts w:ascii="Times New Roman" w:hAnsi="Times New Roman" w:cs="Times New Roman"/>
          <w:sz w:val="24"/>
          <w:szCs w:val="24"/>
        </w:rPr>
        <w:footnoteReference w:id="7"/>
      </w:r>
      <w:r w:rsidR="003B0ED9">
        <w:rPr>
          <w:rFonts w:ascii="Times New Roman" w:hAnsi="Times New Roman" w:cs="Times New Roman"/>
          <w:sz w:val="24"/>
          <w:szCs w:val="24"/>
        </w:rPr>
        <w:t xml:space="preserve"> This is a violation of Article 14(3)(b), as it affects the rights of the accused or even their counsel to access all evidence being used against them.</w:t>
      </w:r>
      <w:r w:rsidR="003B0ED9">
        <w:rPr>
          <w:rStyle w:val="FootnoteReference"/>
          <w:rFonts w:ascii="Times New Roman" w:hAnsi="Times New Roman" w:cs="Times New Roman"/>
          <w:sz w:val="24"/>
          <w:szCs w:val="24"/>
        </w:rPr>
        <w:footnoteReference w:id="8"/>
      </w:r>
      <w:r w:rsidR="003B0ED9">
        <w:rPr>
          <w:rFonts w:ascii="Times New Roman" w:hAnsi="Times New Roman" w:cs="Times New Roman"/>
          <w:sz w:val="24"/>
          <w:szCs w:val="24"/>
        </w:rPr>
        <w:t xml:space="preserve"> </w:t>
      </w:r>
      <w:r w:rsidR="006452CC">
        <w:rPr>
          <w:rFonts w:ascii="Times New Roman" w:hAnsi="Times New Roman" w:cs="Times New Roman"/>
          <w:sz w:val="24"/>
          <w:szCs w:val="24"/>
        </w:rPr>
        <w:t>It bears remembrance that u</w:t>
      </w:r>
      <w:r w:rsidR="00D05ECC">
        <w:rPr>
          <w:rFonts w:ascii="Times New Roman" w:hAnsi="Times New Roman" w:cs="Times New Roman"/>
          <w:sz w:val="24"/>
          <w:szCs w:val="24"/>
        </w:rPr>
        <w:t xml:space="preserve">nder the military commissions rules, the accused themselves do not have access to classified information or evidence. </w:t>
      </w:r>
    </w:p>
    <w:p w:rsidR="006452CC" w:rsidRDefault="006452CC" w:rsidP="004F4B68">
      <w:pPr>
        <w:pStyle w:val="ListParagraph"/>
        <w:autoSpaceDE w:val="0"/>
        <w:autoSpaceDN w:val="0"/>
        <w:adjustRightInd w:val="0"/>
        <w:spacing w:after="0" w:line="480" w:lineRule="auto"/>
        <w:rPr>
          <w:rFonts w:ascii="Times New Roman" w:hAnsi="Times New Roman" w:cs="Times New Roman"/>
          <w:sz w:val="24"/>
          <w:szCs w:val="24"/>
        </w:rPr>
      </w:pPr>
    </w:p>
    <w:p w:rsidR="002717E5" w:rsidRPr="00BA0D2B" w:rsidRDefault="002717E5" w:rsidP="00BA0D2B">
      <w:pPr>
        <w:pStyle w:val="ListParagraph"/>
        <w:numPr>
          <w:ilvl w:val="0"/>
          <w:numId w:val="5"/>
        </w:numPr>
        <w:autoSpaceDE w:val="0"/>
        <w:autoSpaceDN w:val="0"/>
        <w:adjustRightInd w:val="0"/>
        <w:spacing w:after="0" w:line="480" w:lineRule="auto"/>
        <w:rPr>
          <w:rFonts w:ascii="Times New Roman" w:hAnsi="Times New Roman" w:cs="Times New Roman"/>
          <w:sz w:val="24"/>
          <w:szCs w:val="24"/>
        </w:rPr>
      </w:pPr>
      <w:r w:rsidRPr="00BA0D2B">
        <w:rPr>
          <w:rFonts w:ascii="Times New Roman" w:hAnsi="Times New Roman" w:cs="Times New Roman"/>
          <w:sz w:val="24"/>
          <w:szCs w:val="24"/>
        </w:rPr>
        <w:t xml:space="preserve">During the hearings </w:t>
      </w:r>
      <w:proofErr w:type="gramStart"/>
      <w:r w:rsidRPr="00BA0D2B">
        <w:rPr>
          <w:rFonts w:ascii="Times New Roman" w:hAnsi="Times New Roman" w:cs="Times New Roman"/>
          <w:sz w:val="24"/>
          <w:szCs w:val="24"/>
        </w:rPr>
        <w:t>between October 19-30</w:t>
      </w:r>
      <w:r w:rsidR="003A5631" w:rsidRPr="00BA0D2B">
        <w:rPr>
          <w:rFonts w:ascii="Times New Roman" w:hAnsi="Times New Roman" w:cs="Times New Roman"/>
          <w:sz w:val="24"/>
          <w:szCs w:val="24"/>
        </w:rPr>
        <w:t>,</w:t>
      </w:r>
      <w:proofErr w:type="gramEnd"/>
      <w:r w:rsidR="003A5631" w:rsidRPr="00BA0D2B">
        <w:rPr>
          <w:rFonts w:ascii="Times New Roman" w:hAnsi="Times New Roman" w:cs="Times New Roman"/>
          <w:sz w:val="24"/>
          <w:szCs w:val="24"/>
        </w:rPr>
        <w:t xml:space="preserve"> one of the accused requested information on his right to represent himself.</w:t>
      </w:r>
      <w:r w:rsidR="009F06F3">
        <w:rPr>
          <w:rStyle w:val="FootnoteReference"/>
          <w:rFonts w:ascii="Times New Roman" w:hAnsi="Times New Roman" w:cs="Times New Roman"/>
          <w:sz w:val="24"/>
          <w:szCs w:val="24"/>
        </w:rPr>
        <w:footnoteReference w:id="9"/>
      </w:r>
      <w:r w:rsidR="003A5631" w:rsidRPr="00BA0D2B">
        <w:rPr>
          <w:rFonts w:ascii="Times New Roman" w:hAnsi="Times New Roman" w:cs="Times New Roman"/>
          <w:sz w:val="24"/>
          <w:szCs w:val="24"/>
        </w:rPr>
        <w:t xml:space="preserve"> The colloquy subsequently </w:t>
      </w:r>
      <w:r w:rsidR="00D05ECC" w:rsidRPr="00BA0D2B">
        <w:rPr>
          <w:rFonts w:ascii="Times New Roman" w:hAnsi="Times New Roman" w:cs="Times New Roman"/>
          <w:sz w:val="24"/>
          <w:szCs w:val="24"/>
        </w:rPr>
        <w:t xml:space="preserve">finalized </w:t>
      </w:r>
      <w:r w:rsidR="003A5631" w:rsidRPr="00BA0D2B">
        <w:rPr>
          <w:rFonts w:ascii="Times New Roman" w:hAnsi="Times New Roman" w:cs="Times New Roman"/>
          <w:sz w:val="24"/>
          <w:szCs w:val="24"/>
        </w:rPr>
        <w:t xml:space="preserve">by the trial </w:t>
      </w:r>
      <w:r w:rsidR="00D05ECC" w:rsidRPr="00BA0D2B">
        <w:rPr>
          <w:rFonts w:ascii="Times New Roman" w:hAnsi="Times New Roman" w:cs="Times New Roman"/>
          <w:sz w:val="24"/>
          <w:szCs w:val="24"/>
        </w:rPr>
        <w:t xml:space="preserve">judiciary </w:t>
      </w:r>
      <w:r w:rsidR="003A5631" w:rsidRPr="00BA0D2B">
        <w:rPr>
          <w:rFonts w:ascii="Times New Roman" w:hAnsi="Times New Roman" w:cs="Times New Roman"/>
          <w:sz w:val="24"/>
          <w:szCs w:val="24"/>
        </w:rPr>
        <w:t xml:space="preserve">included the </w:t>
      </w:r>
      <w:r w:rsidR="00D05ECC" w:rsidRPr="00BA0D2B">
        <w:rPr>
          <w:rFonts w:ascii="Times New Roman" w:hAnsi="Times New Roman" w:cs="Times New Roman"/>
          <w:sz w:val="24"/>
          <w:szCs w:val="24"/>
        </w:rPr>
        <w:t xml:space="preserve">advice that the accused would not be given access to classified evidence as they do not have the proper security clearance to review it. Therefore, </w:t>
      </w:r>
      <w:r w:rsidR="00BA20CA" w:rsidRPr="00BA0D2B">
        <w:rPr>
          <w:rFonts w:ascii="Times New Roman" w:hAnsi="Times New Roman" w:cs="Times New Roman"/>
          <w:sz w:val="24"/>
          <w:szCs w:val="24"/>
        </w:rPr>
        <w:t xml:space="preserve">even if a defendant were competent to represent himself, </w:t>
      </w:r>
      <w:r w:rsidR="006452CC" w:rsidRPr="00BA0D2B">
        <w:rPr>
          <w:rFonts w:ascii="Times New Roman" w:hAnsi="Times New Roman" w:cs="Times New Roman"/>
          <w:sz w:val="24"/>
          <w:szCs w:val="24"/>
        </w:rPr>
        <w:t>“</w:t>
      </w:r>
      <w:r w:rsidR="00D05ECC" w:rsidRPr="00BA0D2B">
        <w:rPr>
          <w:rFonts w:ascii="Times New Roman" w:hAnsi="Times New Roman" w:cs="Times New Roman"/>
          <w:sz w:val="24"/>
          <w:szCs w:val="24"/>
        </w:rPr>
        <w:t>standby</w:t>
      </w:r>
      <w:r w:rsidR="006452CC" w:rsidRPr="00BA0D2B">
        <w:rPr>
          <w:rFonts w:ascii="Times New Roman" w:hAnsi="Times New Roman" w:cs="Times New Roman"/>
          <w:sz w:val="24"/>
          <w:szCs w:val="24"/>
        </w:rPr>
        <w:t>”</w:t>
      </w:r>
      <w:r w:rsidR="00D05ECC" w:rsidRPr="00BA0D2B">
        <w:rPr>
          <w:rFonts w:ascii="Times New Roman" w:hAnsi="Times New Roman" w:cs="Times New Roman"/>
          <w:sz w:val="24"/>
          <w:szCs w:val="24"/>
        </w:rPr>
        <w:t xml:space="preserve"> counsel would </w:t>
      </w:r>
      <w:r w:rsidR="006452CC" w:rsidRPr="00BA0D2B">
        <w:rPr>
          <w:rFonts w:ascii="Times New Roman" w:hAnsi="Times New Roman" w:cs="Times New Roman"/>
          <w:sz w:val="24"/>
          <w:szCs w:val="24"/>
        </w:rPr>
        <w:t xml:space="preserve">continue to </w:t>
      </w:r>
      <w:r w:rsidR="00D05ECC" w:rsidRPr="00BA0D2B">
        <w:rPr>
          <w:rFonts w:ascii="Times New Roman" w:hAnsi="Times New Roman" w:cs="Times New Roman"/>
          <w:sz w:val="24"/>
          <w:szCs w:val="24"/>
        </w:rPr>
        <w:t xml:space="preserve">have the only </w:t>
      </w:r>
      <w:r w:rsidR="00D05ECC" w:rsidRPr="00BA0D2B">
        <w:rPr>
          <w:rFonts w:ascii="Times New Roman" w:hAnsi="Times New Roman" w:cs="Times New Roman"/>
          <w:sz w:val="24"/>
          <w:szCs w:val="24"/>
        </w:rPr>
        <w:lastRenderedPageBreak/>
        <w:t>access to classified evidence and the only ability to move or argue against it, without instruction from the</w:t>
      </w:r>
      <w:r w:rsidR="00BA20CA" w:rsidRPr="00BA0D2B">
        <w:rPr>
          <w:rFonts w:ascii="Times New Roman" w:hAnsi="Times New Roman" w:cs="Times New Roman"/>
          <w:sz w:val="24"/>
          <w:szCs w:val="24"/>
        </w:rPr>
        <w:t xml:space="preserve"> defendant</w:t>
      </w:r>
      <w:r w:rsidR="00D05ECC" w:rsidRPr="00BA0D2B">
        <w:rPr>
          <w:rFonts w:ascii="Times New Roman" w:hAnsi="Times New Roman" w:cs="Times New Roman"/>
          <w:sz w:val="24"/>
          <w:szCs w:val="24"/>
        </w:rPr>
        <w:t>.</w:t>
      </w:r>
      <w:r w:rsidR="000C3ABE">
        <w:rPr>
          <w:rStyle w:val="FootnoteReference"/>
          <w:rFonts w:ascii="Times New Roman" w:hAnsi="Times New Roman" w:cs="Times New Roman"/>
          <w:sz w:val="24"/>
          <w:szCs w:val="24"/>
        </w:rPr>
        <w:footnoteReference w:id="10"/>
      </w:r>
      <w:r w:rsidR="00D05ECC" w:rsidRPr="00BA0D2B">
        <w:rPr>
          <w:rFonts w:ascii="Times New Roman" w:hAnsi="Times New Roman" w:cs="Times New Roman"/>
          <w:sz w:val="24"/>
          <w:szCs w:val="24"/>
        </w:rPr>
        <w:t xml:space="preserve"> This </w:t>
      </w:r>
      <w:r w:rsidR="005235C0" w:rsidRPr="00BA0D2B">
        <w:rPr>
          <w:rFonts w:ascii="Times New Roman" w:hAnsi="Times New Roman" w:cs="Times New Roman"/>
          <w:sz w:val="24"/>
          <w:szCs w:val="24"/>
        </w:rPr>
        <w:t>provision renders self-representation impossib</w:t>
      </w:r>
      <w:r w:rsidR="00D0505D">
        <w:rPr>
          <w:rFonts w:ascii="Times New Roman" w:hAnsi="Times New Roman" w:cs="Times New Roman"/>
          <w:sz w:val="24"/>
          <w:szCs w:val="24"/>
        </w:rPr>
        <w:t xml:space="preserve">le at the military commissions, </w:t>
      </w:r>
      <w:r w:rsidR="00D05ECC" w:rsidRPr="00BA0D2B">
        <w:rPr>
          <w:rFonts w:ascii="Times New Roman" w:hAnsi="Times New Roman" w:cs="Times New Roman"/>
          <w:sz w:val="24"/>
          <w:szCs w:val="24"/>
        </w:rPr>
        <w:t>runs contrary to the right to represent oneself under U.S., common, and international human rights law, and violates Article 14(3)(d) of the ICCPR.</w:t>
      </w:r>
      <w:r w:rsidR="00D05ECC">
        <w:rPr>
          <w:rStyle w:val="FootnoteReference"/>
          <w:rFonts w:ascii="Times New Roman" w:hAnsi="Times New Roman" w:cs="Times New Roman"/>
          <w:sz w:val="24"/>
          <w:szCs w:val="24"/>
        </w:rPr>
        <w:footnoteReference w:id="11"/>
      </w:r>
      <w:r w:rsidR="00D05ECC" w:rsidRPr="00BA0D2B">
        <w:rPr>
          <w:rFonts w:ascii="Times New Roman" w:hAnsi="Times New Roman" w:cs="Times New Roman"/>
          <w:sz w:val="24"/>
          <w:szCs w:val="24"/>
        </w:rPr>
        <w:t xml:space="preserve"> </w:t>
      </w:r>
    </w:p>
    <w:p w:rsidR="001C58B9" w:rsidRPr="00ED7B1D" w:rsidRDefault="001C58B9" w:rsidP="004F4B68">
      <w:pPr>
        <w:autoSpaceDE w:val="0"/>
        <w:autoSpaceDN w:val="0"/>
        <w:adjustRightInd w:val="0"/>
        <w:spacing w:after="0" w:line="480" w:lineRule="auto"/>
        <w:rPr>
          <w:rFonts w:ascii="Times New Roman" w:hAnsi="Times New Roman" w:cs="Times New Roman"/>
          <w:sz w:val="24"/>
          <w:szCs w:val="24"/>
        </w:rPr>
      </w:pPr>
    </w:p>
    <w:p w:rsidR="002F2726" w:rsidRDefault="007A1921" w:rsidP="004F4B68">
      <w:pPr>
        <w:spacing w:line="480" w:lineRule="auto"/>
        <w:rPr>
          <w:rFonts w:ascii="Times New Roman" w:hAnsi="Times New Roman" w:cs="Times New Roman"/>
          <w:sz w:val="24"/>
          <w:szCs w:val="24"/>
        </w:rPr>
      </w:pPr>
      <w:r w:rsidRPr="00ED7B1D">
        <w:rPr>
          <w:rFonts w:ascii="Times New Roman" w:hAnsi="Times New Roman" w:cs="Times New Roman"/>
          <w:sz w:val="24"/>
          <w:szCs w:val="24"/>
        </w:rPr>
        <w:t xml:space="preserve">The United States has candidly admitted that it has no plans to discontinue the military commissions, and </w:t>
      </w:r>
      <w:r w:rsidR="00ED7B1D" w:rsidRPr="00ED7B1D">
        <w:rPr>
          <w:rFonts w:ascii="Times New Roman" w:hAnsi="Times New Roman" w:cs="Times New Roman"/>
          <w:sz w:val="24"/>
          <w:szCs w:val="24"/>
        </w:rPr>
        <w:t xml:space="preserve">the accused struggle constantly </w:t>
      </w:r>
      <w:r w:rsidR="00ED7B1D">
        <w:rPr>
          <w:rFonts w:ascii="Times New Roman" w:hAnsi="Times New Roman" w:cs="Times New Roman"/>
          <w:sz w:val="24"/>
          <w:szCs w:val="24"/>
        </w:rPr>
        <w:t xml:space="preserve">in </w:t>
      </w:r>
      <w:r w:rsidR="00ED7B1D" w:rsidRPr="00ED7B1D">
        <w:rPr>
          <w:rFonts w:ascii="Times New Roman" w:hAnsi="Times New Roman" w:cs="Times New Roman"/>
          <w:sz w:val="24"/>
          <w:szCs w:val="24"/>
        </w:rPr>
        <w:t xml:space="preserve">a system that is heavily and purposely weighted against them. The United States should therefore be censured in the strongest possible terms for its multiple violations of the ICCPR. </w:t>
      </w:r>
    </w:p>
    <w:p w:rsidR="004F4B68" w:rsidRDefault="004F4B68" w:rsidP="002F2726">
      <w:pPr>
        <w:rPr>
          <w:rFonts w:ascii="Times New Roman" w:hAnsi="Times New Roman" w:cs="Times New Roman"/>
          <w:sz w:val="24"/>
          <w:szCs w:val="24"/>
        </w:rPr>
      </w:pPr>
    </w:p>
    <w:p w:rsidR="004F4B68" w:rsidRDefault="004F4B68" w:rsidP="002F2726">
      <w:pPr>
        <w:rPr>
          <w:rFonts w:ascii="Times New Roman" w:hAnsi="Times New Roman" w:cs="Times New Roman"/>
          <w:sz w:val="24"/>
          <w:szCs w:val="24"/>
        </w:rPr>
      </w:pPr>
      <w:r>
        <w:rPr>
          <w:rFonts w:ascii="Times New Roman" w:hAnsi="Times New Roman" w:cs="Times New Roman"/>
          <w:sz w:val="24"/>
          <w:szCs w:val="24"/>
        </w:rPr>
        <w:t>Regards,</w:t>
      </w:r>
    </w:p>
    <w:p w:rsidR="004F4B68" w:rsidRDefault="004F4B68" w:rsidP="004F4B68">
      <w:pPr>
        <w:tabs>
          <w:tab w:val="left" w:pos="5740"/>
        </w:tabs>
        <w:spacing w:before="76" w:after="0" w:line="240" w:lineRule="auto"/>
        <w:ind w:left="100"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ab/>
        <w:t>//s//</w:t>
      </w:r>
    </w:p>
    <w:p w:rsidR="004F4B68" w:rsidRDefault="004F4B68" w:rsidP="004F4B68">
      <w:pPr>
        <w:tabs>
          <w:tab w:val="left" w:pos="5740"/>
        </w:tabs>
        <w:spacing w:after="0" w:line="240" w:lineRule="auto"/>
        <w:ind w:left="100" w:right="90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JAMES </w:t>
      </w:r>
      <w:r>
        <w:rPr>
          <w:rFonts w:ascii="Times New Roman" w:eastAsia="Times New Roman" w:hAnsi="Times New Roman" w:cs="Times New Roman"/>
          <w:spacing w:val="-29"/>
          <w:sz w:val="24"/>
          <w:szCs w:val="24"/>
        </w:rPr>
        <w:t>G</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CONNELL,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III</w:t>
      </w:r>
      <w:r>
        <w:rPr>
          <w:rFonts w:ascii="Times New Roman" w:eastAsia="Times New Roman" w:hAnsi="Times New Roman" w:cs="Times New Roman"/>
          <w:sz w:val="24"/>
          <w:szCs w:val="24"/>
        </w:rPr>
        <w:tab/>
      </w:r>
      <w:r w:rsidR="006C6CD8">
        <w:rPr>
          <w:rFonts w:ascii="Times New Roman" w:eastAsia="Times New Roman" w:hAnsi="Times New Roman" w:cs="Times New Roman"/>
          <w:sz w:val="24"/>
          <w:szCs w:val="24"/>
        </w:rPr>
        <w:t>ALKA PRADHAN</w:t>
      </w:r>
    </w:p>
    <w:p w:rsidR="004F4B68" w:rsidRDefault="004F4B68" w:rsidP="004F4B68">
      <w:pPr>
        <w:tabs>
          <w:tab w:val="left" w:pos="5740"/>
        </w:tabs>
        <w:spacing w:after="0" w:line="240" w:lineRule="auto"/>
        <w:ind w:left="100" w:right="902"/>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Learned Counsel</w:t>
      </w:r>
      <w:r>
        <w:rPr>
          <w:rFonts w:ascii="Times New Roman" w:eastAsia="Times New Roman" w:hAnsi="Times New Roman" w:cs="Times New Roman"/>
          <w:sz w:val="24"/>
          <w:szCs w:val="24"/>
        </w:rPr>
        <w:tab/>
        <w:t>Detailed Defense Counsel</w:t>
      </w:r>
    </w:p>
    <w:p w:rsidR="004F4B68" w:rsidRDefault="004F4B68" w:rsidP="004F4B68">
      <w:pPr>
        <w:spacing w:before="16" w:after="0" w:line="260" w:lineRule="exact"/>
        <w:rPr>
          <w:sz w:val="26"/>
          <w:szCs w:val="26"/>
        </w:rPr>
      </w:pPr>
    </w:p>
    <w:p w:rsidR="004F4B68" w:rsidRDefault="004F4B68" w:rsidP="004F4B68">
      <w:pPr>
        <w:spacing w:after="0" w:line="240" w:lineRule="auto"/>
        <w:ind w:left="100"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Counsel for M</w:t>
      </w:r>
      <w:r>
        <w:rPr>
          <w:rFonts w:ascii="Times New Roman" w:eastAsia="Times New Roman" w:hAnsi="Times New Roman" w:cs="Times New Roman"/>
          <w:spacing w:val="-13"/>
          <w:sz w:val="24"/>
          <w:szCs w:val="24"/>
        </w:rPr>
        <w:t>r</w:t>
      </w:r>
      <w:r>
        <w:rPr>
          <w:rFonts w:ascii="Times New Roman" w:eastAsia="Times New Roman" w:hAnsi="Times New Roman" w:cs="Times New Roman"/>
          <w:sz w:val="24"/>
          <w:szCs w:val="24"/>
        </w:rPr>
        <w:t>. al Baluchi</w:t>
      </w:r>
    </w:p>
    <w:p w:rsidR="004F4B68" w:rsidRDefault="004F4B68" w:rsidP="002F2726">
      <w:pPr>
        <w:rPr>
          <w:rFonts w:ascii="Times New Roman" w:hAnsi="Times New Roman" w:cs="Times New Roman"/>
          <w:sz w:val="24"/>
          <w:szCs w:val="24"/>
        </w:rPr>
      </w:pPr>
    </w:p>
    <w:p w:rsidR="0040293C" w:rsidRDefault="0040293C" w:rsidP="0040293C">
      <w:pPr>
        <w:tabs>
          <w:tab w:val="left" w:pos="5740"/>
        </w:tabs>
        <w:spacing w:before="76" w:after="0" w:line="240" w:lineRule="auto"/>
        <w:ind w:left="100"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
    <w:p w:rsidR="0040293C" w:rsidRDefault="0040293C" w:rsidP="002F2726">
      <w:pPr>
        <w:rPr>
          <w:rFonts w:ascii="Times New Roman" w:hAnsi="Times New Roman" w:cs="Times New Roman"/>
          <w:sz w:val="24"/>
          <w:szCs w:val="24"/>
        </w:rPr>
      </w:pPr>
      <w:r>
        <w:rPr>
          <w:rFonts w:ascii="Times New Roman" w:hAnsi="Times New Roman" w:cs="Times New Roman"/>
          <w:sz w:val="24"/>
          <w:szCs w:val="24"/>
        </w:rPr>
        <w:t>DAVID NEVIN</w:t>
      </w:r>
    </w:p>
    <w:p w:rsidR="0040293C" w:rsidRPr="00ED7B1D" w:rsidRDefault="0040293C" w:rsidP="002F2726">
      <w:pPr>
        <w:rPr>
          <w:rFonts w:ascii="Times New Roman" w:hAnsi="Times New Roman" w:cs="Times New Roman"/>
          <w:sz w:val="24"/>
          <w:szCs w:val="24"/>
        </w:rPr>
      </w:pPr>
      <w:r>
        <w:rPr>
          <w:rFonts w:ascii="Times New Roman" w:hAnsi="Times New Roman" w:cs="Times New Roman"/>
          <w:sz w:val="24"/>
          <w:szCs w:val="24"/>
        </w:rPr>
        <w:t>Detailed Learned Counsel for Mr. Mohammad</w:t>
      </w:r>
    </w:p>
    <w:sectPr w:rsidR="0040293C" w:rsidRPr="00ED7B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7199" w:rsidRDefault="00117199" w:rsidP="004F0E3B">
      <w:pPr>
        <w:spacing w:after="0" w:line="240" w:lineRule="auto"/>
      </w:pPr>
      <w:r>
        <w:separator/>
      </w:r>
    </w:p>
  </w:endnote>
  <w:endnote w:type="continuationSeparator" w:id="0">
    <w:p w:rsidR="00117199" w:rsidRDefault="00117199" w:rsidP="004F0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7199" w:rsidRDefault="00117199" w:rsidP="004F0E3B">
      <w:pPr>
        <w:spacing w:after="0" w:line="240" w:lineRule="auto"/>
      </w:pPr>
      <w:r>
        <w:separator/>
      </w:r>
    </w:p>
  </w:footnote>
  <w:footnote w:type="continuationSeparator" w:id="0">
    <w:p w:rsidR="00117199" w:rsidRDefault="00117199" w:rsidP="004F0E3B">
      <w:pPr>
        <w:spacing w:after="0" w:line="240" w:lineRule="auto"/>
      </w:pPr>
      <w:r>
        <w:continuationSeparator/>
      </w:r>
    </w:p>
  </w:footnote>
  <w:footnote w:id="1">
    <w:p w:rsidR="003B0ED9" w:rsidRPr="00E5417A" w:rsidRDefault="003B0ED9" w:rsidP="003B0ED9">
      <w:pPr>
        <w:pStyle w:val="EndnoteText"/>
        <w:jc w:val="both"/>
        <w:rPr>
          <w:rFonts w:asciiTheme="majorBidi" w:hAnsiTheme="majorBidi" w:cstheme="majorBidi"/>
          <w:sz w:val="24"/>
          <w:szCs w:val="24"/>
        </w:rPr>
      </w:pPr>
      <w:r>
        <w:rPr>
          <w:rStyle w:val="FootnoteReference"/>
        </w:rPr>
        <w:footnoteRef/>
      </w:r>
      <w:r>
        <w:t xml:space="preserve"> </w:t>
      </w:r>
      <w:r w:rsidRPr="00E5417A">
        <w:rPr>
          <w:rFonts w:asciiTheme="majorBidi" w:hAnsiTheme="majorBidi" w:cstheme="majorBidi"/>
          <w:sz w:val="24"/>
          <w:szCs w:val="24"/>
        </w:rPr>
        <w:t xml:space="preserve">The Office of the Chief Defense Counsel is responsible for providing legal services to persons charged in a United States Military Commission. </w:t>
      </w:r>
      <w:r w:rsidRPr="00E5417A">
        <w:rPr>
          <w:rFonts w:asciiTheme="majorBidi" w:hAnsiTheme="majorBidi" w:cstheme="majorBidi"/>
          <w:i/>
          <w:sz w:val="24"/>
          <w:szCs w:val="24"/>
        </w:rPr>
        <w:t xml:space="preserve">See </w:t>
      </w:r>
      <w:r w:rsidRPr="00E5417A">
        <w:rPr>
          <w:rFonts w:asciiTheme="majorBidi" w:hAnsiTheme="majorBidi" w:cstheme="majorBidi"/>
          <w:sz w:val="24"/>
          <w:szCs w:val="24"/>
        </w:rPr>
        <w:t xml:space="preserve">10 U.S.C. § 938k(c).  The Chief Defense Counsel has </w:t>
      </w:r>
      <w:r>
        <w:rPr>
          <w:rFonts w:asciiTheme="majorBidi" w:hAnsiTheme="majorBidi" w:cstheme="majorBidi"/>
          <w:sz w:val="24"/>
          <w:szCs w:val="24"/>
        </w:rPr>
        <w:t>detailed James G. Connell, III</w:t>
      </w:r>
      <w:r w:rsidR="002B2095">
        <w:rPr>
          <w:rFonts w:asciiTheme="majorBidi" w:hAnsiTheme="majorBidi" w:cstheme="majorBidi"/>
          <w:sz w:val="24"/>
          <w:szCs w:val="24"/>
        </w:rPr>
        <w:t>,</w:t>
      </w:r>
      <w:r>
        <w:rPr>
          <w:rFonts w:asciiTheme="majorBidi" w:hAnsiTheme="majorBidi" w:cstheme="majorBidi"/>
          <w:sz w:val="24"/>
          <w:szCs w:val="24"/>
        </w:rPr>
        <w:t xml:space="preserve"> and Alka Pradhan, among others, as counsel for Mr. al Baluchi</w:t>
      </w:r>
      <w:r w:rsidR="00743A19">
        <w:rPr>
          <w:rFonts w:asciiTheme="majorBidi" w:hAnsiTheme="majorBidi" w:cstheme="majorBidi"/>
          <w:sz w:val="24"/>
          <w:szCs w:val="24"/>
        </w:rPr>
        <w:t xml:space="preserve">; and David </w:t>
      </w:r>
      <w:proofErr w:type="spellStart"/>
      <w:r w:rsidR="00743A19">
        <w:rPr>
          <w:rFonts w:asciiTheme="majorBidi" w:hAnsiTheme="majorBidi" w:cstheme="majorBidi"/>
          <w:sz w:val="24"/>
          <w:szCs w:val="24"/>
        </w:rPr>
        <w:t>Nevin</w:t>
      </w:r>
      <w:proofErr w:type="spellEnd"/>
      <w:r w:rsidR="00743A19">
        <w:rPr>
          <w:rFonts w:asciiTheme="majorBidi" w:hAnsiTheme="majorBidi" w:cstheme="majorBidi"/>
          <w:sz w:val="24"/>
          <w:szCs w:val="24"/>
        </w:rPr>
        <w:t>, among others, as counsel for Mr. Mohammad</w:t>
      </w:r>
      <w:r>
        <w:rPr>
          <w:rFonts w:asciiTheme="majorBidi" w:hAnsiTheme="majorBidi" w:cstheme="majorBidi"/>
          <w:sz w:val="24"/>
          <w:szCs w:val="24"/>
        </w:rPr>
        <w:t>. This letter</w:t>
      </w:r>
      <w:r w:rsidRPr="00E5417A">
        <w:rPr>
          <w:rFonts w:asciiTheme="majorBidi" w:hAnsiTheme="majorBidi" w:cstheme="majorBidi"/>
          <w:sz w:val="24"/>
          <w:szCs w:val="24"/>
        </w:rPr>
        <w:t xml:space="preserve"> does not represent the official position of the United States of America, the Department of Defense, or of any person other t</w:t>
      </w:r>
      <w:r w:rsidR="00743A19">
        <w:rPr>
          <w:rFonts w:asciiTheme="majorBidi" w:hAnsiTheme="majorBidi" w:cstheme="majorBidi"/>
          <w:sz w:val="24"/>
          <w:szCs w:val="24"/>
        </w:rPr>
        <w:t xml:space="preserve">han its authors, </w:t>
      </w:r>
      <w:r>
        <w:rPr>
          <w:rFonts w:asciiTheme="majorBidi" w:hAnsiTheme="majorBidi" w:cstheme="majorBidi"/>
          <w:sz w:val="24"/>
          <w:szCs w:val="24"/>
        </w:rPr>
        <w:t>Mr. al Baluchi</w:t>
      </w:r>
      <w:r w:rsidR="00743A19">
        <w:rPr>
          <w:rFonts w:asciiTheme="majorBidi" w:hAnsiTheme="majorBidi" w:cstheme="majorBidi"/>
          <w:sz w:val="24"/>
          <w:szCs w:val="24"/>
        </w:rPr>
        <w:t>, and Mr. Mohammad</w:t>
      </w:r>
      <w:r w:rsidRPr="00E5417A">
        <w:rPr>
          <w:rFonts w:asciiTheme="majorBidi" w:hAnsiTheme="majorBidi" w:cstheme="majorBidi"/>
          <w:sz w:val="24"/>
          <w:szCs w:val="24"/>
        </w:rPr>
        <w:t xml:space="preserve">.  This </w:t>
      </w:r>
      <w:r>
        <w:rPr>
          <w:rFonts w:asciiTheme="majorBidi" w:hAnsiTheme="majorBidi" w:cstheme="majorBidi"/>
          <w:sz w:val="24"/>
          <w:szCs w:val="24"/>
        </w:rPr>
        <w:t>Report</w:t>
      </w:r>
      <w:r w:rsidRPr="00E5417A">
        <w:rPr>
          <w:rFonts w:asciiTheme="majorBidi" w:hAnsiTheme="majorBidi" w:cstheme="majorBidi"/>
          <w:sz w:val="24"/>
          <w:szCs w:val="24"/>
        </w:rPr>
        <w:t xml:space="preserve"> is not based upon classified information, and should not be read to confirm or deny any information the United States considers classified.</w:t>
      </w:r>
    </w:p>
    <w:p w:rsidR="003B0ED9" w:rsidRDefault="003B0ED9">
      <w:pPr>
        <w:pStyle w:val="FootnoteText"/>
      </w:pPr>
    </w:p>
  </w:footnote>
  <w:footnote w:id="2">
    <w:p w:rsidR="001C0692" w:rsidRDefault="001C0692">
      <w:pPr>
        <w:pStyle w:val="FootnoteText"/>
      </w:pPr>
      <w:r>
        <w:rPr>
          <w:rStyle w:val="FootnoteReference"/>
        </w:rPr>
        <w:footnoteRef/>
      </w:r>
      <w:r>
        <w:t xml:space="preserve"> </w:t>
      </w:r>
      <w:r w:rsidRPr="00721EBE">
        <w:rPr>
          <w:rFonts w:ascii="Times New Roman" w:hAnsi="Times New Roman" w:cs="Times New Roman"/>
          <w:sz w:val="24"/>
          <w:szCs w:val="24"/>
        </w:rPr>
        <w:t xml:space="preserve">October 9 Reply of the United States Government to the Committee’s Letter Dated August 6, 2015, FN 3, </w:t>
      </w:r>
      <w:r w:rsidRPr="00721EBE">
        <w:rPr>
          <w:rFonts w:ascii="Times New Roman" w:hAnsi="Times New Roman" w:cs="Times New Roman"/>
          <w:i/>
          <w:sz w:val="24"/>
          <w:szCs w:val="24"/>
        </w:rPr>
        <w:t>available at</w:t>
      </w:r>
      <w:r w:rsidRPr="00721EBE">
        <w:rPr>
          <w:rFonts w:ascii="Times New Roman" w:hAnsi="Times New Roman" w:cs="Times New Roman"/>
          <w:sz w:val="24"/>
          <w:szCs w:val="24"/>
        </w:rPr>
        <w:t xml:space="preserve"> </w:t>
      </w:r>
      <w:hyperlink r:id="rId1" w:history="1">
        <w:r w:rsidR="00D125C8" w:rsidRPr="00CF616B">
          <w:rPr>
            <w:rStyle w:val="Hyperlink"/>
            <w:rFonts w:ascii="Times New Roman" w:hAnsi="Times New Roman" w:cs="Times New Roman"/>
            <w:sz w:val="24"/>
            <w:szCs w:val="24"/>
          </w:rPr>
          <w:t>http://tbinternet.ohchr.org/Treaties/CCPR/Shared%20Documents/USA/INT_CCPR_FCO_USA_21976_E.pdf</w:t>
        </w:r>
      </w:hyperlink>
      <w:r w:rsidR="00D125C8">
        <w:rPr>
          <w:rFonts w:ascii="Times New Roman" w:hAnsi="Times New Roman" w:cs="Times New Roman"/>
          <w:sz w:val="24"/>
          <w:szCs w:val="24"/>
        </w:rPr>
        <w:t xml:space="preserve"> [“Oct. 9 Reply”].</w:t>
      </w:r>
    </w:p>
  </w:footnote>
  <w:footnote w:id="3">
    <w:p w:rsidR="001C58B9" w:rsidRPr="00854297" w:rsidRDefault="001C58B9" w:rsidP="00D125C8">
      <w:pPr>
        <w:spacing w:after="0" w:line="240" w:lineRule="auto"/>
        <w:rPr>
          <w:rFonts w:ascii="Times New Roman" w:hAnsi="Times New Roman" w:cs="Times New Roman"/>
          <w:sz w:val="24"/>
          <w:szCs w:val="24"/>
        </w:rPr>
      </w:pPr>
      <w:r>
        <w:rPr>
          <w:rStyle w:val="FootnoteReference"/>
        </w:rPr>
        <w:footnoteRef/>
      </w:r>
      <w:r>
        <w:t xml:space="preserve"> </w:t>
      </w:r>
      <w:r w:rsidRPr="004F0E3B">
        <w:rPr>
          <w:rFonts w:ascii="Times New Roman" w:hAnsi="Times New Roman" w:cs="Times New Roman"/>
          <w:sz w:val="24"/>
          <w:szCs w:val="24"/>
        </w:rPr>
        <w:t>In continuing the military commissions, the United States is also in violation of Article 5 of the Declaration on the Human Rights of Individuals Who Are Not Nationals of the Country in Which They Live, G.A. res. 40/144, annex, 40 U.N. GAOR Supp. (No. 53) at 252, U.N. Doc. A/40/53 (1985</w:t>
      </w:r>
      <w:r w:rsidR="00DD5EAE">
        <w:rPr>
          <w:rFonts w:ascii="Times New Roman" w:hAnsi="Times New Roman" w:cs="Times New Roman"/>
          <w:sz w:val="24"/>
          <w:szCs w:val="24"/>
        </w:rPr>
        <w:t>)</w:t>
      </w:r>
      <w:r w:rsidRPr="004F0E3B">
        <w:rPr>
          <w:rFonts w:ascii="Times New Roman" w:hAnsi="Times New Roman" w:cs="Times New Roman"/>
          <w:sz w:val="24"/>
          <w:szCs w:val="24"/>
        </w:rPr>
        <w:t>; Article 7 of the Universal Declaration of Human Rights, G.A. res. 217A (III), U.N. Doc A/810 at 71 (1948); and Article 24 of the American Convention on Human Rights, OAS Treaty Series No. 36; 1144 UNTS 123; 9 ILM 99 (1969)</w:t>
      </w:r>
      <w:r w:rsidR="00DD5EAE">
        <w:rPr>
          <w:rFonts w:ascii="Times New Roman" w:hAnsi="Times New Roman" w:cs="Times New Roman"/>
          <w:sz w:val="24"/>
          <w:szCs w:val="24"/>
        </w:rPr>
        <w:t>.</w:t>
      </w:r>
      <w:r w:rsidRPr="004F0E3B">
        <w:rPr>
          <w:rFonts w:ascii="Times New Roman" w:hAnsi="Times New Roman" w:cs="Times New Roman"/>
          <w:sz w:val="24"/>
          <w:szCs w:val="24"/>
        </w:rPr>
        <w:t xml:space="preserve">  </w:t>
      </w:r>
    </w:p>
  </w:footnote>
  <w:footnote w:id="4">
    <w:p w:rsidR="001F1BE0" w:rsidRDefault="001F1BE0">
      <w:pPr>
        <w:pStyle w:val="FootnoteText"/>
      </w:pPr>
      <w:r w:rsidRPr="00854297">
        <w:rPr>
          <w:rStyle w:val="FootnoteReference"/>
          <w:rFonts w:ascii="Times New Roman" w:hAnsi="Times New Roman" w:cs="Times New Roman"/>
          <w:sz w:val="24"/>
          <w:szCs w:val="24"/>
        </w:rPr>
        <w:footnoteRef/>
      </w:r>
      <w:r w:rsidRPr="00854297">
        <w:rPr>
          <w:rFonts w:ascii="Times New Roman" w:hAnsi="Times New Roman" w:cs="Times New Roman"/>
          <w:sz w:val="24"/>
          <w:szCs w:val="24"/>
        </w:rPr>
        <w:t xml:space="preserve"> </w:t>
      </w:r>
      <w:r w:rsidRPr="00854297">
        <w:rPr>
          <w:rFonts w:ascii="Times New Roman" w:hAnsi="Times New Roman" w:cs="Times New Roman"/>
          <w:i/>
          <w:sz w:val="24"/>
          <w:szCs w:val="24"/>
        </w:rPr>
        <w:t>Pentagon Denies UN Investigator Chance to Interview Guantanamo Detainees</w:t>
      </w:r>
      <w:r w:rsidRPr="00854297">
        <w:rPr>
          <w:rFonts w:ascii="Times New Roman" w:hAnsi="Times New Roman" w:cs="Times New Roman"/>
          <w:sz w:val="24"/>
          <w:szCs w:val="24"/>
        </w:rPr>
        <w:t xml:space="preserve">, The Guardian, March 15, 2015, available at </w:t>
      </w:r>
      <w:hyperlink r:id="rId2" w:history="1">
        <w:r w:rsidRPr="00854297">
          <w:rPr>
            <w:rStyle w:val="Hyperlink"/>
            <w:rFonts w:ascii="Times New Roman" w:hAnsi="Times New Roman" w:cs="Times New Roman"/>
            <w:sz w:val="24"/>
            <w:szCs w:val="24"/>
          </w:rPr>
          <w:t>http://www.theguardian.com/us-news/2015/mar/15/pentagon-un-torture-investigator-interview-guantanamo-detainees</w:t>
        </w:r>
      </w:hyperlink>
      <w:r w:rsidRPr="00854297">
        <w:rPr>
          <w:rFonts w:ascii="Times New Roman" w:hAnsi="Times New Roman" w:cs="Times New Roman"/>
          <w:sz w:val="24"/>
          <w:szCs w:val="24"/>
        </w:rPr>
        <w:t>.</w:t>
      </w:r>
      <w:r>
        <w:t xml:space="preserve"> </w:t>
      </w:r>
    </w:p>
  </w:footnote>
  <w:footnote w:id="5">
    <w:p w:rsidR="001C58B9" w:rsidRPr="00D125C8" w:rsidRDefault="001C58B9" w:rsidP="00D125C8">
      <w:pPr>
        <w:pStyle w:val="FootnoteText"/>
        <w:rPr>
          <w:rFonts w:ascii="Times New Roman" w:hAnsi="Times New Roman" w:cs="Times New Roman"/>
          <w:sz w:val="24"/>
          <w:szCs w:val="24"/>
        </w:rPr>
      </w:pPr>
      <w:r w:rsidRPr="00D125C8">
        <w:rPr>
          <w:rStyle w:val="FootnoteReference"/>
          <w:rFonts w:ascii="Times New Roman" w:hAnsi="Times New Roman" w:cs="Times New Roman"/>
          <w:sz w:val="24"/>
          <w:szCs w:val="24"/>
        </w:rPr>
        <w:footnoteRef/>
      </w:r>
      <w:r w:rsidRPr="00D125C8">
        <w:rPr>
          <w:rFonts w:ascii="Times New Roman" w:hAnsi="Times New Roman" w:cs="Times New Roman"/>
          <w:sz w:val="24"/>
          <w:szCs w:val="24"/>
        </w:rPr>
        <w:t xml:space="preserve"> </w:t>
      </w:r>
      <w:r w:rsidR="00D125C8" w:rsidRPr="00D125C8">
        <w:rPr>
          <w:rFonts w:ascii="Times New Roman" w:hAnsi="Times New Roman" w:cs="Times New Roman"/>
          <w:sz w:val="24"/>
          <w:szCs w:val="24"/>
        </w:rPr>
        <w:t xml:space="preserve">Oct. 9 Reply, </w:t>
      </w:r>
      <w:r w:rsidR="00D125C8" w:rsidRPr="00D125C8">
        <w:rPr>
          <w:rFonts w:ascii="Times New Roman" w:hAnsi="Times New Roman" w:cs="Times New Roman"/>
          <w:i/>
          <w:sz w:val="24"/>
          <w:szCs w:val="24"/>
        </w:rPr>
        <w:t>supra</w:t>
      </w:r>
      <w:r w:rsidR="00D125C8" w:rsidRPr="00D125C8">
        <w:rPr>
          <w:rFonts w:ascii="Times New Roman" w:hAnsi="Times New Roman" w:cs="Times New Roman"/>
          <w:sz w:val="24"/>
          <w:szCs w:val="24"/>
        </w:rPr>
        <w:t xml:space="preserve"> n. 1. </w:t>
      </w:r>
    </w:p>
  </w:footnote>
  <w:footnote w:id="6">
    <w:p w:rsidR="001C58B9" w:rsidRDefault="001C58B9">
      <w:pPr>
        <w:pStyle w:val="FootnoteText"/>
      </w:pPr>
      <w:r>
        <w:rPr>
          <w:rStyle w:val="FootnoteReference"/>
        </w:rPr>
        <w:footnoteRef/>
      </w:r>
      <w:r>
        <w:t xml:space="preserve"> </w:t>
      </w:r>
      <w:r w:rsidRPr="001C0692">
        <w:rPr>
          <w:rFonts w:ascii="Times New Roman" w:hAnsi="Times New Roman" w:cs="Times New Roman"/>
          <w:i/>
          <w:iCs/>
          <w:sz w:val="24"/>
          <w:szCs w:val="24"/>
        </w:rPr>
        <w:t>Advisory Opinion Concerning Legal Consequences of the Construction of a Wall in the Occupied Palestinian Territory</w:t>
      </w:r>
      <w:r w:rsidRPr="001C0692">
        <w:rPr>
          <w:rFonts w:ascii="Times New Roman" w:hAnsi="Times New Roman" w:cs="Times New Roman"/>
          <w:sz w:val="24"/>
          <w:szCs w:val="24"/>
        </w:rPr>
        <w:t>, </w:t>
      </w:r>
      <w:r>
        <w:rPr>
          <w:rFonts w:ascii="Times New Roman" w:hAnsi="Times New Roman" w:cs="Times New Roman"/>
          <w:sz w:val="24"/>
          <w:szCs w:val="24"/>
        </w:rPr>
        <w:t xml:space="preserve">p. 46, </w:t>
      </w:r>
      <w:r w:rsidRPr="001C0692">
        <w:rPr>
          <w:rFonts w:ascii="Times New Roman" w:hAnsi="Times New Roman" w:cs="Times New Roman"/>
          <w:sz w:val="24"/>
          <w:szCs w:val="24"/>
        </w:rPr>
        <w:t>International Court of Justice (ICJ), 9 July 2004</w:t>
      </w:r>
      <w:r>
        <w:rPr>
          <w:rFonts w:ascii="Times New Roman" w:hAnsi="Times New Roman" w:cs="Times New Roman"/>
          <w:sz w:val="24"/>
          <w:szCs w:val="24"/>
        </w:rPr>
        <w:t xml:space="preserve">. </w:t>
      </w:r>
      <w:r w:rsidRPr="001C58B9">
        <w:rPr>
          <w:rFonts w:ascii="Times New Roman" w:hAnsi="Times New Roman" w:cs="Times New Roman"/>
          <w:i/>
          <w:sz w:val="24"/>
          <w:szCs w:val="24"/>
        </w:rPr>
        <w:t>See also</w:t>
      </w:r>
      <w:r>
        <w:rPr>
          <w:rFonts w:ascii="Times New Roman" w:hAnsi="Times New Roman" w:cs="Times New Roman"/>
          <w:sz w:val="24"/>
          <w:szCs w:val="24"/>
        </w:rPr>
        <w:t xml:space="preserve">, </w:t>
      </w:r>
      <w:r w:rsidRPr="001C58B9">
        <w:rPr>
          <w:rFonts w:ascii="Times New Roman" w:hAnsi="Times New Roman" w:cs="Times New Roman"/>
          <w:i/>
          <w:sz w:val="24"/>
          <w:szCs w:val="24"/>
        </w:rPr>
        <w:t>Advisory Opinion on the</w:t>
      </w:r>
      <w:r>
        <w:rPr>
          <w:rFonts w:ascii="Times New Roman" w:hAnsi="Times New Roman" w:cs="Times New Roman"/>
          <w:sz w:val="24"/>
          <w:szCs w:val="24"/>
        </w:rPr>
        <w:t xml:space="preserve"> </w:t>
      </w:r>
      <w:r w:rsidRPr="00854297">
        <w:rPr>
          <w:rFonts w:ascii="Times New Roman" w:eastAsia="Times New Roman" w:hAnsi="Times New Roman" w:cs="Times New Roman"/>
          <w:i/>
          <w:iCs/>
          <w:sz w:val="24"/>
          <w:szCs w:val="24"/>
        </w:rPr>
        <w:t xml:space="preserve">Legality of the Threat or Use of Nuclear Weapons, </w:t>
      </w:r>
      <w:r>
        <w:rPr>
          <w:rFonts w:ascii="Times New Roman" w:eastAsia="Times New Roman" w:hAnsi="Times New Roman" w:cs="Times New Roman"/>
          <w:sz w:val="24"/>
          <w:szCs w:val="24"/>
        </w:rPr>
        <w:t>I.C.J. Reports 1996</w:t>
      </w:r>
      <w:r w:rsidRPr="00854297">
        <w:rPr>
          <w:rFonts w:ascii="Times New Roman" w:eastAsia="Times New Roman" w:hAnsi="Times New Roman" w:cs="Times New Roman"/>
          <w:sz w:val="24"/>
          <w:szCs w:val="24"/>
        </w:rPr>
        <w:t>, International Court of Justice (ICJ), 8 July 1996</w:t>
      </w:r>
      <w:r w:rsidR="0074297C">
        <w:rPr>
          <w:rFonts w:ascii="Times New Roman" w:eastAsia="Times New Roman" w:hAnsi="Times New Roman" w:cs="Times New Roman"/>
          <w:sz w:val="24"/>
          <w:szCs w:val="24"/>
        </w:rPr>
        <w:t xml:space="preserve">. </w:t>
      </w:r>
    </w:p>
  </w:footnote>
  <w:footnote w:id="7">
    <w:p w:rsidR="003B0ED9" w:rsidRDefault="003B0ED9">
      <w:pPr>
        <w:pStyle w:val="FootnoteText"/>
      </w:pPr>
      <w:r>
        <w:rPr>
          <w:rStyle w:val="FootnoteReference"/>
        </w:rPr>
        <w:footnoteRef/>
      </w:r>
      <w:r>
        <w:t xml:space="preserve"> </w:t>
      </w:r>
      <w:r>
        <w:rPr>
          <w:rFonts w:ascii="Times New Roman" w:hAnsi="Times New Roman" w:cs="Times New Roman"/>
          <w:i/>
          <w:sz w:val="24"/>
          <w:szCs w:val="24"/>
        </w:rPr>
        <w:t>Guantanamo War Court Huddles Over</w:t>
      </w:r>
      <w:r w:rsidRPr="003B0ED9">
        <w:rPr>
          <w:rFonts w:ascii="Times New Roman" w:hAnsi="Times New Roman" w:cs="Times New Roman"/>
          <w:i/>
          <w:sz w:val="24"/>
          <w:szCs w:val="24"/>
        </w:rPr>
        <w:t xml:space="preserve"> Secret Pentagon Program</w:t>
      </w:r>
      <w:r w:rsidRPr="003B0ED9">
        <w:rPr>
          <w:rFonts w:ascii="Times New Roman" w:hAnsi="Times New Roman" w:cs="Times New Roman"/>
          <w:sz w:val="24"/>
          <w:szCs w:val="24"/>
        </w:rPr>
        <w:t xml:space="preserve">, Miami Herald, October 22, 2015, </w:t>
      </w:r>
      <w:r w:rsidRPr="003B0ED9">
        <w:rPr>
          <w:rFonts w:ascii="Times New Roman" w:hAnsi="Times New Roman" w:cs="Times New Roman"/>
          <w:i/>
          <w:sz w:val="24"/>
          <w:szCs w:val="24"/>
        </w:rPr>
        <w:t>available at</w:t>
      </w:r>
      <w:r w:rsidRPr="003B0ED9">
        <w:rPr>
          <w:rFonts w:ascii="Times New Roman" w:hAnsi="Times New Roman" w:cs="Times New Roman"/>
          <w:sz w:val="24"/>
          <w:szCs w:val="24"/>
        </w:rPr>
        <w:t xml:space="preserve"> </w:t>
      </w:r>
      <w:hyperlink r:id="rId3" w:history="1">
        <w:r w:rsidRPr="003B0ED9">
          <w:rPr>
            <w:rStyle w:val="Hyperlink"/>
            <w:rFonts w:ascii="Times New Roman" w:hAnsi="Times New Roman" w:cs="Times New Roman"/>
            <w:sz w:val="24"/>
            <w:szCs w:val="24"/>
          </w:rPr>
          <w:t>http://www.miamiherald.com/news/nation-world/world/americas/guantanamo/article41064087.html</w:t>
        </w:r>
      </w:hyperlink>
      <w:r w:rsidRPr="003B0ED9">
        <w:rPr>
          <w:rFonts w:ascii="Times New Roman" w:hAnsi="Times New Roman" w:cs="Times New Roman"/>
          <w:sz w:val="24"/>
          <w:szCs w:val="24"/>
        </w:rPr>
        <w:t>.</w:t>
      </w:r>
      <w:r>
        <w:t xml:space="preserve"> </w:t>
      </w:r>
    </w:p>
  </w:footnote>
  <w:footnote w:id="8">
    <w:p w:rsidR="003B0ED9" w:rsidRPr="009F06F3" w:rsidRDefault="003B0ED9">
      <w:pPr>
        <w:pStyle w:val="FootnoteText"/>
        <w:rPr>
          <w:rFonts w:ascii="Times New Roman" w:hAnsi="Times New Roman" w:cs="Times New Roman"/>
          <w:sz w:val="24"/>
          <w:szCs w:val="24"/>
        </w:rPr>
      </w:pPr>
      <w:r w:rsidRPr="003B0ED9">
        <w:rPr>
          <w:rStyle w:val="FootnoteReference"/>
          <w:rFonts w:ascii="Times New Roman" w:hAnsi="Times New Roman" w:cs="Times New Roman"/>
          <w:sz w:val="24"/>
          <w:szCs w:val="24"/>
        </w:rPr>
        <w:footnoteRef/>
      </w:r>
      <w:r w:rsidRPr="003B0ED9">
        <w:rPr>
          <w:rFonts w:ascii="Times New Roman" w:hAnsi="Times New Roman" w:cs="Times New Roman"/>
          <w:sz w:val="24"/>
          <w:szCs w:val="24"/>
        </w:rPr>
        <w:t xml:space="preserve"> General Comment 32 at para. 33: “ ‘Adequate facilities’ must include access to documents and other evidence; </w:t>
      </w:r>
      <w:r w:rsidRPr="00651A8F">
        <w:rPr>
          <w:rFonts w:ascii="Times New Roman" w:hAnsi="Times New Roman" w:cs="Times New Roman"/>
          <w:sz w:val="24"/>
          <w:szCs w:val="24"/>
        </w:rPr>
        <w:t xml:space="preserve">this access must include all materials that the prosecution plans to offer in court against the accused </w:t>
      </w:r>
      <w:r w:rsidRPr="009F06F3">
        <w:rPr>
          <w:rFonts w:ascii="Times New Roman" w:hAnsi="Times New Roman" w:cs="Times New Roman"/>
          <w:sz w:val="24"/>
          <w:szCs w:val="24"/>
        </w:rPr>
        <w:t>or that are exculpatory . . . In cases of a claim that evidence was obtained in violation of article 7 of that Covenant, information about the circumstances in which such evidence was obtained must be made available to allow an assessment of such a claim.”</w:t>
      </w:r>
      <w:r w:rsidR="00582544" w:rsidRPr="009F06F3">
        <w:rPr>
          <w:rFonts w:ascii="Times New Roman" w:hAnsi="Times New Roman" w:cs="Times New Roman"/>
          <w:sz w:val="24"/>
          <w:szCs w:val="24"/>
        </w:rPr>
        <w:t xml:space="preserve"> </w:t>
      </w:r>
    </w:p>
  </w:footnote>
  <w:footnote w:id="9">
    <w:p w:rsidR="009F06F3" w:rsidRPr="009F06F3" w:rsidRDefault="009F06F3">
      <w:pPr>
        <w:pStyle w:val="FootnoteText"/>
        <w:rPr>
          <w:rFonts w:ascii="Times New Roman" w:hAnsi="Times New Roman" w:cs="Times New Roman"/>
          <w:sz w:val="24"/>
          <w:szCs w:val="24"/>
        </w:rPr>
      </w:pPr>
      <w:r w:rsidRPr="009F06F3">
        <w:rPr>
          <w:rStyle w:val="FootnoteReference"/>
          <w:rFonts w:ascii="Times New Roman" w:hAnsi="Times New Roman" w:cs="Times New Roman"/>
          <w:sz w:val="24"/>
          <w:szCs w:val="24"/>
        </w:rPr>
        <w:footnoteRef/>
      </w:r>
      <w:r w:rsidRPr="009F06F3">
        <w:rPr>
          <w:rFonts w:ascii="Times New Roman" w:hAnsi="Times New Roman" w:cs="Times New Roman"/>
          <w:sz w:val="24"/>
          <w:szCs w:val="24"/>
        </w:rPr>
        <w:t xml:space="preserve"> </w:t>
      </w:r>
      <w:r w:rsidRPr="009F06F3">
        <w:rPr>
          <w:rFonts w:ascii="Times New Roman" w:hAnsi="Times New Roman" w:cs="Times New Roman"/>
          <w:i/>
          <w:sz w:val="24"/>
          <w:szCs w:val="24"/>
        </w:rPr>
        <w:t>Guantanamo Detainees Request Delays Progress Towards 9/11 Trial</w:t>
      </w:r>
      <w:r>
        <w:rPr>
          <w:rFonts w:ascii="Times New Roman" w:hAnsi="Times New Roman" w:cs="Times New Roman"/>
          <w:sz w:val="24"/>
          <w:szCs w:val="24"/>
        </w:rPr>
        <w:t xml:space="preserve">, </w:t>
      </w:r>
      <w:r w:rsidRPr="009F06F3">
        <w:rPr>
          <w:rFonts w:ascii="Times New Roman" w:hAnsi="Times New Roman" w:cs="Times New Roman"/>
          <w:sz w:val="24"/>
          <w:szCs w:val="24"/>
        </w:rPr>
        <w:t xml:space="preserve">New York Times, Oct. 19, 2015, </w:t>
      </w:r>
      <w:r w:rsidRPr="009F06F3">
        <w:rPr>
          <w:rFonts w:ascii="Times New Roman" w:hAnsi="Times New Roman" w:cs="Times New Roman"/>
          <w:i/>
          <w:sz w:val="24"/>
          <w:szCs w:val="24"/>
        </w:rPr>
        <w:t>available at</w:t>
      </w:r>
      <w:r w:rsidRPr="009F06F3">
        <w:rPr>
          <w:rFonts w:ascii="Times New Roman" w:hAnsi="Times New Roman" w:cs="Times New Roman"/>
          <w:sz w:val="24"/>
          <w:szCs w:val="24"/>
        </w:rPr>
        <w:t xml:space="preserve"> </w:t>
      </w:r>
      <w:hyperlink r:id="rId4" w:history="1">
        <w:r w:rsidRPr="009F06F3">
          <w:rPr>
            <w:rStyle w:val="Hyperlink"/>
            <w:rFonts w:ascii="Times New Roman" w:hAnsi="Times New Roman" w:cs="Times New Roman"/>
            <w:sz w:val="24"/>
            <w:szCs w:val="24"/>
          </w:rPr>
          <w:t>http://www.nytimes.com/2015/10/20/us/politics/guantanamo-detainees-request-delays-progress-toward-9-11-trial.html?_r=0</w:t>
        </w:r>
      </w:hyperlink>
      <w:r w:rsidRPr="009F06F3">
        <w:rPr>
          <w:rFonts w:ascii="Times New Roman" w:hAnsi="Times New Roman" w:cs="Times New Roman"/>
          <w:sz w:val="24"/>
          <w:szCs w:val="24"/>
        </w:rPr>
        <w:t xml:space="preserve">. </w:t>
      </w:r>
    </w:p>
  </w:footnote>
  <w:footnote w:id="10">
    <w:p w:rsidR="000C3ABE" w:rsidRPr="00651A8F" w:rsidRDefault="000C3ABE">
      <w:pPr>
        <w:pStyle w:val="FootnoteText"/>
        <w:rPr>
          <w:rFonts w:ascii="Times New Roman" w:hAnsi="Times New Roman" w:cs="Times New Roman"/>
          <w:sz w:val="24"/>
          <w:szCs w:val="24"/>
        </w:rPr>
      </w:pPr>
      <w:r w:rsidRPr="009F06F3">
        <w:rPr>
          <w:rStyle w:val="FootnoteReference"/>
          <w:rFonts w:ascii="Times New Roman" w:hAnsi="Times New Roman" w:cs="Times New Roman"/>
          <w:sz w:val="24"/>
          <w:szCs w:val="24"/>
        </w:rPr>
        <w:footnoteRef/>
      </w:r>
      <w:r w:rsidRPr="009F06F3">
        <w:rPr>
          <w:rFonts w:ascii="Times New Roman" w:hAnsi="Times New Roman" w:cs="Times New Roman"/>
          <w:sz w:val="24"/>
          <w:szCs w:val="24"/>
        </w:rPr>
        <w:t xml:space="preserve"> The Committee states in General Comment 32: “Persons assisted by a lawyer have the right to instruct their lawyer on the conduct</w:t>
      </w:r>
      <w:r w:rsidRPr="00651A8F">
        <w:rPr>
          <w:rFonts w:ascii="Times New Roman" w:hAnsi="Times New Roman" w:cs="Times New Roman"/>
          <w:sz w:val="24"/>
          <w:szCs w:val="24"/>
        </w:rPr>
        <w:t xml:space="preserve"> of their case . . .”</w:t>
      </w:r>
      <w:r w:rsidR="006452CC" w:rsidRPr="00651A8F">
        <w:rPr>
          <w:rFonts w:ascii="Times New Roman" w:hAnsi="Times New Roman" w:cs="Times New Roman"/>
          <w:sz w:val="24"/>
          <w:szCs w:val="24"/>
        </w:rPr>
        <w:t xml:space="preserve"> This right of instruction is not contingent on the use of unclassified or classified evidence. </w:t>
      </w:r>
    </w:p>
  </w:footnote>
  <w:footnote w:id="11">
    <w:p w:rsidR="00D05ECC" w:rsidRPr="00D05ECC" w:rsidRDefault="00D05ECC">
      <w:pPr>
        <w:pStyle w:val="FootnoteText"/>
        <w:rPr>
          <w:rFonts w:ascii="Times New Roman" w:hAnsi="Times New Roman" w:cs="Times New Roman"/>
          <w:sz w:val="24"/>
          <w:szCs w:val="24"/>
        </w:rPr>
      </w:pPr>
      <w:r w:rsidRPr="00651A8F">
        <w:rPr>
          <w:rStyle w:val="FootnoteReference"/>
          <w:rFonts w:ascii="Times New Roman" w:hAnsi="Times New Roman" w:cs="Times New Roman"/>
          <w:sz w:val="24"/>
          <w:szCs w:val="24"/>
        </w:rPr>
        <w:footnoteRef/>
      </w:r>
      <w:r w:rsidRPr="00651A8F">
        <w:rPr>
          <w:rFonts w:ascii="Times New Roman" w:hAnsi="Times New Roman" w:cs="Times New Roman"/>
          <w:sz w:val="24"/>
          <w:szCs w:val="24"/>
        </w:rPr>
        <w:t xml:space="preserve"> </w:t>
      </w:r>
      <w:r w:rsidR="00651A8F" w:rsidRPr="00BA20CA">
        <w:rPr>
          <w:rFonts w:ascii="Times New Roman" w:hAnsi="Times New Roman" w:cs="Times New Roman"/>
          <w:i/>
          <w:sz w:val="24"/>
          <w:szCs w:val="24"/>
        </w:rPr>
        <w:t>See, e.g.</w:t>
      </w:r>
      <w:r w:rsidR="00651A8F" w:rsidRPr="00651A8F">
        <w:rPr>
          <w:rFonts w:ascii="Times New Roman" w:hAnsi="Times New Roman" w:cs="Times New Roman"/>
          <w:sz w:val="24"/>
          <w:szCs w:val="24"/>
        </w:rPr>
        <w:t xml:space="preserve">, </w:t>
      </w:r>
      <w:proofErr w:type="spellStart"/>
      <w:r w:rsidR="00651A8F" w:rsidRPr="00651A8F">
        <w:rPr>
          <w:rFonts w:ascii="Times New Roman" w:hAnsi="Times New Roman" w:cs="Times New Roman"/>
          <w:i/>
          <w:iCs/>
          <w:sz w:val="24"/>
          <w:szCs w:val="24"/>
        </w:rPr>
        <w:t>Faretta</w:t>
      </w:r>
      <w:proofErr w:type="spellEnd"/>
      <w:r w:rsidR="00651A8F" w:rsidRPr="00651A8F">
        <w:rPr>
          <w:rFonts w:ascii="Times New Roman" w:hAnsi="Times New Roman" w:cs="Times New Roman"/>
          <w:i/>
          <w:iCs/>
          <w:sz w:val="24"/>
          <w:szCs w:val="24"/>
        </w:rPr>
        <w:t xml:space="preserve"> v. California</w:t>
      </w:r>
      <w:r w:rsidR="00651A8F" w:rsidRPr="00651A8F">
        <w:rPr>
          <w:rFonts w:ascii="Times New Roman" w:hAnsi="Times New Roman" w:cs="Times New Roman"/>
          <w:sz w:val="24"/>
          <w:szCs w:val="24"/>
        </w:rPr>
        <w:t xml:space="preserve">, 422 U.S. 806, 835 (1975). </w:t>
      </w:r>
      <w:r w:rsidRPr="00651A8F">
        <w:rPr>
          <w:rFonts w:ascii="Times New Roman" w:hAnsi="Times New Roman" w:cs="Times New Roman"/>
          <w:sz w:val="24"/>
          <w:szCs w:val="24"/>
        </w:rPr>
        <w:t>The Committee has noted in General Comment 32 at para. 37 that the “right to defend oneself without a lawyer is . . . not absolute,” and contemplates the assignment of a lawyer</w:t>
      </w:r>
      <w:r w:rsidRPr="00D05ECC">
        <w:rPr>
          <w:rFonts w:ascii="Times New Roman" w:hAnsi="Times New Roman" w:cs="Times New Roman"/>
          <w:sz w:val="24"/>
          <w:szCs w:val="24"/>
        </w:rPr>
        <w:t xml:space="preserve"> against the wishes of the accused in the interested of justice. The Committee does not, however, contemplate the assignment of a lawyer solely to handle classified evidence that is not made available to the accuse</w:t>
      </w:r>
      <w:r>
        <w:rPr>
          <w:rFonts w:ascii="Times New Roman" w:hAnsi="Times New Roman" w:cs="Times New Roman"/>
          <w:sz w:val="24"/>
          <w:szCs w:val="24"/>
        </w:rPr>
        <w:t xml:space="preserve">d for use in their own defense. </w:t>
      </w:r>
      <w:r w:rsidR="00582544" w:rsidRPr="00BA20CA">
        <w:rPr>
          <w:rFonts w:ascii="Times New Roman" w:hAnsi="Times New Roman" w:cs="Times New Roman"/>
          <w:i/>
          <w:sz w:val="24"/>
          <w:szCs w:val="24"/>
        </w:rPr>
        <w:t>See also</w:t>
      </w:r>
      <w:r w:rsidR="00582544">
        <w:rPr>
          <w:rFonts w:ascii="Times New Roman" w:hAnsi="Times New Roman" w:cs="Times New Roman"/>
          <w:sz w:val="24"/>
          <w:szCs w:val="24"/>
        </w:rPr>
        <w:t xml:space="preserve">, </w:t>
      </w:r>
      <w:proofErr w:type="spellStart"/>
      <w:r w:rsidR="00582544" w:rsidRPr="00BA20CA">
        <w:rPr>
          <w:rFonts w:ascii="Times New Roman" w:hAnsi="Times New Roman" w:cs="Times New Roman"/>
          <w:i/>
          <w:sz w:val="24"/>
          <w:szCs w:val="24"/>
        </w:rPr>
        <w:t>Correia</w:t>
      </w:r>
      <w:proofErr w:type="spellEnd"/>
      <w:r w:rsidR="00582544" w:rsidRPr="00BA20CA">
        <w:rPr>
          <w:rFonts w:ascii="Times New Roman" w:hAnsi="Times New Roman" w:cs="Times New Roman"/>
          <w:i/>
          <w:sz w:val="24"/>
          <w:szCs w:val="24"/>
        </w:rPr>
        <w:t xml:space="preserve"> de Matos v. Portugal</w:t>
      </w:r>
      <w:r w:rsidR="00582544">
        <w:rPr>
          <w:rFonts w:ascii="Times New Roman" w:hAnsi="Times New Roman" w:cs="Times New Roman"/>
          <w:sz w:val="24"/>
          <w:szCs w:val="24"/>
        </w:rPr>
        <w:t xml:space="preserve"> (2</w:t>
      </w:r>
      <w:r w:rsidR="00BA20CA">
        <w:rPr>
          <w:rFonts w:ascii="Times New Roman" w:hAnsi="Times New Roman" w:cs="Times New Roman"/>
          <w:sz w:val="24"/>
          <w:szCs w:val="24"/>
        </w:rPr>
        <w:t>8 March 2006), UNHRC, 1123/2002.</w:t>
      </w:r>
      <w:r w:rsidR="00582544">
        <w:rPr>
          <w:rFonts w:ascii="Times New Roman" w:hAnsi="Times New Roman" w:cs="Times New Roman"/>
          <w:sz w:val="24"/>
          <w:szCs w:val="24"/>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F578C"/>
    <w:multiLevelType w:val="hybridMultilevel"/>
    <w:tmpl w:val="77D49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C5472C"/>
    <w:multiLevelType w:val="hybridMultilevel"/>
    <w:tmpl w:val="0D1666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CC5182"/>
    <w:multiLevelType w:val="hybridMultilevel"/>
    <w:tmpl w:val="3BC2FB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6452673"/>
    <w:multiLevelType w:val="hybridMultilevel"/>
    <w:tmpl w:val="50B6B1C0"/>
    <w:lvl w:ilvl="0" w:tplc="DACC74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3C812D0"/>
    <w:multiLevelType w:val="hybridMultilevel"/>
    <w:tmpl w:val="CEE4B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726"/>
    <w:rsid w:val="000843B4"/>
    <w:rsid w:val="000C3ABE"/>
    <w:rsid w:val="001052D1"/>
    <w:rsid w:val="00117199"/>
    <w:rsid w:val="001374DF"/>
    <w:rsid w:val="001C0692"/>
    <w:rsid w:val="001C58B9"/>
    <w:rsid w:val="001F1BE0"/>
    <w:rsid w:val="00243DEE"/>
    <w:rsid w:val="002717E5"/>
    <w:rsid w:val="002B2095"/>
    <w:rsid w:val="002F2726"/>
    <w:rsid w:val="003207CA"/>
    <w:rsid w:val="003649BE"/>
    <w:rsid w:val="00394487"/>
    <w:rsid w:val="003A5631"/>
    <w:rsid w:val="003B0ED9"/>
    <w:rsid w:val="0040293C"/>
    <w:rsid w:val="004A3C38"/>
    <w:rsid w:val="004F0E3B"/>
    <w:rsid w:val="004F4B68"/>
    <w:rsid w:val="005235C0"/>
    <w:rsid w:val="00530206"/>
    <w:rsid w:val="00544E43"/>
    <w:rsid w:val="00582544"/>
    <w:rsid w:val="005D612C"/>
    <w:rsid w:val="00610EFB"/>
    <w:rsid w:val="006452CC"/>
    <w:rsid w:val="00651A8F"/>
    <w:rsid w:val="006857C1"/>
    <w:rsid w:val="006C6CD8"/>
    <w:rsid w:val="00721EBE"/>
    <w:rsid w:val="0074297C"/>
    <w:rsid w:val="00743A19"/>
    <w:rsid w:val="007A1921"/>
    <w:rsid w:val="007B20E3"/>
    <w:rsid w:val="007E2FDE"/>
    <w:rsid w:val="00801EBB"/>
    <w:rsid w:val="008329EF"/>
    <w:rsid w:val="00854297"/>
    <w:rsid w:val="00894B61"/>
    <w:rsid w:val="008F4847"/>
    <w:rsid w:val="00946D1C"/>
    <w:rsid w:val="00974E0A"/>
    <w:rsid w:val="009D2099"/>
    <w:rsid w:val="009D74D1"/>
    <w:rsid w:val="009F06F3"/>
    <w:rsid w:val="009F5480"/>
    <w:rsid w:val="00A318DB"/>
    <w:rsid w:val="00BA0D2B"/>
    <w:rsid w:val="00BA20CA"/>
    <w:rsid w:val="00D0505D"/>
    <w:rsid w:val="00D05ECC"/>
    <w:rsid w:val="00D125C8"/>
    <w:rsid w:val="00D36D1F"/>
    <w:rsid w:val="00D47BAF"/>
    <w:rsid w:val="00DB101B"/>
    <w:rsid w:val="00DD5EAE"/>
    <w:rsid w:val="00ED7B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1">
    <w:name w:val="st1"/>
    <w:basedOn w:val="DefaultParagraphFont"/>
    <w:rsid w:val="00D47BAF"/>
  </w:style>
  <w:style w:type="paragraph" w:styleId="ListParagraph">
    <w:name w:val="List Paragraph"/>
    <w:basedOn w:val="Normal"/>
    <w:uiPriority w:val="34"/>
    <w:qFormat/>
    <w:rsid w:val="000843B4"/>
    <w:pPr>
      <w:ind w:left="720"/>
      <w:contextualSpacing/>
    </w:pPr>
  </w:style>
  <w:style w:type="paragraph" w:styleId="FootnoteText">
    <w:name w:val="footnote text"/>
    <w:basedOn w:val="Normal"/>
    <w:link w:val="FootnoteTextChar"/>
    <w:uiPriority w:val="99"/>
    <w:unhideWhenUsed/>
    <w:rsid w:val="004F0E3B"/>
    <w:pPr>
      <w:spacing w:after="0" w:line="240" w:lineRule="auto"/>
    </w:pPr>
    <w:rPr>
      <w:sz w:val="20"/>
      <w:szCs w:val="20"/>
    </w:rPr>
  </w:style>
  <w:style w:type="character" w:customStyle="1" w:styleId="FootnoteTextChar">
    <w:name w:val="Footnote Text Char"/>
    <w:basedOn w:val="DefaultParagraphFont"/>
    <w:link w:val="FootnoteText"/>
    <w:uiPriority w:val="99"/>
    <w:rsid w:val="004F0E3B"/>
    <w:rPr>
      <w:sz w:val="20"/>
      <w:szCs w:val="20"/>
    </w:rPr>
  </w:style>
  <w:style w:type="character" w:styleId="FootnoteReference">
    <w:name w:val="footnote reference"/>
    <w:basedOn w:val="DefaultParagraphFont"/>
    <w:uiPriority w:val="99"/>
    <w:semiHidden/>
    <w:unhideWhenUsed/>
    <w:rsid w:val="004F0E3B"/>
    <w:rPr>
      <w:vertAlign w:val="superscript"/>
    </w:rPr>
  </w:style>
  <w:style w:type="paragraph" w:styleId="EndnoteText">
    <w:name w:val="endnote text"/>
    <w:basedOn w:val="Normal"/>
    <w:link w:val="EndnoteTextChar"/>
    <w:uiPriority w:val="99"/>
    <w:semiHidden/>
    <w:unhideWhenUsed/>
    <w:rsid w:val="001F1BE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1BE0"/>
    <w:rPr>
      <w:sz w:val="20"/>
      <w:szCs w:val="20"/>
    </w:rPr>
  </w:style>
  <w:style w:type="character" w:styleId="EndnoteReference">
    <w:name w:val="endnote reference"/>
    <w:basedOn w:val="DefaultParagraphFont"/>
    <w:uiPriority w:val="99"/>
    <w:semiHidden/>
    <w:unhideWhenUsed/>
    <w:rsid w:val="001F1BE0"/>
    <w:rPr>
      <w:vertAlign w:val="superscript"/>
    </w:rPr>
  </w:style>
  <w:style w:type="character" w:styleId="Hyperlink">
    <w:name w:val="Hyperlink"/>
    <w:basedOn w:val="DefaultParagraphFont"/>
    <w:uiPriority w:val="99"/>
    <w:unhideWhenUsed/>
    <w:rsid w:val="001F1BE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1">
    <w:name w:val="st1"/>
    <w:basedOn w:val="DefaultParagraphFont"/>
    <w:rsid w:val="00D47BAF"/>
  </w:style>
  <w:style w:type="paragraph" w:styleId="ListParagraph">
    <w:name w:val="List Paragraph"/>
    <w:basedOn w:val="Normal"/>
    <w:uiPriority w:val="34"/>
    <w:qFormat/>
    <w:rsid w:val="000843B4"/>
    <w:pPr>
      <w:ind w:left="720"/>
      <w:contextualSpacing/>
    </w:pPr>
  </w:style>
  <w:style w:type="paragraph" w:styleId="FootnoteText">
    <w:name w:val="footnote text"/>
    <w:basedOn w:val="Normal"/>
    <w:link w:val="FootnoteTextChar"/>
    <w:uiPriority w:val="99"/>
    <w:unhideWhenUsed/>
    <w:rsid w:val="004F0E3B"/>
    <w:pPr>
      <w:spacing w:after="0" w:line="240" w:lineRule="auto"/>
    </w:pPr>
    <w:rPr>
      <w:sz w:val="20"/>
      <w:szCs w:val="20"/>
    </w:rPr>
  </w:style>
  <w:style w:type="character" w:customStyle="1" w:styleId="FootnoteTextChar">
    <w:name w:val="Footnote Text Char"/>
    <w:basedOn w:val="DefaultParagraphFont"/>
    <w:link w:val="FootnoteText"/>
    <w:uiPriority w:val="99"/>
    <w:rsid w:val="004F0E3B"/>
    <w:rPr>
      <w:sz w:val="20"/>
      <w:szCs w:val="20"/>
    </w:rPr>
  </w:style>
  <w:style w:type="character" w:styleId="FootnoteReference">
    <w:name w:val="footnote reference"/>
    <w:basedOn w:val="DefaultParagraphFont"/>
    <w:uiPriority w:val="99"/>
    <w:semiHidden/>
    <w:unhideWhenUsed/>
    <w:rsid w:val="004F0E3B"/>
    <w:rPr>
      <w:vertAlign w:val="superscript"/>
    </w:rPr>
  </w:style>
  <w:style w:type="paragraph" w:styleId="EndnoteText">
    <w:name w:val="endnote text"/>
    <w:basedOn w:val="Normal"/>
    <w:link w:val="EndnoteTextChar"/>
    <w:uiPriority w:val="99"/>
    <w:semiHidden/>
    <w:unhideWhenUsed/>
    <w:rsid w:val="001F1BE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1BE0"/>
    <w:rPr>
      <w:sz w:val="20"/>
      <w:szCs w:val="20"/>
    </w:rPr>
  </w:style>
  <w:style w:type="character" w:styleId="EndnoteReference">
    <w:name w:val="endnote reference"/>
    <w:basedOn w:val="DefaultParagraphFont"/>
    <w:uiPriority w:val="99"/>
    <w:semiHidden/>
    <w:unhideWhenUsed/>
    <w:rsid w:val="001F1BE0"/>
    <w:rPr>
      <w:vertAlign w:val="superscript"/>
    </w:rPr>
  </w:style>
  <w:style w:type="character" w:styleId="Hyperlink">
    <w:name w:val="Hyperlink"/>
    <w:basedOn w:val="DefaultParagraphFont"/>
    <w:uiPriority w:val="99"/>
    <w:unhideWhenUsed/>
    <w:rsid w:val="001F1B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0166591">
      <w:bodyDiv w:val="1"/>
      <w:marLeft w:val="0"/>
      <w:marRight w:val="0"/>
      <w:marTop w:val="0"/>
      <w:marBottom w:val="0"/>
      <w:divBdr>
        <w:top w:val="none" w:sz="0" w:space="0" w:color="auto"/>
        <w:left w:val="none" w:sz="0" w:space="0" w:color="auto"/>
        <w:bottom w:val="none" w:sz="0" w:space="0" w:color="auto"/>
        <w:right w:val="none" w:sz="0" w:space="0" w:color="auto"/>
      </w:divBdr>
      <w:divsChild>
        <w:div w:id="1014039956">
          <w:marLeft w:val="0"/>
          <w:marRight w:val="0"/>
          <w:marTop w:val="0"/>
          <w:marBottom w:val="0"/>
          <w:divBdr>
            <w:top w:val="none" w:sz="0" w:space="0" w:color="auto"/>
            <w:left w:val="none" w:sz="0" w:space="0" w:color="auto"/>
            <w:bottom w:val="none" w:sz="0" w:space="0" w:color="auto"/>
            <w:right w:val="none" w:sz="0" w:space="0" w:color="auto"/>
          </w:divBdr>
          <w:divsChild>
            <w:div w:id="659231300">
              <w:marLeft w:val="0"/>
              <w:marRight w:val="0"/>
              <w:marTop w:val="0"/>
              <w:marBottom w:val="0"/>
              <w:divBdr>
                <w:top w:val="none" w:sz="0" w:space="0" w:color="auto"/>
                <w:left w:val="none" w:sz="0" w:space="0" w:color="auto"/>
                <w:bottom w:val="none" w:sz="0" w:space="0" w:color="auto"/>
                <w:right w:val="none" w:sz="0" w:space="0" w:color="auto"/>
              </w:divBdr>
              <w:divsChild>
                <w:div w:id="20083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miamiherald.com/news/nation-world/world/americas/guantanamo/article41064087.html" TargetMode="External"/><Relationship Id="rId2" Type="http://schemas.openxmlformats.org/officeDocument/2006/relationships/hyperlink" Target="http://www.theguardian.com/us-news/2015/mar/15/pentagon-un-torture-investigator-interview-guantanamo-detainees" TargetMode="External"/><Relationship Id="rId1" Type="http://schemas.openxmlformats.org/officeDocument/2006/relationships/hyperlink" Target="http://tbinternet.ohchr.org/Treaties/CCPR/Shared%20Documents/USA/INT_CCPR_FCO_USA_21976_E.pdf" TargetMode="External"/><Relationship Id="rId4" Type="http://schemas.openxmlformats.org/officeDocument/2006/relationships/hyperlink" Target="http://www.nytimes.com/2015/10/20/us/politics/guantanamo-detainees-request-delays-progress-toward-9-11-trial.html?_r=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81A8F3-5332-4D03-89CE-1F3A9F9A41A4}"/>
</file>

<file path=customXml/itemProps2.xml><?xml version="1.0" encoding="utf-8"?>
<ds:datastoreItem xmlns:ds="http://schemas.openxmlformats.org/officeDocument/2006/customXml" ds:itemID="{6F1D9A1B-E4FB-44DC-AF4A-A0CA11A7D03D}"/>
</file>

<file path=customXml/itemProps3.xml><?xml version="1.0" encoding="utf-8"?>
<ds:datastoreItem xmlns:ds="http://schemas.openxmlformats.org/officeDocument/2006/customXml" ds:itemID="{A900C3FE-23AF-4A19-A2DE-066163D99FD7}"/>
</file>

<file path=customXml/itemProps4.xml><?xml version="1.0" encoding="utf-8"?>
<ds:datastoreItem xmlns:ds="http://schemas.openxmlformats.org/officeDocument/2006/customXml" ds:itemID="{939E7344-64A0-464B-862A-1F51117B95EA}"/>
</file>

<file path=docProps/app.xml><?xml version="1.0" encoding="utf-8"?>
<Properties xmlns="http://schemas.openxmlformats.org/officeDocument/2006/extended-properties" xmlns:vt="http://schemas.openxmlformats.org/officeDocument/2006/docPropsVTypes">
  <Template>Normal</Template>
  <TotalTime>1</TotalTime>
  <Pages>5</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5553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Alka Pradhan</dc:creator>
  <cp:lastModifiedBy>Alka Pradhan</cp:lastModifiedBy>
  <cp:revision>2</cp:revision>
  <dcterms:created xsi:type="dcterms:W3CDTF">2015-12-09T19:42:00Z</dcterms:created>
  <dcterms:modified xsi:type="dcterms:W3CDTF">2015-12-09T19:42:00Z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