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0.707</w:t>
            </w:r>
          </w:p>
        </w:tc>
        <w:tc>
          <w:tcPr>
            <w:tcW w:type="dxa" w:w="1728"/>
          </w:tcPr>
          <w:p>
            <w:r>
              <w:t>0.716</w:t>
            </w:r>
          </w:p>
        </w:tc>
        <w:tc>
          <w:tcPr>
            <w:tcW w:type="dxa" w:w="1728"/>
          </w:tcPr>
          <w:p>
            <w:r>
              <w:t>0.824</w:t>
            </w:r>
          </w:p>
        </w:tc>
        <w:tc>
          <w:tcPr>
            <w:tcW w:type="dxa" w:w="1728"/>
          </w:tcPr>
          <w:p>
            <w:r>
              <w:t>0.725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0.668</w:t>
            </w:r>
          </w:p>
        </w:tc>
        <w:tc>
          <w:tcPr>
            <w:tcW w:type="dxa" w:w="1728"/>
          </w:tcPr>
          <w:p>
            <w:r>
              <w:t>0.658</w:t>
            </w:r>
          </w:p>
        </w:tc>
        <w:tc>
          <w:tcPr>
            <w:tcW w:type="dxa" w:w="1728"/>
          </w:tcPr>
          <w:p>
            <w:r>
              <w:t>0.782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