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</w:rPr>
        <w:t>Time Decay 时陨项目作品集</w:t>
      </w:r>
    </w:p>
    <w:p>
      <w:pPr>
        <w:pStyle w:val="Subtitle"/>
      </w:pPr>
      <w:r>
        <w:rPr>
          <w:rFonts w:ascii="Microsoft YaHei" w:hAnsi="Microsoft YaHei" w:eastAsia="Microsoft YaHei"/>
          <w:color w:val="000000"/>
        </w:rPr>
        <w:t>设计思路  系统架构  数值实验</w:t>
      </w:r>
    </w:p>
    <w:p>
      <w:r>
        <w:rPr>
          <w:rFonts w:ascii="Microsoft YaHei" w:hAnsi="Microsoft YaHei" w:eastAsia="Microsoft YaHei"/>
          <w:color w:val="000000"/>
          <w:sz w:val="24"/>
        </w:rPr>
        <w:t>我把时间同时设为寿命、货币和债务，制作了一款文字叙事与资源经营游戏。玩家从欠债与求生开始，在工作、消费、赌博、交易和轮回之间安排自己的时间。</w:t>
      </w:r>
    </w:p>
    <w:p>
      <w:r>
        <w:rPr>
          <w:rFonts w:ascii="Microsoft YaHei" w:hAnsi="Microsoft YaHei" w:eastAsia="Microsoft YaHei"/>
          <w:color w:val="000000"/>
        </w:rPr>
        <w:t>这是我的第一部游戏作品。我负责创意、需求、数值决策和试玩反馈，代码由 AI 生成；美术使用 AI 制作的内容及有来源记录的外部素材。我的工作重点是确定规则、指出运行结果与预期的差异，并决定修改方向。</w:t>
      </w:r>
    </w:p>
    <w:p>
      <w:pPr>
        <w:pStyle w:val="Caption"/>
      </w:pPr>
      <w:r>
        <w:rPr>
          <w:rFonts w:ascii="Microsoft YaHei" w:hAnsi="Microsoft YaHei" w:eastAsia="Microsoft YaHei"/>
          <w:color w:val="000000"/>
        </w:rPr>
        <w:t>个人项目　Windows 可玩版本　Godot 4.7.2 / GDScript</w:t>
        <w:br/>
        <w:t>发布归档 v0.95.5　当前开发 v0.95.6　罗兰　2026 年 9 月 29 日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 descr="图 1　开发版签约后主界面。左侧显示钟表和个人时间，右侧保留生存状态、债务、文字记录与行动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ud_signed_640x3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Microsoft YaHei" w:hAnsi="Microsoft YaHei" w:eastAsia="Microsoft YaHei"/>
          <w:color w:val="000000"/>
        </w:rPr>
        <w:t>图 1　开发版签约后主界面。左侧显示钟表和个人时间，右侧保留生存状态、债务、文字记录与行动入口。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当前完成范围</w:t>
      </w:r>
    </w:p>
    <w:p>
      <w:r>
        <w:rPr>
          <w:rFonts w:ascii="Microsoft YaHei" w:hAnsi="Microsoft YaHei" w:eastAsia="Microsoft YaHei"/>
          <w:color w:val="000000"/>
        </w:rPr>
        <w:t>已实现序章、首轮教程、债务契约、正式轮回、跨轮回存档，以及工作、市场、赌场、城市金融和事件系统。v0.95.6 的账簿主界面与插画剧情页已接入实际游戏，核心与集成测试通过；本版 UI 实现完成，待用户手动验收。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01 时间如何成为玩家的处境</w:t>
      </w:r>
    </w:p>
    <w:p>
      <w:r>
        <w:rPr>
          <w:rFonts w:ascii="Microsoft YaHei" w:hAnsi="Microsoft YaHei" w:eastAsia="Microsoft YaHei"/>
          <w:color w:val="000000"/>
        </w:rPr>
        <w:t>人生转型时，我开始反复计算工作、睡眠和维持生活需要多少时间。收入可以换一种货币记账，人每天能支配的时间却始终有限。我想让这种限制成为玩家每次点击前都要考虑的成本。</w:t>
      </w:r>
    </w:p>
    <w:p>
      <w:r>
        <w:rPr>
          <w:rFonts w:ascii="Microsoft YaHei" w:hAnsi="Microsoft YaHei" w:eastAsia="Microsoft YaHei"/>
          <w:color w:val="000000"/>
        </w:rPr>
        <w:t>个人时间是可支配余额，归零会触发死亡；世界时间记录城市的日期和时刻，决定工作时段、新闻、事件与债务计息。两条时间轴让“活得更久”与“城市过去了多久”可以分别结算。调频进一步改变个人消耗和钟芯磨损，使节省眼前时间也可能带来维修负担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05444"/>
            <wp:docPr id="2" name="Picture 2" descr="图 2　主流程。首轮通过固定教学进入自由行动；签约后进入正式轮回，终止条件由死亡流程统一判断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Microsoft YaHei" w:hAnsi="Microsoft YaHei" w:eastAsia="Microsoft YaHei"/>
          <w:color w:val="000000"/>
        </w:rPr>
        <w:t>图 2　主流程。首轮通过固定教学进入自由行动；签约后进入正式轮回，终止条件由死亡流程统一判断。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劳动和资产带来不同的时间支配权</w:t>
      </w:r>
    </w:p>
    <w:p>
      <w:r>
        <w:rPr>
          <w:rFonts w:ascii="Microsoft YaHei" w:hAnsi="Microsoft YaHei" w:eastAsia="Microsoft YaHei"/>
          <w:color w:val="000000"/>
        </w:rPr>
        <w:t>工作收入需要完成班次，并承受精神、维生和睡眠条件的约束；资产收益则随持有时间结算。债务把未来收入的一部分提前分配给债权人。我希望玩家在这些规则中感受劳动、资本和自由时间之间的关系。</w:t>
      </w:r>
    </w:p>
    <w:p>
      <w:r>
        <w:rPr>
          <w:rFonts w:ascii="Microsoft YaHei" w:hAnsi="Microsoft YaHei" w:eastAsia="Microsoft YaHei"/>
          <w:color w:val="000000"/>
        </w:rPr>
        <w:t>新闻存在失真，玩家无法直接看到未来价格；偷窃等行为又会影响隐藏道德值。我用这些规则表达自己对机会与处境的疑问。</w:t>
      </w:r>
    </w:p>
    <w:p>
      <w:r>
        <w:rPr>
          <w:rFonts w:ascii="Microsoft YaHei" w:hAnsi="Microsoft YaHei" w:eastAsia="Microsoft YaHei"/>
          <w:color w:val="000000"/>
        </w:rPr>
        <w:t>首轮只按工作、买饭、赌场的顺序开放入口，赌场固定下注 240 分钟并失败。它服务于小K的故事动机；正式轮回的赌局使用独立规则，不沿用教程结果。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02 让数字可比较 让剧情可阅读</w:t>
      </w:r>
    </w:p>
    <w:p>
      <w:r>
        <w:rPr>
          <w:rFonts w:ascii="Microsoft YaHei" w:hAnsi="Microsoft YaHei" w:eastAsia="Microsoft YaHei"/>
          <w:color w:val="000000"/>
        </w:rPr>
        <w:t>主界面保留钟表、个人时间、维生、精神和债务，工作与交易进入各自面板。教程写在常驻文字栏里，只高亮当前需要使用的入口。玩家读提示时不必再寻找一个额外的教程弹窗。</w:t>
      </w:r>
    </w:p>
    <w:p>
      <w:r>
        <w:rPr>
          <w:rFonts w:ascii="Microsoft YaHei" w:hAnsi="Microsoft YaHei" w:eastAsia="Microsoft YaHei"/>
          <w:color w:val="000000"/>
        </w:rPr>
        <w:t>剧情页使用插画与文本栏。世界背景、人物故事、债务邀约和契约分别展示；羊皮纸集中说明责任、债务与能力，签名放在正文之后。新闻与经历进入笔记，主界面只保留当前上下文。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 descr="图 3　开发版契约页。正文在羊皮纸范围内滚动，签名区域位于独立的操作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tract_docu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Microsoft YaHei" w:hAnsi="Microsoft YaHei" w:eastAsia="Microsoft YaHei"/>
          <w:color w:val="000000"/>
        </w:rPr>
        <w:t>图 3　开发版契约页。正文在羊皮纸范围内滚动，签名区域位于独立的操作区。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布局直接进入 Godot 场景</w:t>
      </w:r>
    </w:p>
    <w:p>
      <w:r>
        <w:rPr>
          <w:rFonts w:ascii="Microsoft YaHei" w:hAnsi="Microsoft YaHei" w:eastAsia="Microsoft YaHei"/>
          <w:color w:val="000000"/>
        </w:rPr>
        <w:t>scenes/ui/ 包含 34 个场景，覆盖主菜单、HUD、剧情、主要服务面板和重复行组件。固定控件用锚点与容器排布；商品、事件选项和笔记条目通过行场景填充。长正文独立滚动，关闭与主要操作按钮留在固定区域。</w:t>
      </w:r>
    </w:p>
    <w:p>
      <w:r>
        <w:rPr>
          <w:rFonts w:ascii="Microsoft YaHei" w:hAnsi="Microsoft YaHei" w:eastAsia="Microsoft YaHei"/>
          <w:color w:val="000000"/>
        </w:rPr>
        <w:t>表盘、指针和裂痕分层绘制，边缘遮罩跟随钟表层级，避免盖住弹窗。逻辑画布以 640×360 为基准，已检查另外两种视口尺寸；高 DPI 和不同设备仍需实际验收。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03 架构和数据的归属</w:t>
      </w:r>
    </w:p>
    <w:p>
      <w:r>
        <w:rPr>
          <w:rFonts w:ascii="Microsoft YaHei" w:hAnsi="Microsoft YaHei" w:eastAsia="Microsoft YaHei"/>
          <w:color w:val="000000"/>
        </w:rPr>
        <w:t>GameRoot 负责连接游戏流程，Presenter 将系统数据填入场景并绑定回调。工作、市场、金融和事件仍由各自系统结算。页面关闭或重新打开时，业务状态留在系统中。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 descr="图 4　当前主要依赖。箭头表示调用或数据流；系统信号将状态变化反馈给界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Microsoft YaHei" w:hAnsi="Microsoft YaHei" w:eastAsia="Microsoft YaHei"/>
          <w:color w:val="000000"/>
        </w:rPr>
        <w:t>图 4　当前主要依赖。箭头表示调用或数据流；系统信号将状态变化反馈给界面。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704"/>
      </w:tblGrid>
      <w:tr>
        <w:trPr>
          <w:cantSplit/>
          <w:tblHeader/>
        </w:trPr>
        <w:tc>
          <w:tcPr>
            <w:tcW w:type="dxa" w:w="2232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7704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在项目中的用途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Godot 4.7.2 / GDScript</w:t>
            </w:r>
          </w:p>
        </w:tc>
        <w:tc>
          <w:tcPr>
            <w:tcW w:type="dxa" w:w="77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场景、交互、信号、规则结算和无界面测试。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Control / Container / Theme</w:t>
            </w:r>
          </w:p>
        </w:tc>
        <w:tc>
          <w:tcPr>
            <w:tcW w:type="dxa" w:w="7704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锚点布局、滚动区域、重复行组件和共享界面样式。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JSON / TXT / 快照</w:t>
            </w:r>
          </w:p>
        </w:tc>
        <w:tc>
          <w:tcPr>
            <w:tcW w:type="dxa" w:w="77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JSON 保存条件与效果，TXT 保存剧情文案，快照保存运行状态。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CanvasItem Shader</w:t>
            </w:r>
          </w:p>
        </w:tc>
        <w:tc>
          <w:tcPr>
            <w:tcW w:type="dxa" w:w="7704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钟表素材透明处理、边缘修正和指针显示。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Python / MATLAB 脚本</w:t>
            </w:r>
          </w:p>
        </w:tc>
        <w:tc>
          <w:tcPr>
            <w:tcW w:type="dxa" w:w="77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Python 汇总 Godot 输出；MATLAB 脚本读取同一批 CSV，尚未在本机运行。</w:t>
            </w:r>
          </w:p>
        </w:tc>
      </w:tr>
    </w:tbl>
    <w:p>
      <w:pPr>
        <w:spacing w:after="0" w:before="0" w:line="80" w:lineRule="exact"/>
      </w:pPr>
    </w:p>
    <w:p>
      <w:r>
        <w:rPr>
          <w:rFonts w:ascii="Microsoft YaHei" w:hAnsi="Microsoft YaHei" w:eastAsia="Microsoft YaHei"/>
          <w:color w:val="000000"/>
        </w:rPr>
        <w:t>全局状态由六个 Autoload 管理。轮回档为 schema 6，元进度为 schema 5；存档协调器校验两者是否属于同一检查点。</w:t>
      </w:r>
    </w:p>
    <w:p>
      <w:r>
        <w:rPr>
          <w:rFonts w:ascii="Microsoft YaHei" w:hAnsi="Microsoft YaHei" w:eastAsia="Microsoft YaHei"/>
          <w:color w:val="000000"/>
        </w:rPr>
        <w:t>固定布局已迁出 GameRoot；流程编排和 Presenter 对 game 的直接依赖仍需拆分。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04 把时间成本和债务规则说清楚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预览和执行使用同一份成本口径</w:t>
      </w:r>
    </w:p>
    <w:p>
      <w:r>
        <w:rPr>
          <w:rFonts w:ascii="Microsoft YaHei" w:hAnsi="Microsoft YaHei" w:eastAsia="Microsoft YaHei"/>
          <w:color w:val="000000"/>
        </w:rPr>
        <w:t>事件按钮先取得当前选项与事件频率的报价，执行时再校验。事件调频与日常调频分别计算成本和磨损，避免按钮显示付得起、点击后却按另一套倍率扣费。工作等长行动由 TimedActionCoordinator 分段推进，死亡和贷款到期可以中断行动。</w:t>
      </w:r>
    </w:p>
    <w:p>
      <w:r>
        <w:rPr>
          <w:rFonts w:ascii="Microsoft YaHei" w:hAnsi="Microsoft YaHei" w:eastAsia="Microsoft YaHei"/>
          <w:color w:val="000000"/>
        </w:rPr>
        <w:t>帧耗时先换算为世界分钟，钟芯损耗按累计使用分钟结算。时间耗尽、维生耗尽与钟芯耗尽进入统一死亡流程，再区分本轮结束和终止轮回。可预判的致命行动在执行前给出警告。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3960"/>
        <w:gridCol w:w="4248"/>
      </w:tblGrid>
      <w:tr>
        <w:trPr>
          <w:cantSplit/>
          <w:tblHeader/>
        </w:trPr>
        <w:tc>
          <w:tcPr>
            <w:tcW w:type="dxa" w:w="1728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金融项目</w:t>
            </w:r>
          </w:p>
        </w:tc>
        <w:tc>
          <w:tcPr>
            <w:tcW w:type="dxa" w:w="3960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当前规则</w:t>
            </w:r>
          </w:p>
        </w:tc>
        <w:tc>
          <w:tcPr>
            <w:tcW w:type="dxa" w:w="4248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限制或代价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合同债务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初始 1 资产年，20% 有效年息。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跨轮回保留，随世界时间计息。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银行贷款</w:t>
            </w:r>
          </w:p>
        </w:tc>
        <w:tc>
          <w:tcPr>
            <w:tcW w:type="dxa" w:w="3960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本金 30 日个人时间；期限 360 世界日；年息 12%。</w:t>
            </w:r>
          </w:p>
        </w:tc>
        <w:tc>
          <w:tcPr>
            <w:tcW w:type="dxa" w:w="424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同时最多 1 笔，每资产年最多 2 笔。到期不足转劳役。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黑市贷款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按多件抵押物总价值计算额度；期限 30 世界日；年息 28%。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同时最多 1 笔，每资产年最多 3 笔。到期不足没收抵押品并清贷。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工厂份额</w:t>
            </w:r>
          </w:p>
        </w:tc>
        <w:tc>
          <w:tcPr>
            <w:tcW w:type="dxa" w:w="3960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购入成本 8 资产年，年收益 10%。</w:t>
            </w:r>
          </w:p>
        </w:tc>
        <w:tc>
          <w:tcPr>
            <w:tcW w:type="dxa" w:w="424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按持有年结算，清算回收率 65%。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房地产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购入成本 40 资产年，满状况年租金率 6%。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每 30 日收租；老化影响后续租金，支持维护与清算。</w:t>
            </w:r>
          </w:p>
        </w:tc>
      </w:tr>
    </w:tbl>
    <w:p>
      <w:pPr>
        <w:spacing w:after="0" w:before="0" w:line="80" w:lineRule="exact"/>
      </w:pPr>
    </w:p>
    <w:p>
      <w:pPr>
        <w:pStyle w:val="Caption"/>
      </w:pPr>
      <w:r>
        <w:rPr>
          <w:rFonts w:ascii="Microsoft YaHei" w:hAnsi="Microsoft YaHei" w:eastAsia="Microsoft YaHei"/>
          <w:color w:val="000000"/>
        </w:rPr>
        <w:t>一个资产年为 360 世界日，即 8,640 小时。银行的“30 日”是本金单位，不是还款期限。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真实价格与玩家得到的信息分开生成</w:t>
      </w:r>
    </w:p>
    <w:p>
      <w:r>
        <w:rPr>
          <w:rFonts w:ascii="Microsoft YaHei" w:hAnsi="Microsoft YaHei" w:eastAsia="Microsoft YaHei"/>
          <w:color w:val="000000"/>
        </w:rPr>
        <w:t>市场按种子、日期和商品生成真实价格，新闻再产生正确、部分正确、错误、误导、延迟或模糊的信息。局部随机序列避免其他系统消耗随机数后改变既定市场结果。玩家读到的报道不能直接改写价格。</w:t>
      </w:r>
    </w:p>
    <w:p>
      <w:r>
        <w:rPr>
          <w:rFonts w:ascii="Microsoft YaHei" w:hAnsi="Microsoft YaHei" w:eastAsia="Microsoft YaHei"/>
          <w:color w:val="000000"/>
        </w:rPr>
        <w:t>剧情展示文本以 assets/text/game_text.txt 为唯一编辑入口，稳定键连接事件数据。修改台词时保留键、数值和占位符，避免旧 JSON 或脚本中的文字覆盖用户修改。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05 市场实验发现了可利用的反转规律</w:t>
      </w:r>
    </w:p>
    <w:p>
      <w:r>
        <w:rPr>
          <w:rFonts w:ascii="Microsoft YaHei" w:hAnsi="Microsoft YaHei" w:eastAsia="Microsoft YaHei"/>
          <w:color w:val="000000"/>
        </w:rPr>
        <w:t>第一批实验使用 410001 至 411000 共 1,000 个固定种子。Godot 执行当前规则并输出 CSV，Python 做汇总和对账。市场部分只交易食物，观察第 1 至第 31 日；初始余额 1,440 分钟，每次买入最多使用一半余额，最后一天清仓。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80360"/>
            <wp:docPr id="5" name="Picture 5" descr="图 5　食物交易组合。线为中位数，色带为 P10 至 P90 的样本分布；未计自然流逝、补给、债务和事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pr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Microsoft YaHei" w:hAnsi="Microsoft YaHei" w:eastAsia="Microsoft YaHei"/>
          <w:color w:val="000000"/>
        </w:rPr>
        <w:t>图 5　食物交易组合。线为中位数，色带为 P10 至 P90 的样本分布；未计自然流逝、补给、债务和事件。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464"/>
        <w:gridCol w:w="2160"/>
        <w:gridCol w:w="3312"/>
      </w:tblGrid>
      <w:tr>
        <w:trPr>
          <w:cantSplit/>
          <w:tblHeader/>
        </w:trPr>
        <w:tc>
          <w:tcPr>
            <w:tcW w:type="dxa" w:w="4464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160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平均收益</w:t>
              <w:br/>
              <w:t>个人分钟</w:t>
            </w:r>
          </w:p>
        </w:tc>
        <w:tc>
          <w:tcPr>
            <w:tcW w:type="dxa" w:w="3312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均值 95% 区间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持有余额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0.0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0.0 至 0.0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首日买入并持有</w:t>
            </w:r>
          </w:p>
        </w:tc>
        <w:tc>
          <w:tcPr>
            <w:tcW w:type="dxa" w:w="2160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157.7</w:t>
            </w:r>
          </w:p>
        </w:tc>
        <w:tc>
          <w:tcPr>
            <w:tcW w:type="dxa" w:w="3312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135.7 至 179.7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连跌两日后买入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365.9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355.4 至 376.5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连涨两日后买入</w:t>
            </w:r>
          </w:p>
        </w:tc>
        <w:tc>
          <w:tcPr>
            <w:tcW w:type="dxa" w:w="2160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−344.4</w:t>
            </w:r>
          </w:p>
        </w:tc>
        <w:tc>
          <w:tcPr>
            <w:tcW w:type="dxa" w:w="3312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−350.7 至 −338.1</w:t>
            </w:r>
          </w:p>
        </w:tc>
      </w:tr>
    </w:tbl>
    <w:p>
      <w:pPr>
        <w:spacing w:after="0" w:before="0" w:line="80" w:lineRule="exact"/>
      </w:pPr>
    </w:p>
    <w:p>
      <w:r>
        <w:rPr>
          <w:rFonts w:ascii="Microsoft YaHei" w:hAnsi="Microsoft YaHei" w:eastAsia="Microsoft YaHei"/>
          <w:color w:val="000000"/>
        </w:rPr>
        <w:t>市场生成的每日变动方向最多连续两日相同，第三日强制反转；实际价格还受上下限和取整影响。“连跌两日后买入”只读取已出现的价格，次日清仓，在这组实验中取得最高平均收益。用于避免长期单边行情的限制，也形成了可利用的规律。</w:t>
      </w:r>
    </w:p>
    <w:p>
      <w:r>
        <w:rPr>
          <w:rFonts w:ascii="Microsoft YaHei" w:hAnsi="Microsoft YaHei" w:eastAsia="Microsoft YaHei"/>
          <w:color w:val="000000"/>
        </w:rPr>
        <w:t>这项结果支持继续检验反转强度、买卖价差和等待成本。本轮保留原参数；完整日程纳入之前，365.9 分钟的交易收益不能直接换算成存活率或通关率。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06 赌场费用和调频磨损的取舍</w:t>
      </w:r>
    </w:p>
    <w:p>
      <w:r>
        <w:rPr>
          <w:rFonts w:ascii="Microsoft YaHei" w:hAnsi="Microsoft YaHei" w:eastAsia="Microsoft YaHei"/>
          <w:color w:val="000000"/>
        </w:rPr>
        <w:t>赌场比较三种要牌策略与 60、300、720 分钟三档赌注，每组 1,000 个种子。单局期望统一取新牌堆的第一局，教程固定失败局不计入。另从 1,440 分钟起连续游玩，最多 100 局，用来观察资金何时不足以继续下注。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23160"/>
            <wp:docPr id="6" name="Picture 6" descr="图 6　单局平均盈亏与均值 95% t 区间。每局固定入场费 60 分钟；三种策略均不读取未来牌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ino_pr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Microsoft YaHei" w:hAnsi="Microsoft YaHei" w:eastAsia="Microsoft YaHei"/>
          <w:color w:val="000000"/>
        </w:rPr>
        <w:t>图 6　单局平均盈亏与均值 95% t 区间。每局固定入场费 60 分钟；三种策略均不读取未来牌序。</w:t>
      </w:r>
    </w:p>
    <w:p>
      <w:r>
        <w:rPr>
          <w:rFonts w:ascii="Microsoft YaHei" w:hAnsi="Microsoft YaHei" w:eastAsia="Microsoft YaHei"/>
          <w:color w:val="000000"/>
        </w:rPr>
        <w:t>九组样本扣费后的平均收益均为负，范围为每局 −74.8 至 −54.6 个人分钟。入场费相当于最低赌注的 100%、最高赌注的约 8.33%，需要连同下注风险一起检查。资金不足以续注的样本另行记录，没有直接归类为角色死亡。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低频档位需要分别比较行动和等待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4176"/>
        <w:gridCol w:w="4176"/>
      </w:tblGrid>
      <w:tr>
        <w:trPr>
          <w:cantSplit/>
          <w:tblHeader/>
        </w:trPr>
        <w:tc>
          <w:tcPr>
            <w:tcW w:type="dxa" w:w="1584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4176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8 小时标准班磨损</w:t>
            </w:r>
          </w:p>
        </w:tc>
        <w:tc>
          <w:tcPr>
            <w:tcW w:type="dxa" w:w="4176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 世界小时自然消耗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低频 0.1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钟芯 −20 个百分点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个人时间 −6 分钟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低频 0.5</w:t>
            </w:r>
          </w:p>
        </w:tc>
        <w:tc>
          <w:tcPr>
            <w:tcW w:type="dxa" w:w="4176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钟芯 −4 个百分点</w:t>
            </w:r>
          </w:p>
        </w:tc>
        <w:tc>
          <w:tcPr>
            <w:tcW w:type="dxa" w:w="4176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个人时间 −30 分钟</w:t>
            </w:r>
          </w:p>
        </w:tc>
      </w:tr>
    </w:tbl>
    <w:p>
      <w:pPr>
        <w:spacing w:after="0" w:before="0" w:line="80" w:lineRule="exact"/>
      </w:pPr>
    </w:p>
    <w:p>
      <w:r>
        <w:rPr>
          <w:rFonts w:ascii="Microsoft YaHei" w:hAnsi="Microsoft YaHei" w:eastAsia="Microsoft YaHei"/>
          <w:color w:val="000000"/>
        </w:rPr>
        <w:t>两个低频档位的标准班收入与状态消耗相同。0.1 档在等待时更省个人时间，长行动中的钟芯磨损却更高，因此不能只凭工资选择频率。工作实验覆盖 6 种工作、6 个档位和两种睡眠状态，共 72 个预览。</w:t>
      </w:r>
    </w:p>
    <w:p>
      <w:r>
        <w:rPr>
          <w:rFonts w:ascii="Microsoft YaHei" w:hAnsi="Microsoft YaHei" w:eastAsia="Microsoft YaHei"/>
          <w:color w:val="000000"/>
        </w:rPr>
        <w:t>当前结果尚未覆盖完整生存日程、贷款、晋升和结局到达率。赌场策略采用固定启发式，未证明最优；窥牌产生的后续剧情代价也未纳入。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07 验证证据和仍需解决的问题</w:t>
      </w:r>
    </w:p>
    <w:p>
      <w:r>
        <w:rPr>
          <w:rFonts w:ascii="Microsoft YaHei" w:hAnsi="Microsoft YaHei" w:eastAsia="Microsoft YaHei"/>
          <w:color w:val="000000"/>
        </w:rPr>
        <w:t>回归检查围绕容易跨系统出错的路径组织，包括事件支付、时间推进、死亡、贷款中断和恢复档。UI 测试同时实例化实际主场景，检查首轮、跨夜工作和签约后的入口位置。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3816"/>
        <w:gridCol w:w="4248"/>
      </w:tblGrid>
      <w:tr>
        <w:trPr>
          <w:cantSplit/>
          <w:tblHeader/>
        </w:trPr>
        <w:tc>
          <w:tcPr>
            <w:tcW w:type="dxa" w:w="1872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3816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已有结果</w:t>
            </w:r>
          </w:p>
        </w:tc>
        <w:tc>
          <w:tcPr>
            <w:tcW w:type="dxa" w:w="4248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适用范围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逻辑与集成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核心、主场景及专项回归通过。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时间、事件报价、死亡、金融、贷款执行、恢复档等。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布局预检查</w:t>
            </w:r>
          </w:p>
        </w:tc>
        <w:tc>
          <w:tcPr>
            <w:tcW w:type="dxa" w:w="3816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面板 252 项，剧情 88 项，实际主场景 453 项通过。</w:t>
            </w:r>
          </w:p>
        </w:tc>
        <w:tc>
          <w:tcPr>
            <w:tcW w:type="dxa" w:w="424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逻辑视口 640×360、800×360、640×480。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数值对账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市场余额与库存、赌场费用与资金流水对账通过。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4,000 组市场轨迹结果、9,000 次赌场单局及 9,000 组连续游玩。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复现检查</w:t>
            </w:r>
          </w:p>
        </w:tc>
        <w:tc>
          <w:tcPr>
            <w:tcW w:type="dxa" w:w="3816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 种子小样本独立复跑后 CSV 字节一致。</w:t>
            </w:r>
          </w:p>
        </w:tc>
        <w:tc>
          <w:tcPr>
            <w:tcW w:type="dxa" w:w="424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完整 1,000 种子批次保留代码快照与哈希，未整批重复运行。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用户验收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本版 UI 尚待明确确认。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窗口缩放、裁切、文字间距、滚动及主要操作。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存档与测试环境分离</w:t>
      </w:r>
    </w:p>
    <w:p>
      <w:r>
        <w:rPr>
          <w:rFonts w:ascii="Microsoft YaHei" w:hAnsi="Microsoft YaHei" w:eastAsia="Microsoft YaHei"/>
          <w:color w:val="000000"/>
        </w:rPr>
        <w:t>存档写入使用临时文件和备份，读取时校验字段与检查点。测试入口在元进度加载前切换独立命名空间，避免布局检查读写真实玩家进度。UI 迁移没有新增存档字段。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后续验证应覆盖整局行为</w:t>
      </w:r>
    </w:p>
    <w:p>
      <w:r>
        <w:rPr>
          <w:rFonts w:ascii="Microsoft YaHei" w:hAnsi="Microsoft YaHei" w:eastAsia="Microsoft YaHei"/>
          <w:color w:val="000000"/>
        </w:rPr>
        <w:t>市场强制反转、银行借贷后转劳役的代价、长期资产的可达性，都需要放进同一套生存日程比较。完整实验应记录补给、医疗、阅读等待、死亡原因和轮回次数，再判断哪些策略挤压了其他选择。</w:t>
      </w:r>
    </w:p>
    <w:p>
      <w:r>
        <w:rPr>
          <w:rFonts w:ascii="Microsoft YaHei" w:hAnsi="Microsoft YaHei" w:eastAsia="Microsoft YaHei"/>
          <w:color w:val="000000"/>
        </w:rPr>
        <w:t>界面还有少量警告和计算器输入由脚本组装。Windows 高 DPI、移动端、Web 导出和手柄操作不在本次自动验证范围内；也尚无结构化外部玩家样本可用于报告教程理解度或留存。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08 可复用的制作流程</w:t>
      </w:r>
    </w:p>
    <w:p>
      <w:r>
        <w:rPr>
          <w:rFonts w:ascii="Microsoft YaHei" w:hAnsi="Microsoft YaHei" w:eastAsia="Microsoft YaHei"/>
          <w:color w:val="000000"/>
        </w:rPr>
        <w:t>后续任务以玩家能完成的行为为单位拆分。例如修改工作系统时，同时写清入口条件、耗时、收益、跨日结果和存档恢复要求。这样可以沿一条完整路径验收，减少各个按钮单独正常、串起来却出错的情况。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8208"/>
            <w:vAlign w:val="center"/>
            <w:shd w:fill="29475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需要留下的结果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定义需求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一条可复现的操作路径，明确起始状态、预期数值和失败条件。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确定归属</w:t>
            </w:r>
          </w:p>
        </w:tc>
        <w:tc>
          <w:tcPr>
            <w:tcW w:type="dxa" w:w="820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列出状态由哪个系统保存，谁报价、谁结算、谁刷新界面。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交给 AI 实现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限定文件与非目标，要求保留用户修改、文本稳定键和旧档兼容。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运行检查</w:t>
            </w:r>
          </w:p>
        </w:tc>
        <w:tc>
          <w:tcPr>
            <w:tcW w:type="dxa" w:w="820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先验证固定种子与边界，再运行集成、跨日和保存恢复路径。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试玩确认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打开具体版本，亲自检查页面、文字、滚动、缩放和按钮，并记录确认范围。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同步交付</w:t>
            </w:r>
          </w:p>
        </w:tc>
        <w:tc>
          <w:tcPr>
            <w:tcW w:type="dxa" w:w="8208"/>
            <w:vAlign w:val="center"/>
            <w:shd w:fill="F2F5F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更新文本源、数值索引、运行说明与作品集；未完成项保留明确状态。</w:t>
            </w:r>
          </w:p>
        </w:tc>
      </w:tr>
    </w:tbl>
    <w:p>
      <w:pPr>
        <w:spacing w:after="0" w:before="0" w:line="80" w:lineRule="exact"/>
      </w:pPr>
    </w:p>
    <w:p>
      <w:r>
        <w:rPr>
          <w:rFonts w:ascii="Microsoft YaHei" w:hAnsi="Microsoft YaHei" w:eastAsia="Microsoft YaHei"/>
          <w:color w:val="000000"/>
        </w:rPr>
        <w:t>同一步骤用三种不同方法仍不能解决时，停止重复尝试，记录阻塞条件和恢复所需的前提。发布前保留当前构建和可恢复备份，不用下一版的截图或测试结果替代已发布版本的证据。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简历项目描述</w:t>
      </w:r>
    </w:p>
    <w:p>
      <w:r>
        <w:rPr>
          <w:rFonts w:ascii="Microsoft YaHei" w:hAnsi="Microsoft YaHei" w:eastAsia="Microsoft YaHei"/>
          <w:color w:val="000000"/>
        </w:rPr>
        <w:t>主导 Godot 文字叙事经营游戏 Time Decay 的创意、需求与数值设计，使用 AI 完成代码及素材制作与整理；设计双时间轴、债务轮回和不确定新闻系统，通过试玩反馈推动场景化 UI、存档兼容与跨系统回归，并建立每组 1,000 固定种子的市场和赌场规则实验。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项目材料入口</w:t>
      </w:r>
    </w:p>
    <w:p>
      <w:r>
        <w:rPr>
          <w:rFonts w:ascii="Microsoft YaHei" w:hAnsi="Microsoft YaHei" w:eastAsia="Microsoft YaHei"/>
          <w:color w:val="000000"/>
        </w:rPr>
        <w:t>运行：project.godot；独立测试存档预览：tests/qa_rebuild_ac.tscn。</w:t>
        <w:br/>
        <w:t>界面与接线：scenes/ui/、ui/views/、ui/game_root.gd。</w:t>
        <w:br/>
        <w:t>规则与持久化：systems/、autoload/；文本源：assets/text/game_text.txt。</w:t>
        <w:br/>
        <w:t>实验：tools/balance/README.md 与 results/v0956_baseline_1000/。</w:t>
        <w:br/>
        <w:t>检查记录：docs/replan/AC_IMPLEMENTATION.md；测试入口：tests/。</w:t>
      </w:r>
    </w:p>
    <w:p>
      <w:r>
        <w:rPr>
          <w:rFonts w:ascii="Microsoft YaHei" w:hAnsi="Microsoft YaHei" w:eastAsia="Microsoft YaHei"/>
          <w:color w:val="000000"/>
        </w:rPr>
        <w:t>v0.95.5 发布页：https://github.com/RolandWinston/time-decay/releases/tag/v0.95.5</w:t>
        <w:br/>
        <w:t>本册截图与实验对应 v0.95.6 开发工作区，记录日期为 2026 年 9 月 29 日。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000000"/>
        <w:sz w:val="18"/>
      </w:rPr>
      <w:t xml:space="preserve">Time Decay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60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4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Decay 时陨项目作品集</dc:title>
  <dc:subject>游戏策划与AI协作制作作品集</dc:subject>
  <dc:creator>罗兰</dc:creator>
  <cp:keywords>Time Decay, Godot, 游戏策划, 数值实验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