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3.png" ContentType="image/png"/>
  <Override PartName="/word/media/rId9.png" ContentType="image/png"/>
  <Override PartName="/word/media/rId2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Estimator choice for camera-trap trend models: a simulation study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725dacd8a71099c8cd295db756f4f9608344373"/>
    <w:p>
      <w:pPr>
        <w:pStyle w:val="Heading1"/>
      </w:pPr>
      <w:r>
        <w:t xml:space="preserve">Estimator choice for camera-trap trend models: a simulation study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When camera-trap data are integrated with opportunistic</w:t>
      </w:r>
      <w:r>
        <w:t xml:space="preserve"> </w:t>
      </w:r>
      <w:r>
        <w:t xml:space="preserve">iNaturalist records to estimate a population trend, does it matter whether the</w:t>
      </w:r>
      <w:r>
        <w:t xml:space="preserve"> </w:t>
      </w:r>
      <w:r>
        <w:t xml:space="preserve">camera side is modelled at the level of the individual camera or the level of</w:t>
      </w:r>
      <w:r>
        <w:t xml:space="preserve"> </w:t>
      </w:r>
      <w:r>
        <w:t xml:space="preserve">the camera array, and whether occupancy or Royle-Nichols is used? The array-level</w:t>
      </w:r>
      <w:r>
        <w:t xml:space="preserve"> </w:t>
      </w:r>
      <w:r>
        <w:t xml:space="preserve">question matters practically because array-level data are far cheaper to</w:t>
      </w:r>
      <w:r>
        <w:t xml:space="preserve"> </w:t>
      </w:r>
      <w:r>
        <w:t xml:space="preserve">assemble across projects.</w:t>
      </w:r>
    </w:p>
    <w:bookmarkStart w:id="12" w:name="design"/>
    <w:p>
      <w:pPr>
        <w:pStyle w:val="Heading2"/>
      </w:pPr>
      <w:r>
        <w:t xml:space="preserve">1. Design</w:t>
      </w:r>
    </w:p>
    <w:p>
      <w:pPr>
        <w:pStyle w:val="CaptionedFigure"/>
      </w:pPr>
      <w:r>
        <w:drawing>
          <wp:inline>
            <wp:extent cx="5334000" cy="2771946"/>
            <wp:effectExtent b="0" l="0" r="0" t="0"/>
            <wp:docPr descr="Simulation design" title="" id="10" name="Picture"/>
            <a:graphic>
              <a:graphicData uri="http://schemas.openxmlformats.org/drawingml/2006/picture">
                <pic:pic>
                  <pic:nvPicPr>
                    <pic:cNvPr descr="fig_sim_desig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Simulation design</w:t>
      </w:r>
    </w:p>
    <w:p>
      <w:pPr>
        <w:pStyle w:val="BodyText"/>
      </w:pPr>
      <w:r>
        <w:t xml:space="preserve">Four estimator arms — camera-level occupancy, camera-level Royle-Nichols,</w:t>
      </w:r>
      <w:r>
        <w:t xml:space="preserve"> </w:t>
      </w:r>
      <w:r>
        <w:t xml:space="preserve">array-level occupancy, array-level Royle-Nichols — were each fitted to the same</w:t>
      </w:r>
      <w:r>
        <w:t xml:space="preserve"> </w:t>
      </w:r>
      <w:r>
        <w:t xml:space="preserve">simulated datasets, at three abundance levels, under two spatial scenarios, with</w:t>
      </w:r>
      <w:r>
        <w:t xml:space="preserve"> </w:t>
      </w:r>
      <w:r>
        <w:t xml:space="preserve">60 replicates per cell.</w:t>
      </w:r>
    </w:p>
    <w:p>
      <w:pPr>
        <w:pStyle w:val="BodyText"/>
      </w:pPr>
      <w:r>
        <w:rPr>
          <w:b/>
          <w:bCs/>
        </w:rPr>
        <w:t xml:space="preserve">The arms differ only in the camera-side observation model.</w:t>
      </w:r>
      <w:r>
        <w:t xml:space="preserve"> </w:t>
      </w:r>
      <w:r>
        <w:t xml:space="preserve">The iNaturalist</w:t>
      </w:r>
      <w:r>
        <w:t xml:space="preserve"> </w:t>
      </w:r>
      <w:r>
        <w:t xml:space="preserve">likelihood is identical in all four: a negative-binomial count model with the</w:t>
      </w:r>
      <w:r>
        <w:t xml:space="preserve"> </w:t>
      </w:r>
      <w:r>
        <w:t xml:space="preserve">effort offset,</w:t>
      </w:r>
      <w:r>
        <w:t xml:space="preserve"> </w:t>
      </w:r>
      <w:r>
        <w:rPr>
          <w:rStyle w:val="VerbatimChar"/>
        </w:rPr>
        <w:t xml:space="preserve">y_inat ~ dnbinom(size = 1/overdisp_inat, prob = f(effort, mu))</w:t>
      </w:r>
      <w:r>
        <w:t xml:space="preserve">.</w:t>
      </w:r>
      <w:r>
        <w:t xml:space="preserve"> </w:t>
      </w:r>
      <w:r>
        <w:t xml:space="preserve">Royle-Nichols is never applied to the iNaturalist records; they are a count per</w:t>
      </w:r>
      <w:r>
        <w:t xml:space="preserve"> </w:t>
      </w:r>
      <w:r>
        <w:t xml:space="preserve">unit effort throughout, which is the only sensible treatment of them. What</w:t>
      </w:r>
      <w:r>
        <w:t xml:space="preserve"> </w:t>
      </w:r>
      <w:r>
        <w:t xml:space="preserve">changes across arms is whether the camera stream enters as detection/non-</w:t>
      </w:r>
      <w:r>
        <w:t xml:space="preserve"> </w:t>
      </w:r>
      <w:r>
        <w:t xml:space="preserve">detection (</w:t>
      </w:r>
      <w:r>
        <w:rPr>
          <w:rStyle w:val="VerbatimChar"/>
        </w:rPr>
        <w:t xml:space="preserve">dOcc_v</w:t>
      </w:r>
      <w:r>
        <w:t xml:space="preserve">) or as a latent-abundance count (</w:t>
      </w:r>
      <w:r>
        <w:rPr>
          <w:rStyle w:val="VerbatimChar"/>
        </w:rPr>
        <w:t xml:space="preserve">N ~ dpois</w:t>
      </w:r>
      <w:r>
        <w:t xml:space="preserve">), and whether</w:t>
      </w:r>
      <w:r>
        <w:t xml:space="preserve"> </w:t>
      </w:r>
      <w:r>
        <w:t xml:space="preserve">the unit is the individual camera or the array.</w:t>
      </w:r>
    </w:p>
    <w:p>
      <w:pPr>
        <w:pStyle w:val="BodyText"/>
      </w:pPr>
      <w:r>
        <w:t xml:space="preserve">Replicates are generated from</w:t>
      </w:r>
      <w:r>
        <w:t xml:space="preserve"> </w:t>
      </w:r>
      <w:r>
        <w:rPr>
          <w:rStyle w:val="VerbatimChar"/>
        </w:rPr>
        <w:t xml:space="preserve">model_code_national_scalar</w:t>
      </w:r>
      <w:r>
        <w:t xml:space="preserve"> </w:t>
      </w:r>
      <w:r>
        <w:t xml:space="preserve">with parameters taken</w:t>
      </w:r>
      <w:r>
        <w:t xml:space="preserve"> </w:t>
      </w:r>
      <w:r>
        <w:t xml:space="preserve">from a real converged bobcat fit, so the truth is known exactly. The trend enters</w:t>
      </w:r>
      <w:r>
        <w:t xml:space="preserve"> </w:t>
      </w:r>
      <w:r>
        <w:t xml:space="preserve">as two components: a camera-anchored slope (</w:t>
      </w:r>
      <w:r>
        <w:rPr>
          <w:rStyle w:val="VerbatimChar"/>
        </w:rPr>
        <w:t xml:space="preserve">year_beta</w:t>
      </w:r>
      <w:r>
        <w:t xml:space="preserve">, truth</w:t>
      </w:r>
      <w:r>
        <w:t xml:space="preserve"> </w:t>
      </w:r>
      <w:r>
        <w:rPr>
          <w:b/>
          <w:bCs/>
        </w:rPr>
        <w:t xml:space="preserve">+0.0645</w:t>
      </w:r>
      <w:r>
        <w:t xml:space="preserve">) that</w:t>
      </w:r>
      <w:r>
        <w:t xml:space="preserve"> </w:t>
      </w:r>
      <w:r>
        <w:t xml:space="preserve">the camera occupancy submodel contains, and an iNaturalist-only increment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year_var</w:t>
      </w:r>
      <w:r>
        <w:t xml:space="preserve">, truth</w:t>
      </w:r>
      <w:r>
        <w:t xml:space="preserve"> </w:t>
      </w:r>
      <w:r>
        <w:rPr>
          <w:b/>
          <w:bCs/>
        </w:rPr>
        <w:t xml:space="preserve">−0.2440</w:t>
      </w:r>
      <w:r>
        <w:t xml:space="preserve">) that appears in no camera likelihood term. Their</w:t>
      </w:r>
      <w:r>
        <w:t xml:space="preserve"> </w:t>
      </w:r>
      <w:r>
        <w:t xml:space="preserve">sum,</w:t>
      </w:r>
      <w:r>
        <w:t xml:space="preserve"> </w:t>
      </w:r>
      <w:r>
        <w:rPr>
          <w:b/>
          <w:bCs/>
        </w:rPr>
        <w:t xml:space="preserve">−0.1795</w:t>
      </w:r>
      <w:r>
        <w:t xml:space="preserve">, is the slope the iNaturalist count stream observes. The two</w:t>
      </w:r>
      <w:r>
        <w:t xml:space="preserve"> </w:t>
      </w:r>
      <w:r>
        <w:t xml:space="preserve">components have opposite signs in the truth.</w:t>
      </w:r>
    </w:p>
    <w:bookmarkEnd w:id="12"/>
    <w:bookmarkStart w:id="16" w:name="recovery-of-the-camera-anchored-trend"/>
    <w:p>
      <w:pPr>
        <w:pStyle w:val="Heading2"/>
      </w:pPr>
      <w:r>
        <w:t xml:space="preserve">2. Recovery of the camera-anchored trend</w:t>
      </w:r>
    </w:p>
    <w:p>
      <w:pPr>
        <w:pStyle w:val="CaptionedFigure"/>
      </w:pPr>
      <w:r>
        <w:drawing>
          <wp:inline>
            <wp:extent cx="5334000" cy="2474388"/>
            <wp:effectExtent b="0" l="0" r="0" t="0"/>
            <wp:docPr descr="Camera-anchored trend recovery" title="" id="14" name="Picture"/>
            <a:graphic>
              <a:graphicData uri="http://schemas.openxmlformats.org/drawingml/2006/picture">
                <pic:pic>
                  <pic:nvPicPr>
                    <pic:cNvPr descr="fig_sim_camera_tren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Camera-anchored trend recovery</w:t>
      </w:r>
    </w:p>
    <w:p>
      <w:pPr>
        <w:pStyle w:val="BodyText"/>
      </w:pPr>
      <w:r>
        <w:rPr>
          <w:b/>
          <w:bCs/>
        </w:rPr>
        <w:t xml:space="preserve">Every arm shrinks the camera-anchored trend toward zero.</w:t>
      </w:r>
      <w:r>
        <w:t xml:space="preserve"> </w:t>
      </w:r>
      <w:r>
        <w:t xml:space="preserve">Truth is +0.0645;</w:t>
      </w:r>
      <w:r>
        <w:t xml:space="preserve"> </w:t>
      </w:r>
      <w:r>
        <w:t xml:space="preserve">posterior means range from −0.30 to +0.04 and the bias is negative in all twelve</w:t>
      </w:r>
      <w:r>
        <w:t xml:space="preserve"> </w:t>
      </w:r>
      <w:r>
        <w:t xml:space="preserve">arm-by-abundance cells. The split between the two components is therefore poorly</w:t>
      </w:r>
      <w:r>
        <w:t xml:space="preserve"> </w:t>
      </w:r>
      <w:r>
        <w:t xml:space="preserve">identified even in a correctly-specified simulation, with each arm compensating</w:t>
      </w:r>
      <w:r>
        <w:t xml:space="preserve"> </w:t>
      </w:r>
      <w:r>
        <w:t xml:space="preserve">in the iNaturalist term.</w:t>
      </w:r>
    </w:p>
    <w:p>
      <w:pPr>
        <w:pStyle w:val="BodyText"/>
      </w:pPr>
      <w:r>
        <w:rPr>
          <w:b/>
          <w:bCs/>
        </w:rPr>
        <w:t xml:space="preserve">Array-level occupancy is much worse than the other three.</w:t>
      </w:r>
      <w:r>
        <w:t xml:space="preserve"> </w:t>
      </w:r>
      <w:r>
        <w:t xml:space="preserve">Its bias reaches</w:t>
      </w:r>
      <w:r>
        <w:t xml:space="preserve"> </w:t>
      </w:r>
      <w:r>
        <w:t xml:space="preserve">−0.363 at intermediate and −0.286 at deer-like abundance, against −0.027 to</w:t>
      </w:r>
      <w:r>
        <w:t xml:space="preserve"> </w:t>
      </w:r>
      <w:r>
        <w:t xml:space="preserve">−0.107 for every other arm. Array-level Royle-Nichols is the most accurate at</w:t>
      </w:r>
      <w:r>
        <w:t xml:space="preserve"> </w:t>
      </w:r>
      <w:r>
        <w:t xml:space="preserve">every abundance level (−0.050, −0.035, −0.027) and improves as abundance rises.</w:t>
      </w:r>
      <w:r>
        <w:t xml:space="preserve"> </w:t>
      </w:r>
      <w:r>
        <w:t xml:space="preserve">The two camera-level arms are close to each other throughout and show no clear</w:t>
      </w:r>
      <w:r>
        <w:t xml:space="preserve"> </w:t>
      </w:r>
      <w:r>
        <w:t xml:space="preserve">abundance trend.</w:t>
      </w:r>
    </w:p>
    <w:p>
      <w:pPr>
        <w:pStyle w:val="BodyText"/>
      </w:pPr>
      <w:r>
        <w:t xml:space="preserve">The practical reading:</w:t>
      </w:r>
      <w:r>
        <w:t xml:space="preserve"> </w:t>
      </w:r>
      <w:r>
        <w:rPr>
          <w:b/>
          <w:bCs/>
        </w:rPr>
        <w:t xml:space="preserve">aggregating cameras to the array is what damages the</w:t>
      </w:r>
      <w:r>
        <w:rPr>
          <w:b/>
          <w:bCs/>
        </w:rPr>
        <w:t xml:space="preserve"> </w:t>
      </w:r>
      <w:r>
        <w:rPr>
          <w:b/>
          <w:bCs/>
        </w:rPr>
        <w:t xml:space="preserve">camera-anchored trend, and only when combined with occupancy.</w:t>
      </w:r>
      <w:r>
        <w:t xml:space="preserve"> </w:t>
      </w:r>
      <w:r>
        <w:t xml:space="preserve">Array-level</w:t>
      </w:r>
      <w:r>
        <w:t xml:space="preserve"> </w:t>
      </w:r>
      <w:r>
        <w:t xml:space="preserve">Royle-Nichols recovers the trend as well as camera-level modelling does, which is</w:t>
      </w:r>
      <w:r>
        <w:t xml:space="preserve"> </w:t>
      </w:r>
      <w:r>
        <w:t xml:space="preserve">the result that matters for reusing array-level data.</w:t>
      </w:r>
    </w:p>
    <w:bookmarkEnd w:id="16"/>
    <w:bookmarkStart w:id="20" w:name="Xc01ab9aa70d9241c3a88aa6c5a5c28db6fe5479"/>
    <w:p>
      <w:pPr>
        <w:pStyle w:val="Heading2"/>
      </w:pPr>
      <w:r>
        <w:t xml:space="preserve">3. How the camera-side specification propagates into the summed slope</w:t>
      </w:r>
    </w:p>
    <w:p>
      <w:pPr>
        <w:pStyle w:val="CaptionedFigure"/>
      </w:pPr>
      <w:r>
        <w:drawing>
          <wp:inline>
            <wp:extent cx="5334000" cy="2225787"/>
            <wp:effectExtent b="0" l="0" r="0" t="0"/>
            <wp:docPr descr="Estimator performance" title="" id="18" name="Picture"/>
            <a:graphic>
              <a:graphicData uri="http://schemas.openxmlformats.org/drawingml/2006/picture">
                <pic:pic>
                  <pic:nvPicPr>
                    <pic:cNvPr descr="fig_sim_estimator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Estimator performance</w:t>
      </w:r>
    </w:p>
    <w:p>
      <w:pPr>
        <w:pStyle w:val="BodyText"/>
      </w:pPr>
      <w:r>
        <w:t xml:space="preserve">The summed slope</w:t>
      </w:r>
      <w:r>
        <w:t xml:space="preserve"> </w:t>
      </w:r>
      <w:r>
        <w:rPr>
          <w:rStyle w:val="VerbatimChar"/>
        </w:rPr>
        <w:t xml:space="preserve">total_var_beta</w:t>
      </w:r>
      <w:r>
        <w:t xml:space="preserve"> </w:t>
      </w:r>
      <w:r>
        <w:t xml:space="preserve">is the coefficient the iNaturalist count model</w:t>
      </w:r>
      <w:r>
        <w:t xml:space="preserve"> </w:t>
      </w:r>
      <w:r>
        <w:t xml:space="preserve">carries, and the iNaturalist likelihood is the same in every arm — so any</w:t>
      </w:r>
      <w:r>
        <w:t xml:space="preserve"> </w:t>
      </w:r>
      <w:r>
        <w:t xml:space="preserve">difference between arms here is not a difference in how the iNaturalist records</w:t>
      </w:r>
      <w:r>
        <w:t xml:space="preserve"> </w:t>
      </w:r>
      <w:r>
        <w:t xml:space="preserve">were analysed. It arises because the model is fitted jointly: the summed slope is</w:t>
      </w:r>
      <w:r>
        <w:t xml:space="preserve"> </w:t>
      </w:r>
      <w:r>
        <w:t xml:space="preserve">tied to the camera-anchored slope by construction over a shared latent abundance</w:t>
      </w:r>
      <w:r>
        <w:t xml:space="preserve"> </w:t>
      </w:r>
      <w:r>
        <w:t xml:space="preserve">surface, so a camera-side specification that estimates its own slope poorly</w:t>
      </w:r>
      <w:r>
        <w:t xml:space="preserve"> </w:t>
      </w:r>
      <w:r>
        <w:t xml:space="preserve">displaces the sum as well.</w:t>
      </w:r>
    </w:p>
    <w:p>
      <w:pPr>
        <w:pStyle w:val="BodyText"/>
      </w:pPr>
      <w:r>
        <w:t xml:space="preserve">That displacement is large. Both arms using a latent-abundance camera model</w:t>
      </w:r>
      <w:r>
        <w:t xml:space="preserve"> </w:t>
      </w:r>
      <w:r>
        <w:t xml:space="preserve">recover the summed slope close to its true value at every abundance level, while</w:t>
      </w:r>
      <w:r>
        <w:t xml:space="preserve"> </w:t>
      </w:r>
      <w:r>
        <w:t xml:space="preserve">both occupancy-based arms overstate the decline and do so increasingly with</w:t>
      </w:r>
      <w:r>
        <w:t xml:space="preserve"> </w:t>
      </w:r>
      <w:r>
        <w:t xml:space="preserve">abundance — camera-level occupancy reaching roughly three times the true slope</w:t>
      </w:r>
      <w:r>
        <w:t xml:space="preserve"> </w:t>
      </w:r>
      <w:r>
        <w:t xml:space="preserve">at deer-like abundance, array-level occupancy up to six times. Interval widths</w:t>
      </w:r>
      <w:r>
        <w:t xml:space="preserve"> </w:t>
      </w:r>
      <w:r>
        <w:t xml:space="preserve">follow the same pattern.</w:t>
      </w:r>
    </w:p>
    <w:p>
      <w:pPr>
        <w:pStyle w:val="BodyText"/>
      </w:pPr>
      <w:r>
        <w:t xml:space="preserve">Occupancy saturation is the plausible mechanism on the camera side: occupancy</w:t>
      </w:r>
      <w:r>
        <w:t xml:space="preserve"> </w:t>
      </w:r>
      <w:r>
        <w:t xml:space="preserve">reads presence and absence, so once most sites are near-certain detections its</w:t>
      </w:r>
      <w:r>
        <w:t xml:space="preserve"> </w:t>
      </w:r>
      <w:r>
        <w:t xml:space="preserve">information about log abundance collapses, whereas detection frequency across</w:t>
      </w:r>
      <w:r>
        <w:t xml:space="preserve"> </w:t>
      </w:r>
      <w:r>
        <w:t xml:space="preserve">replicate windows keeps discriminating past that point. This section should be</w:t>
      </w:r>
      <w:r>
        <w:t xml:space="preserve"> </w:t>
      </w:r>
      <w:r>
        <w:t xml:space="preserve">read as a diagnostic that a saturating camera model distorts the joint fit, not</w:t>
      </w:r>
      <w:r>
        <w:t xml:space="preserve"> </w:t>
      </w:r>
      <w:r>
        <w:t xml:space="preserve">as a recommendation about how to model opportunistic records.</w:t>
      </w:r>
    </w:p>
    <w:bookmarkEnd w:id="20"/>
    <w:bookmarkStart w:id="24" w:name="error-rates"/>
    <w:p>
      <w:pPr>
        <w:pStyle w:val="Heading2"/>
      </w:pPr>
      <w:r>
        <w:t xml:space="preserve">4. Error rates</w:t>
      </w:r>
    </w:p>
    <w:p>
      <w:pPr>
        <w:pStyle w:val="CaptionedFigure"/>
      </w:pPr>
      <w:r>
        <w:drawing>
          <wp:inline>
            <wp:extent cx="5334000" cy="4078769"/>
            <wp:effectExtent b="0" l="0" r="0" t="0"/>
            <wp:docPr descr="Error rates" title="" id="22" name="Picture"/>
            <a:graphic>
              <a:graphicData uri="http://schemas.openxmlformats.org/drawingml/2006/picture">
                <pic:pic>
                  <pic:nvPicPr>
                    <pic:cNvPr descr="fig_sim_error_rat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rates</w:t>
      </w:r>
    </w:p>
    <w:p>
      <w:pPr>
        <w:pStyle w:val="BodyText"/>
      </w:pPr>
      <w:r>
        <w:t xml:space="preserve">All four arms detect real trends far more often than they report absent ones.</w:t>
      </w:r>
      <w:r>
        <w:t xml:space="preserve"> </w:t>
      </w:r>
      <w:r>
        <w:t xml:space="preserve">Note that detection rate alone is a misleading criterion here: at deer-like</w:t>
      </w:r>
      <w:r>
        <w:t xml:space="preserve"> </w:t>
      </w:r>
      <w:r>
        <w:t xml:space="preserve">abundance camera-level occupancy’s detection rate matches or exceeds</w:t>
      </w:r>
      <w:r>
        <w:t xml:space="preserve"> </w:t>
      </w:r>
      <w:r>
        <w:t xml:space="preserve">Royle-Nichols’ while its point estimate is roughly three times too negative.</w:t>
      </w:r>
      <w:r>
        <w:t xml:space="preserve"> </w:t>
      </w:r>
      <w:r>
        <w:t xml:space="preserve">Detection rate conflates bias with precision and should not be used to rank</w:t>
      </w:r>
      <w:r>
        <w:t xml:space="preserve"> </w:t>
      </w:r>
      <w:r>
        <w:t xml:space="preserve">these estimators.</w:t>
      </w:r>
    </w:p>
    <w:p>
      <w:pPr>
        <w:pStyle w:val="BodyText"/>
      </w:pPr>
      <w:r>
        <w:t xml:space="preserve">One column in the collected output requires care. A camera-corroboration</w:t>
      </w:r>
      <w:r>
        <w:t xml:space="preserve"> </w:t>
      </w:r>
      <w:r>
        <w:t xml:space="preserve">indicator was computed as a threshold on the ratio of the two trend components.</w:t>
      </w:r>
      <w:r>
        <w:t xml:space="preserve"> </w:t>
      </w:r>
      <w:r>
        <w:t xml:space="preserve">Because the generating truth has those components in opposite signs, that ratio</w:t>
      </w:r>
      <w:r>
        <w:t xml:space="preserve"> </w:t>
      </w:r>
      <w:r>
        <w:t xml:space="preserve">is negative by construction and the indicator cannot fire in any arm. It</w:t>
      </w:r>
      <w:r>
        <w:t xml:space="preserve"> </w:t>
      </w:r>
      <w:r>
        <w:t xml:space="preserve">therefore measures a property of the simulated truth, not of any estimator.</w:t>
      </w:r>
    </w:p>
    <w:bookmarkEnd w:id="24"/>
    <w:bookmarkStart w:id="28" w:name="applicability-to-real-camera-data"/>
    <w:p>
      <w:pPr>
        <w:pStyle w:val="Heading2"/>
      </w:pPr>
      <w:r>
        <w:t xml:space="preserve">5. Applicability to real camera data</w:t>
      </w:r>
    </w:p>
    <w:p>
      <w:pPr>
        <w:pStyle w:val="CaptionedFigure"/>
      </w:pPr>
      <w:r>
        <w:drawing>
          <wp:inline>
            <wp:extent cx="5334000" cy="2801094"/>
            <wp:effectExtent b="0" l="0" r="0" t="0"/>
            <wp:docPr descr="Estimator diagnostic" title="" id="26" name="Picture"/>
            <a:graphic>
              <a:graphicData uri="http://schemas.openxmlformats.org/drawingml/2006/picture">
                <pic:pic>
                  <pic:nvPicPr>
                    <pic:cNvPr descr="fig_estimator_choi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Estimator diagnostic</w:t>
      </w:r>
    </w:p>
    <w:p>
      <w:pPr>
        <w:pStyle w:val="BodyText"/>
      </w:pPr>
      <w:r>
        <w:t xml:space="preserve">The simulation generates data from the occupancy model, so its heterogeneity is</w:t>
      </w:r>
      <w:r>
        <w:t xml:space="preserve"> </w:t>
      </w:r>
      <w:r>
        <w:t xml:space="preserve">Poisson-consistent by construction. Real camera detection histories are not.</w:t>
      </w:r>
    </w:p>
    <w:p>
      <w:pPr>
        <w:pStyle w:val="BodyText"/>
      </w:pPr>
      <w:r>
        <w:t xml:space="preserve">Comparing two statistics among detecting deployments — the mean fraction of</w:t>
      </w:r>
      <w:r>
        <w:t xml:space="preserve"> </w:t>
      </w:r>
      <w:r>
        <w:t xml:space="preserve">10-day windows with a detection, and the fraction of deployments detecting in</w:t>
      </w:r>
      <w:r>
        <w:t xml:space="preserve"> </w:t>
      </w:r>
      <w:r>
        <w:t xml:space="preserve">every window — against the region reachable by Royle-Nichols across all</w:t>
      </w:r>
      <w:r>
        <w:t xml:space="preserve"> </w:t>
      </w:r>
      <w:r>
        <w:t xml:space="preserve">combinations of abundance and per-individual detectability:</w:t>
      </w:r>
      <w:r>
        <w:t xml:space="preserve"> </w:t>
      </w:r>
      <w:r>
        <w:rPr>
          <w:b/>
          <w:bCs/>
        </w:rPr>
        <w:t xml:space="preserve">69 of 78</w:t>
      </w:r>
      <w:r>
        <w:rPr>
          <w:b/>
          <w:bCs/>
        </w:rPr>
        <w:t xml:space="preserve"> </w:t>
      </w:r>
      <w:r>
        <w:rPr>
          <w:b/>
          <w:bCs/>
        </w:rPr>
        <w:t xml:space="preserve">species-by-window-count cases fall above the reachable band</w:t>
      </w:r>
      <w:r>
        <w:t xml:space="preserve">, two inside, and</w:t>
      </w:r>
      <w:r>
        <w:t xml:space="preserve"> </w:t>
      </w:r>
      <w:r>
        <w:t xml:space="preserve">seven below, of which six are sampling zeros against a ceiling of 0.003 or less.</w:t>
      </w:r>
      <w:r>
        <w:t xml:space="preserve"> </w:t>
      </w:r>
      <w:r>
        <w:t xml:space="preserve">Real detections are more polarised than Poisson abundance with a constant</w:t>
      </w:r>
      <w:r>
        <w:t xml:space="preserve"> </w:t>
      </w:r>
      <w:r>
        <w:t xml:space="preserve">per-individual detection probability can generate: given how often a species is</w:t>
      </w:r>
      <w:r>
        <w:t xml:space="preserve"> </w:t>
      </w:r>
      <w:r>
        <w:t xml:space="preserve">detected on average, far more deployments detect in every single window than the</w:t>
      </w:r>
      <w:r>
        <w:t xml:space="preserve"> </w:t>
      </w:r>
      <w:r>
        <w:t xml:space="preserve">model permits.</w:t>
      </w:r>
    </w:p>
    <w:p>
      <w:pPr>
        <w:pStyle w:val="BodyText"/>
      </w:pPr>
      <w:r>
        <w:t xml:space="preserve">Two limits on that diagnostic. Abundance and per-individual detectability are not</w:t>
      </w:r>
      <w:r>
        <w:t xml:space="preserve"> </w:t>
      </w:r>
      <w:r>
        <w:t xml:space="preserve">separately identified at our window counts — at four windows, (25, 0.03) and</w:t>
      </w:r>
      <w:r>
        <w:t xml:space="preserve"> </w:t>
      </w:r>
      <w:r>
        <w:t xml:space="preserve">(0.11, 0.52) reproduce the same two statistics to machine precision — so no</w:t>
      </w:r>
      <w:r>
        <w:t xml:space="preserve"> </w:t>
      </w:r>
      <w:r>
        <w:t xml:space="preserve">per-species abundance cutoff follows from it. And the band is built from two</w:t>
      </w:r>
      <w:r>
        <w:t xml:space="preserve"> </w:t>
      </w:r>
      <w:r>
        <w:t xml:space="preserve">summary statistics rather than the full detection-history likelihood; a formal</w:t>
      </w:r>
      <w:r>
        <w:t xml:space="preserve"> </w:t>
      </w:r>
      <w:r>
        <w:t xml:space="preserve">goodness-of-fit test would likely reject more strongly, not less.</w:t>
      </w:r>
    </w:p>
    <w:p>
      <w:pPr>
        <w:pStyle w:val="BodyText"/>
      </w:pPr>
      <w:r>
        <w:t xml:space="preserve">Occupancy’s saturation limit is real but reached by only one species in the</w:t>
      </w:r>
      <w:r>
        <w:t xml:space="preserve"> </w:t>
      </w:r>
      <w:r>
        <w:t xml:space="preserve">fleet. From fitted per-site occupancy, white-tailed deer sits at a median of</w:t>
      </w:r>
      <w:r>
        <w:t xml:space="preserve"> </w:t>
      </w:r>
      <w:r>
        <w:t xml:space="preserve">0.952 with 68% of sites above 0.9; bobcat (0.156) and moose (0.033) are far</w:t>
      </w:r>
      <w:r>
        <w:t xml:space="preserve"> </w:t>
      </w:r>
      <w:r>
        <w:t xml:space="preserve">below. Across all 34 fleet species, range-restricted naive occupancy puts deer</w:t>
      </w:r>
      <w:r>
        <w:t xml:space="preserve"> </w:t>
      </w:r>
      <w:r>
        <w:t xml:space="preserve">at 0.794 and the next species, eastern gray squirrel, at 0.478. Commonly</w:t>
      </w:r>
      <w:r>
        <w:t xml:space="preserve"> </w:t>
      </w:r>
      <w:r>
        <w:t xml:space="preserve">detected species such as gray squirrel and raccoon sit near occupancy’s most</w:t>
      </w:r>
      <w:r>
        <w:t xml:space="preserve"> </w:t>
      </w:r>
      <w:r>
        <w:t xml:space="preserve">informative point rather than past it.</w:t>
      </w:r>
    </w:p>
    <w:bookmarkEnd w:id="28"/>
    <w:bookmarkStart w:id="29" w:name="conclusions"/>
    <w:p>
      <w:pPr>
        <w:pStyle w:val="Heading2"/>
      </w:pPr>
      <w:r>
        <w:t xml:space="preserve">6. Conclusions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Array-level Royle-Nichols is a viable substitute for camera-level</w:t>
      </w:r>
      <w:r>
        <w:rPr>
          <w:b/>
          <w:bCs/>
        </w:rPr>
        <w:t xml:space="preserve"> </w:t>
      </w:r>
      <w:r>
        <w:rPr>
          <w:b/>
          <w:bCs/>
        </w:rPr>
        <w:t xml:space="preserve">modelling</w:t>
      </w:r>
      <w:r>
        <w:t xml:space="preserve"> </w:t>
      </w:r>
      <w:r>
        <w:t xml:space="preserve">of the camera-anchored trend, and array-level occupancy is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saturating camera model distorts the jointly-fitted iNaturalist slope</w:t>
      </w:r>
      <w:r>
        <w:t xml:space="preserve">,</w:t>
      </w:r>
      <w:r>
        <w:t xml:space="preserve"> </w:t>
      </w:r>
      <w:r>
        <w:t xml:space="preserve">increasingly so at higher abundance, even though the iNaturalist likelihood</w:t>
      </w:r>
      <w:r>
        <w:t xml:space="preserve"> </w:t>
      </w:r>
      <w:r>
        <w:t xml:space="preserve">is identical across arms. This is a reason to avoid an occupancy camera</w:t>
      </w:r>
      <w:r>
        <w:t xml:space="preserve"> </w:t>
      </w:r>
      <w:r>
        <w:t xml:space="preserve">submodel for abundant species, not a statement about modelling opportunistic</w:t>
      </w:r>
      <w:r>
        <w:t xml:space="preserve"> </w:t>
      </w:r>
      <w:r>
        <w:t xml:space="preserve">records — those are a count per unit effort in every arm.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Neither result licenses Royle-Nichols on our real data as specified.</w:t>
      </w:r>
      <w:r>
        <w:t xml:space="preserve"> </w:t>
      </w:r>
      <w:r>
        <w:t xml:space="preserve">Its</w:t>
      </w:r>
      <w:r>
        <w:t xml:space="preserve"> </w:t>
      </w:r>
      <w:r>
        <w:t xml:space="preserve">observation model is rejected for essentially every fleet species, in the</w:t>
      </w:r>
      <w:r>
        <w:t xml:space="preserve"> </w:t>
      </w:r>
      <w:r>
        <w:t xml:space="preserve">direction of unmodelled overdispersion.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trend split is poorly identified in simulation</w:t>
      </w:r>
      <w:r>
        <w:t xml:space="preserve"> </w:t>
      </w:r>
      <w:r>
        <w:t xml:space="preserve">by all four arms, which</w:t>
      </w:r>
      <w:r>
        <w:t xml:space="preserve"> </w:t>
      </w:r>
      <w:r>
        <w:t xml:space="preserve">bounds how much confidence any of them supports in separating a</w:t>
      </w:r>
      <w:r>
        <w:t xml:space="preserve"> </w:t>
      </w:r>
      <w:r>
        <w:t xml:space="preserve">camera-anchored trend from an opportunistic-only one at this replicate 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Occupancy saturation is a single-species concern</w:t>
      </w:r>
      <w:r>
        <w:t xml:space="preserve"> </w:t>
      </w:r>
      <w:r>
        <w:t xml:space="preserve">in this fleet, not a</w:t>
      </w:r>
      <w:r>
        <w:t xml:space="preserve"> </w:t>
      </w:r>
      <w:r>
        <w:t xml:space="preserve">general one.</w:t>
      </w:r>
    </w:p>
    <w:p>
      <w:pPr>
        <w:pStyle w:val="FirstParagraph"/>
      </w:pPr>
      <w:r>
        <w:t xml:space="preserve">Candidate next steps, in order of cost: a detection-rate count model (negative</w:t>
      </w:r>
      <w:r>
        <w:t xml:space="preserve"> </w:t>
      </w:r>
      <w:r>
        <w:t xml:space="preserve">binomial on events per camera-night, giving both streams the same functional form</w:t>
      </w:r>
      <w:r>
        <w:t xml:space="preserve"> </w:t>
      </w:r>
      <w:r>
        <w:t xml:space="preserve">and no saturation, at the cost of conflating abundance with activity);</w:t>
      </w:r>
      <w:r>
        <w:t xml:space="preserve"> </w:t>
      </w:r>
      <w:r>
        <w:t xml:space="preserve">Royle-Nichols with negative-binomial abundance; or Royle-Nichols with a</w:t>
      </w:r>
      <w:r>
        <w:t xml:space="preserve"> </w:t>
      </w:r>
      <w:r>
        <w:t xml:space="preserve">site-level random effect on detectability, which is testable rather than assumed</w:t>
      </w:r>
      <w:r>
        <w:t xml:space="preserve"> </w:t>
      </w:r>
      <w:r>
        <w:t xml:space="preserve">since deployment records include whether a camera was placed on a trail.</w:t>
      </w:r>
    </w:p>
    <w:bookmarkEnd w:id="29"/>
    <w:bookmarkStart w:id="30" w:name="limitations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2"/>
        </w:numPr>
      </w:pPr>
      <w:r>
        <w:t xml:space="preserve">Coverage, interval width, power and false-positive rate are available for the</w:t>
      </w:r>
      <w:r>
        <w:t xml:space="preserve"> </w:t>
      </w:r>
      <w:r>
        <w:t xml:space="preserve">summed trend only. Per-replicate posterior quantiles for the individual</w:t>
      </w:r>
      <w:r>
        <w:t xml:space="preserve"> </w:t>
      </w:r>
      <w:r>
        <w:t xml:space="preserve">components were not retained, so for the camera-anchored trend only point-</w:t>
      </w:r>
      <w:r>
        <w:t xml:space="preserve"> </w:t>
      </w:r>
      <w:r>
        <w:t xml:space="preserve">estimate bias can be computed.</w:t>
      </w:r>
    </w:p>
    <w:p>
      <w:pPr>
        <w:pStyle w:val="Compact"/>
        <w:numPr>
          <w:ilvl w:val="0"/>
          <w:numId w:val="1002"/>
        </w:numPr>
      </w:pPr>
      <w:r>
        <w:t xml:space="preserve">The two trend components multiply differently standardised year covariates, in</w:t>
      </w:r>
      <w:r>
        <w:t xml:space="preserve"> </w:t>
      </w:r>
      <w:r>
        <w:t xml:space="preserve">both the simulation and the real fits, so their raw coefficients are not</w:t>
      </w:r>
      <w:r>
        <w:t xml:space="preserve"> </w:t>
      </w:r>
      <w:r>
        <w:t xml:space="preserve">directly comparable and their sum mixes two scales. Conclusions here are</w:t>
      </w:r>
      <w:r>
        <w:t xml:space="preserve"> </w:t>
      </w:r>
      <w:r>
        <w:t xml:space="preserve">stated per component, never on the sum of the two.</w:t>
      </w:r>
    </w:p>
    <w:p>
      <w:pPr>
        <w:pStyle w:val="Compact"/>
        <w:numPr>
          <w:ilvl w:val="0"/>
          <w:numId w:val="1002"/>
        </w:numPr>
      </w:pPr>
      <w:r>
        <w:t xml:space="preserve">Replicates are generated from the same model that the occupancy arms fit, which</w:t>
      </w:r>
      <w:r>
        <w:t xml:space="preserve"> </w:t>
      </w:r>
      <w:r>
        <w:t xml:space="preserve">favours those arms; the Royle-Nichols arms are misspecified throughout and</w:t>
      </w:r>
      <w:r>
        <w:t xml:space="preserve"> </w:t>
      </w:r>
      <w:r>
        <w:t xml:space="preserve">still match or beat them.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Estimator choice for camera-trap trend models: a simulation study</dc:title>
  <dc:creator/>
  <cp:keywords/>
  <dcterms:created xsi:type="dcterms:W3CDTF">2026-09-08T20:35:37Z</dcterms:created>
  <dcterms:modified xsi:type="dcterms:W3CDTF">2026-09-08T20:35:37Z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