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8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42.png" ContentType="image/png"/>
  <Override PartName="/word/media/rId27.png" ContentType="image/png"/>
  <Override PartName="/word/media/rId12.png" ContentType="image/png"/>
  <Override PartName="/word/media/rId9.png" ContentType="image/png"/>
  <Override PartName="/word/media/rId15.png" ContentType="image/png"/>
  <Override PartName="/word/media/rId24.png" ContentType="image/png"/>
  <Override PartName="/word/media/rId4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Population trends for three North American mammals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X45913696e172ce7f0beac72bc48ef8ee561cb56"/>
    <w:p>
      <w:pPr>
        <w:pStyle w:val="Heading1"/>
      </w:pPr>
      <w:r>
        <w:t xml:space="preserve">Population trends for three North American mammals from integrated camera-trap and iNaturalist data</w:t>
      </w:r>
    </w:p>
    <w:p>
      <w:pPr>
        <w:pStyle w:val="FirstParagraph"/>
      </w:pPr>
      <w:r>
        <w:rPr>
          <w:b/>
          <w:bCs/>
        </w:rPr>
        <w:t xml:space="preserve">Species and models.</w:t>
      </w:r>
      <w:r>
        <w:t xml:space="preserve"> </w:t>
      </w:r>
      <w:r>
        <w:t xml:space="preserve">Bobcat, white-tailed deer and moose, each fitted under</w:t>
      </w:r>
      <w:r>
        <w:t xml:space="preserve"> </w:t>
      </w:r>
      <w:r>
        <w:t xml:space="preserve">two parameterisations of the temporal trend: a single national slope, and a</w:t>
      </w:r>
      <w:r>
        <w:t xml:space="preserve"> </w:t>
      </w:r>
      <w:r>
        <w:t xml:space="preserve">national slope with partially-pooled ecoregion deviations. All six fits are</w:t>
      </w:r>
      <w:r>
        <w:t xml:space="preserve"> </w:t>
      </w:r>
      <w:r>
        <w:t xml:space="preserve">single continuous MCMC chains.</w:t>
      </w:r>
    </w:p>
    <w:bookmarkStart w:id="18" w:name="how-the-two-data-streams-combine"/>
    <w:p>
      <w:pPr>
        <w:pStyle w:val="Heading2"/>
      </w:pPr>
      <w:r>
        <w:t xml:space="preserve">1. How the two data streams combine</w:t>
      </w:r>
    </w:p>
    <w:p>
      <w:pPr>
        <w:pStyle w:val="CaptionedFigure"/>
      </w:pPr>
      <w:r>
        <w:drawing>
          <wp:inline>
            <wp:extent cx="5334000" cy="2878736"/>
            <wp:effectExtent b="0" l="0" r="0" t="0"/>
            <wp:docPr descr="Data integration" title="" id="10" name="Picture"/>
            <a:graphic>
              <a:graphicData uri="http://schemas.openxmlformats.org/drawingml/2006/picture">
                <pic:pic>
                  <pic:nvPicPr>
                    <pic:cNvPr descr="fig_integr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integration</w:t>
      </w:r>
    </w:p>
    <w:p>
      <w:pPr>
        <w:pStyle w:val="BodyText"/>
      </w:pPr>
      <w:r>
        <w:t xml:space="preserve">Camera-trap surveys are the primary stream: effort is measured, so both</w:t>
      </w:r>
      <w:r>
        <w:t xml:space="preserve"> </w:t>
      </w:r>
      <w:r>
        <w:t xml:space="preserve">detections and non-detections carry information. iNaturalist records cannot</w:t>
      </w:r>
      <w:r>
        <w:t xml:space="preserve"> </w:t>
      </w:r>
      <w:r>
        <w:t xml:space="preserve">stand alone — effort is unknown and is controlled only indirectly, using total</w:t>
      </w:r>
      <w:r>
        <w:t xml:space="preserve"> </w:t>
      </w:r>
      <w:r>
        <w:t xml:space="preserve">mammal records per 50 km grid cell per year as an effort offset — but they cover</w:t>
      </w:r>
      <w:r>
        <w:t xml:space="preserve"> </w:t>
      </w:r>
      <w:r>
        <w:t xml:space="preserve">the whole country and every year of the study period.</w:t>
      </w:r>
    </w:p>
    <w:p>
      <w:pPr>
        <w:pStyle w:val="BodyText"/>
      </w:pPr>
      <w:r>
        <w:t xml:space="preserve">Both streams inform one latent relative-abundance surface on a 50 km grid, each</w:t>
      </w:r>
      <w:r>
        <w:t xml:space="preserve"> </w:t>
      </w:r>
      <w:r>
        <w:t xml:space="preserve">through its own observation model. The camera stream enters through an occupancy</w:t>
      </w:r>
      <w:r>
        <w:t xml:space="preserve"> </w:t>
      </w:r>
      <w:r>
        <w:t xml:space="preserve">submodel; the iNaturalist stream sees the same surface through a power-law link</w:t>
      </w:r>
      <w:r>
        <w:t xml:space="preserve"> </w:t>
      </w:r>
      <w:r>
        <w:t xml:space="preserve">whose exponent is estimated, which attenuates its influence when the two streams</w:t>
      </w:r>
      <w:r>
        <w:t xml:space="preserve"> </w:t>
      </w:r>
      <w:r>
        <w:t xml:space="preserve">disagree. That exponent is estimated between 0.41 and 0.61 across the six fits,</w:t>
      </w:r>
      <w:r>
        <w:t xml:space="preserve"> </w:t>
      </w:r>
      <w:r>
        <w:t xml:space="preserve">with every interval excluding 1.0, so the attenuation is active and substantial.</w:t>
      </w:r>
    </w:p>
    <w:p>
      <w:pPr>
        <w:pStyle w:val="CaptionedFigure"/>
      </w:pPr>
      <w:r>
        <w:drawing>
          <wp:inline>
            <wp:extent cx="5334000" cy="3962326"/>
            <wp:effectExtent b="0" l="0" r="0" t="0"/>
            <wp:docPr descr="Survey effort" title="" id="13" name="Picture"/>
            <a:graphic>
              <a:graphicData uri="http://schemas.openxmlformats.org/drawingml/2006/picture">
                <pic:pic>
                  <pic:nvPicPr>
                    <pic:cNvPr descr="fig_effor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2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Survey effort</w:t>
      </w:r>
    </w:p>
    <w:p>
      <w:pPr>
        <w:pStyle w:val="BodyText"/>
      </w:pPr>
      <w:r>
        <w:t xml:space="preserve">Camera deployments are concentrated in recent years. This is the reason trends</w:t>
      </w:r>
      <w:r>
        <w:t xml:space="preserve"> </w:t>
      </w:r>
      <w:r>
        <w:t xml:space="preserve">over the full 18-year window rest more heavily on the iNaturalist stream in the</w:t>
      </w:r>
      <w:r>
        <w:t xml:space="preserve"> </w:t>
      </w:r>
      <w:r>
        <w:t xml:space="preserve">early period, and it bears directly on how far each species’ camera-anchored</w:t>
      </w:r>
      <w:r>
        <w:t xml:space="preserve"> </w:t>
      </w:r>
      <w:r>
        <w:t xml:space="preserve">trend extends: bobcat and deer have 16 distinct camera years, moose only 7</w:t>
      </w:r>
      <w:r>
        <w:t xml:space="preserve"> </w:t>
      </w:r>
      <w:r>
        <w:t xml:space="preserve">(cameras from 2019).</w:t>
      </w:r>
    </w:p>
    <w:p>
      <w:pPr>
        <w:pStyle w:val="CaptionedFigure"/>
      </w:pPr>
      <w:r>
        <w:drawing>
          <wp:inline>
            <wp:extent cx="5334000" cy="2655686"/>
            <wp:effectExtent b="0" l="0" r="0" t="0"/>
            <wp:docPr descr="Range mask construction" title="" id="16" name="Picture"/>
            <a:graphic>
              <a:graphicData uri="http://schemas.openxmlformats.org/drawingml/2006/picture">
                <pic:pic>
                  <pic:nvPicPr>
                    <pic:cNvPr descr="fig_mask_constructio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Range mask construction</w:t>
      </w:r>
    </w:p>
    <w:p>
      <w:pPr>
        <w:pStyle w:val="BodyText"/>
      </w:pPr>
      <w:r>
        <w:t xml:space="preserve">The modelled area for each species is the union of its published range polygon</w:t>
      </w:r>
      <w:r>
        <w:t xml:space="preserve"> </w:t>
      </w:r>
      <w:r>
        <w:t xml:space="preserve">and grid cells with iNaturalist records, which retains true-absence cells that a</w:t>
      </w:r>
      <w:r>
        <w:t xml:space="preserve"> </w:t>
      </w:r>
      <w:r>
        <w:t xml:space="preserve">records-only mask would discard.</w:t>
      </w:r>
    </w:p>
    <w:bookmarkEnd w:id="18"/>
    <w:bookmarkStart w:id="19" w:name="X58adc76e50f429b914b030c4d6fc51c14600271"/>
    <w:p>
      <w:pPr>
        <w:pStyle w:val="Heading2"/>
      </w:pPr>
      <w:r>
        <w:t xml:space="preserve">2. Why two parameterisations, and how each is set up</w:t>
      </w:r>
    </w:p>
    <w:p>
      <w:pPr>
        <w:pStyle w:val="FirstParagraph"/>
      </w:pPr>
      <w:r>
        <w:t xml:space="preserve">Each species is fitted twice, differing only in how the temporal trend is</w:t>
      </w:r>
      <w:r>
        <w:t xml:space="preserve"> </w:t>
      </w:r>
      <w:r>
        <w:t xml:space="preserve">allowed to vary in space.</w:t>
      </w:r>
    </w:p>
    <w:p>
      <w:pPr>
        <w:pStyle w:val="BodyText"/>
      </w:pPr>
      <w:r>
        <w:rPr>
          <w:b/>
          <w:bCs/>
        </w:rPr>
        <w:t xml:space="preserve">National-scalar.</w:t>
      </w:r>
      <w:r>
        <w:t xml:space="preserve"> </w:t>
      </w:r>
      <w:r>
        <w:t xml:space="preserve">One trend for the whole modelled area. The camera occupancy</w:t>
      </w:r>
      <w:r>
        <w:t xml:space="preserve"> </w:t>
      </w:r>
      <w:r>
        <w:t xml:space="preserve">submodel carries</w:t>
      </w:r>
      <w:r>
        <w:t xml:space="preserve"> </w:t>
      </w:r>
      <w:r>
        <w:rPr>
          <w:rStyle w:val="VerbatimChar"/>
        </w:rPr>
        <w:t xml:space="preserve">year_beta * year_occ[i]</w:t>
      </w:r>
      <w:r>
        <w:t xml:space="preserve">; the iNaturalist intensity carries</w:t>
      </w:r>
      <w:r>
        <w:t xml:space="preserve"> </w:t>
      </w:r>
      <w:r>
        <w:rPr>
          <w:rStyle w:val="VerbatimChar"/>
        </w:rPr>
        <w:t xml:space="preserve">total_var_beta * year_vals[t]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total_var_beta = year_beta + year_var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year_var</w:t>
      </w:r>
      <w:r>
        <w:t xml:space="preserve"> </w:t>
      </w:r>
      <w:r>
        <w:t xml:space="preserve">is a free parameter appearing in no camera likelihood term. This</w:t>
      </w:r>
      <w:r>
        <w:t xml:space="preserve"> </w:t>
      </w:r>
      <w:r>
        <w:t xml:space="preserve">maximises precision on the national trend and assumes the trend is spatially</w:t>
      </w:r>
      <w:r>
        <w:t xml:space="preserve"> </w:t>
      </w:r>
      <w:r>
        <w:t xml:space="preserve">constant.</w:t>
      </w:r>
    </w:p>
    <w:p>
      <w:pPr>
        <w:pStyle w:val="BodyText"/>
      </w:pPr>
      <w:r>
        <w:rPr>
          <w:b/>
          <w:bCs/>
        </w:rPr>
        <w:t xml:space="preserve">Ecoregion.</w:t>
      </w:r>
      <w:r>
        <w:t xml:space="preserve"> </w:t>
      </w:r>
      <w:r>
        <w:t xml:space="preserve">Adds a partially-pooled deviation per EPA Level I ecoregion,</w:t>
      </w:r>
      <w:r>
        <w:t xml:space="preserve"> </w:t>
      </w:r>
      <w:r>
        <w:rPr>
          <w:rStyle w:val="VerbatimChar"/>
        </w:rPr>
        <w:t xml:space="preserve">year_region[r] ~ dnorm(0, sd = sigma_region)</w:t>
      </w:r>
      <w:r>
        <w:t xml:space="preserve">, inherited by each 100 km cell as</w:t>
      </w:r>
      <w:r>
        <w:t xml:space="preserve"> </w:t>
      </w:r>
      <w:r>
        <w:rPr>
          <w:rStyle w:val="VerbatimChar"/>
        </w:rPr>
        <w:t xml:space="preserve">year_effect[c] &lt;- year_region[ecoregion_of_cell100[c]]</w:t>
      </w:r>
      <w:r>
        <w:t xml:space="preserve"> </w:t>
      </w:r>
      <w:r>
        <w:t xml:space="preserve">and added to the</w:t>
      </w:r>
      <w:r>
        <w:t xml:space="preserve"> </w:t>
      </w:r>
      <w:r>
        <w:t xml:space="preserve">iNaturalist-side trend. Partial pooling means each region’s estimate borrows</w:t>
      </w:r>
      <w:r>
        <w:t xml:space="preserve"> </w:t>
      </w:r>
      <w:r>
        <w:t xml:space="preserve">strength from the shared national mean, so a data-poor region is shrunk toward</w:t>
      </w:r>
      <w:r>
        <w:t xml:space="preserve"> </w:t>
      </w:r>
      <w:r>
        <w:t xml:space="preserve">it rather than estimated independently. This relaxes the constant-trend</w:t>
      </w:r>
      <w:r>
        <w:t xml:space="preserve"> </w:t>
      </w:r>
      <w:r>
        <w:t xml:space="preserve">assumption at the cost of precision on the national mean.</w:t>
      </w:r>
    </w:p>
    <w:p>
      <w:pPr>
        <w:pStyle w:val="BodyText"/>
      </w:pPr>
      <w:r>
        <w:t xml:space="preserve">Everything else is identical between the two: the same 50 km latent abundance</w:t>
      </w:r>
      <w:r>
        <w:t xml:space="preserve"> </w:t>
      </w:r>
      <w:r>
        <w:t xml:space="preserve">grid, the same nine occupancy covariates, the same spatially varying intercept</w:t>
      </w:r>
      <w:r>
        <w:t xml:space="preserve"> </w:t>
      </w:r>
      <w:r>
        <w:t xml:space="preserve">and climate-response fields on the 100 km grid, the same detection model, the</w:t>
      </w:r>
      <w:r>
        <w:t xml:space="preserve"> </w:t>
      </w:r>
      <w:r>
        <w:t xml:space="preserve">same iNaturalist negative-binomial count likelihood with its effort offset, and</w:t>
      </w:r>
      <w:r>
        <w:t xml:space="preserve"> </w:t>
      </w:r>
      <w:r>
        <w:t xml:space="preserve">the same union range mask. Both are run as single continuous MCMC chains with no</w:t>
      </w:r>
      <w:r>
        <w:t xml:space="preserve"> </w:t>
      </w:r>
      <w:r>
        <w:t xml:space="preserve">checkpoint-and-resume boundary.</w:t>
      </w:r>
    </w:p>
    <w:p>
      <w:pPr>
        <w:pStyle w:val="BodyText"/>
      </w:pPr>
      <w:r>
        <w:rPr>
          <w:b/>
          <w:bCs/>
        </w:rPr>
        <w:t xml:space="preserve">Why fit both rather than choose.</w:t>
      </w:r>
      <w:r>
        <w:t xml:space="preserve"> </w:t>
      </w:r>
      <w:r>
        <w:t xml:space="preserve">The pair is a sensitivity check on the</w:t>
      </w:r>
      <w:r>
        <w:t xml:space="preserve"> </w:t>
      </w:r>
      <w:r>
        <w:t xml:space="preserve">constant-trend assumption. If the national estimate is stable across the two,</w:t>
      </w:r>
      <w:r>
        <w:t xml:space="preserve"> </w:t>
      </w:r>
      <w:r>
        <w:t xml:space="preserve">that assumption is not doing load-bearing work and the simpler model can be</w:t>
      </w:r>
      <w:r>
        <w:t xml:space="preserve"> </w:t>
      </w:r>
      <w:r>
        <w:t xml:space="preserve">reported; if it moves, the regional structure matters and the national number</w:t>
      </w:r>
      <w:r>
        <w:t xml:space="preserve"> </w:t>
      </w:r>
      <w:r>
        <w:t xml:space="preserve">alone would be misleading. Fitting both is the right procedure even where only</w:t>
      </w:r>
      <w:r>
        <w:t xml:space="preserve"> </w:t>
      </w:r>
      <w:r>
        <w:t xml:space="preserve">one is ultimately reported.</w:t>
      </w:r>
    </w:p>
    <w:p>
      <w:pPr>
        <w:pStyle w:val="BodyText"/>
      </w:pPr>
      <w:r>
        <w:t xml:space="preserve">One scope decision, documented in the model code, has consequences for what the</w:t>
      </w:r>
      <w:r>
        <w:t xml:space="preserve"> </w:t>
      </w:r>
      <w:r>
        <w:t xml:space="preserve">ecoregion fit can deliver and is stated where it bites, in Section 4: the</w:t>
      </w:r>
      <w:r>
        <w:t xml:space="preserve"> </w:t>
      </w:r>
      <w:r>
        <w:t xml:space="preserve">regional deviation was added to the iNaturalist pathway only, leaving the camera</w:t>
      </w:r>
      <w:r>
        <w:t xml:space="preserve"> </w:t>
      </w:r>
      <w:r>
        <w:t xml:space="preserve">submodel with the global trend.</w:t>
      </w:r>
    </w:p>
    <w:bookmarkEnd w:id="19"/>
    <w:bookmarkStart w:id="23" w:name="national-trends"/>
    <w:p>
      <w:pPr>
        <w:pStyle w:val="Heading2"/>
      </w:pPr>
      <w:r>
        <w:t xml:space="preserve">3. National trends</w:t>
      </w:r>
    </w:p>
    <w:p>
      <w:pPr>
        <w:pStyle w:val="CaptionedFigure"/>
      </w:pPr>
      <w:r>
        <w:drawing>
          <wp:inline>
            <wp:extent cx="5334000" cy="2776572"/>
            <wp:effectExtent b="0" l="0" r="0" t="0"/>
            <wp:docPr descr="National trends per year" title="" id="21" name="Picture"/>
            <a:graphic>
              <a:graphicData uri="http://schemas.openxmlformats.org/drawingml/2006/picture">
                <pic:pic>
                  <pic:nvPicPr>
                    <pic:cNvPr descr="fig_trend_per_ye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National trends per year</w:t>
      </w:r>
    </w:p>
    <w:p>
      <w:pPr>
        <w:pStyle w:val="BodyText"/>
      </w:pPr>
      <w:r>
        <w:t xml:space="preserve">Both streams are shown as proportional change per calendar year. Their raw</w:t>
      </w:r>
      <w:r>
        <w:t xml:space="preserve"> </w:t>
      </w:r>
      <w:r>
        <w:t xml:space="preserve">coefficients are not comparable — the two submodels standardise their year</w:t>
      </w:r>
      <w:r>
        <w:t xml:space="preserve"> </w:t>
      </w:r>
      <w:r>
        <w:t xml:space="preserve">covariate on different distributions, so one coefficient unit is 5.34 years on</w:t>
      </w:r>
      <w:r>
        <w:t xml:space="preserve"> </w:t>
      </w:r>
      <w:r>
        <w:t xml:space="preserve">the iNaturalist side but 1.88 years for moose’s cameras, 3.65 for bobcat’s and</w:t>
      </w:r>
      <w:r>
        <w:t xml:space="preserve"> </w:t>
      </w:r>
      <w:r>
        <w:t xml:space="preserve">3.88 for deer’s. Converting to per-year units first is required before the two</w:t>
      </w:r>
      <w:r>
        <w:t xml:space="preserve"> </w:t>
      </w:r>
      <w:r>
        <w:t xml:space="preserve">streams can be compared at 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Species</w:t>
            </w:r>
          </w:p>
        </w:tc>
        <w:tc>
          <w:tcPr/>
          <w:p>
            <w:pPr>
              <w:pStyle w:val="Compact"/>
            </w:pPr>
            <w:r>
              <w:t xml:space="preserve">Camera surveys</w:t>
            </w:r>
          </w:p>
        </w:tc>
        <w:tc>
          <w:tcPr/>
          <w:p>
            <w:pPr>
              <w:pStyle w:val="Compact"/>
            </w:pPr>
            <w:r>
              <w:t xml:space="preserve">iNaturalist</w:t>
            </w:r>
          </w:p>
        </w:tc>
        <w:tc>
          <w:tcPr/>
          <w:p>
            <w:pPr>
              <w:pStyle w:val="Compact"/>
            </w:pPr>
            <w:r>
              <w:t xml:space="preserve">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Bobcat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0.00%/yr</w:t>
            </w:r>
            <w:r>
              <w:t xml:space="preserve"> </w:t>
            </w:r>
            <w:r>
              <w:t xml:space="preserve">(−1.7, +1.7)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−4.43%/yr</w:t>
            </w:r>
            <w:r>
              <w:t xml:space="preserve"> </w:t>
            </w:r>
            <w:r>
              <w:t xml:space="preserve">(−5.7, −3.2)</w:t>
            </w:r>
          </w:p>
        </w:tc>
        <w:tc>
          <w:tcPr/>
          <w:p>
            <w:pPr>
              <w:pStyle w:val="Compact"/>
            </w:pPr>
            <w:r>
              <w:t xml:space="preserve">streams disagree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White-tailed deer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+4.07%/yr</w:t>
            </w:r>
            <w:r>
              <w:t xml:space="preserve"> </w:t>
            </w:r>
            <w:r>
              <w:t xml:space="preserve">(+3.0, +5.1)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+3.37%/yr</w:t>
            </w:r>
            <w:r>
              <w:t xml:space="preserve"> </w:t>
            </w:r>
            <w:r>
              <w:t xml:space="preserve">(+2.6, +4.2)</w:t>
            </w:r>
          </w:p>
        </w:tc>
        <w:tc>
          <w:tcPr/>
          <w:p>
            <w:pPr>
              <w:pStyle w:val="Compact"/>
            </w:pPr>
            <w:r>
              <w:t xml:space="preserve">streams 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−6.20%/yr</w:t>
            </w:r>
            <w:r>
              <w:t xml:space="preserve"> </w:t>
            </w:r>
            <w:r>
              <w:t xml:space="preserve">(−15.3, +2.3)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−2.24%/yr</w:t>
            </w:r>
            <w:r>
              <w:t xml:space="preserve"> </w:t>
            </w:r>
            <w:r>
              <w:t xml:space="preserve">(−4.2, −0.5)</w:t>
            </w:r>
          </w:p>
        </w:tc>
        <w:tc>
          <w:tcPr/>
          <w:p>
            <w:pPr>
              <w:pStyle w:val="Compact"/>
            </w:pPr>
            <w:r>
              <w:t xml:space="preserve">same direction, cameras unresolved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White-tailed deer is increasing, and both streams agree.</w:t>
      </w:r>
      <w:r>
        <w:t xml:space="preserve"> </w:t>
      </w:r>
      <w:r>
        <w:t xml:space="preserve">The camera surveys</w:t>
      </w:r>
      <w:r>
        <w:t xml:space="preserve"> </w:t>
      </w:r>
      <w:r>
        <w:t xml:space="preserve">give +4.07% per year over 16 years and iNaturalist +3.37% over 18; both</w:t>
      </w:r>
      <w:r>
        <w:t xml:space="preserve"> </w:t>
      </w:r>
      <w:r>
        <w:t xml:space="preserve">intervals exclude zero and overlap each other. This is the only species in the</w:t>
      </w:r>
      <w:r>
        <w:t xml:space="preserve"> </w:t>
      </w:r>
      <w:r>
        <w:t xml:space="preserve">set whose trend is supported independently by each stream.</w:t>
      </w:r>
    </w:p>
    <w:p>
      <w:pPr>
        <w:pStyle w:val="BodyText"/>
      </w:pPr>
      <w:r>
        <w:rPr>
          <w:b/>
          <w:bCs/>
        </w:rPr>
        <w:t xml:space="preserve">Bobcat’s streams disagree.</w:t>
      </w:r>
      <w:r>
        <w:t xml:space="preserve"> </w:t>
      </w:r>
      <w:r>
        <w:t xml:space="preserve">The camera surveys give a trend</w:t>
      </w:r>
      <w:r>
        <w:t xml:space="preserve"> </w:t>
      </w:r>
      <w:r>
        <w:t xml:space="preserve">indistinguishable from zero with a tight interval (−1.7% to +1.7% per year),</w:t>
      </w:r>
      <w:r>
        <w:t xml:space="preserve"> </w:t>
      </w:r>
      <w:r>
        <w:t xml:space="preserve">while iNaturalist gives a clear decline of 4.4% per year. Since the camera data</w:t>
      </w:r>
      <w:r>
        <w:t xml:space="preserve"> </w:t>
      </w:r>
      <w:r>
        <w:t xml:space="preserve">are the standard, the defensible statement is that</w:t>
      </w:r>
      <w:r>
        <w:t xml:space="preserve"> </w:t>
      </w:r>
      <w:r>
        <w:rPr>
          <w:b/>
          <w:bCs/>
        </w:rPr>
        <w:t xml:space="preserve">the camera surveys detect</w:t>
      </w:r>
      <w:r>
        <w:rPr>
          <w:b/>
          <w:bCs/>
        </w:rPr>
        <w:t xml:space="preserve"> </w:t>
      </w:r>
      <w:r>
        <w:rPr>
          <w:b/>
          <w:bCs/>
        </w:rPr>
        <w:t xml:space="preserve">no bobcat trend</w:t>
      </w:r>
      <w:r>
        <w:t xml:space="preserve">, and that the iNaturalist decline is not corroborated. An</w:t>
      </w:r>
      <w:r>
        <w:t xml:space="preserve"> </w:t>
      </w:r>
      <w:r>
        <w:t xml:space="preserve">iNaturalist-specific change in observer behaviour or reporting that the effort</w:t>
      </w:r>
      <w:r>
        <w:t xml:space="preserve"> </w:t>
      </w:r>
      <w:r>
        <w:t xml:space="preserve">offset does not capture would produce exactly this pattern, and cannot be</w:t>
      </w:r>
      <w:r>
        <w:t xml:space="preserve"> </w:t>
      </w:r>
      <w:r>
        <w:t xml:space="preserve">distinguished from a real decline invisible to cameras.</w:t>
      </w:r>
    </w:p>
    <w:p>
      <w:pPr>
        <w:pStyle w:val="BodyText"/>
      </w:pPr>
      <w:r>
        <w:rPr>
          <w:b/>
          <w:bCs/>
        </w:rPr>
        <w:t xml:space="preserve">Moose is declining on the iNaturalist stream and unresolved on cameras.</w:t>
      </w:r>
      <w:r>
        <w:t xml:space="preserve"> </w:t>
      </w:r>
      <w:r>
        <w:t xml:space="preserve">The</w:t>
      </w:r>
      <w:r>
        <w:t xml:space="preserve"> </w:t>
      </w:r>
      <w:r>
        <w:t xml:space="preserve">camera-anchored estimate is steeper, at −6.2% per year, but its interval spans</w:t>
      </w:r>
      <w:r>
        <w:t xml:space="preserve"> </w:t>
      </w:r>
      <w:r>
        <w:t xml:space="preserve">zero, and it describes only 2019–2025 rather than the full period. The two rows</w:t>
      </w:r>
      <w:r>
        <w:t xml:space="preserve"> </w:t>
      </w:r>
      <w:r>
        <w:t xml:space="preserve">are not measuring the same interval for this species.</w:t>
      </w:r>
    </w:p>
    <w:p>
      <w:pPr>
        <w:pStyle w:val="BodyText"/>
      </w:pPr>
      <w:r>
        <w:rPr>
          <w:b/>
          <w:bCs/>
        </w:rPr>
        <w:t xml:space="preserve">Robustness to parameterisation.</w:t>
      </w:r>
      <w:r>
        <w:t xml:space="preserve"> </w:t>
      </w:r>
      <w:r>
        <w:t xml:space="preserve">The camera-anchored trend barely moves</w:t>
      </w:r>
      <w:r>
        <w:t xml:space="preserve"> </w:t>
      </w:r>
      <w:r>
        <w:t xml:space="preserve">between the two parameterisations — bobcat 0.00% versus +0.27%, deer +4.07%</w:t>
      </w:r>
      <w:r>
        <w:t xml:space="preserve"> </w:t>
      </w:r>
      <w:r>
        <w:t xml:space="preserve">versus +4.12%, moose −6.20% versus −5.64% — because the camera submodel is</w:t>
      </w:r>
      <w:r>
        <w:t xml:space="preserve"> </w:t>
      </w:r>
      <w:r>
        <w:t xml:space="preserve">identical in both. The iNaturalist-side estimate moves more, and loses</w:t>
      </w:r>
      <w:r>
        <w:t xml:space="preserve"> </w:t>
      </w:r>
      <w:r>
        <w:t xml:space="preserve">significance for bobcat and moose under the ecoregion parameterisation.</w:t>
      </w:r>
    </w:p>
    <w:bookmarkEnd w:id="23"/>
    <w:bookmarkStart w:id="30" w:name="regional-trends"/>
    <w:p>
      <w:pPr>
        <w:pStyle w:val="Heading2"/>
      </w:pPr>
      <w:r>
        <w:t xml:space="preserve">4. Regional trends</w:t>
      </w:r>
    </w:p>
    <w:p>
      <w:pPr>
        <w:pStyle w:val="CaptionedFigure"/>
      </w:pPr>
      <w:r>
        <w:drawing>
          <wp:inline>
            <wp:extent cx="5334000" cy="1652761"/>
            <wp:effectExtent b="0" l="0" r="0" t="0"/>
            <wp:docPr descr="Regional trends" title="" id="25" name="Picture"/>
            <a:graphic>
              <a:graphicData uri="http://schemas.openxmlformats.org/drawingml/2006/picture">
                <pic:pic>
                  <pic:nvPicPr>
                    <pic:cNvPr descr="fig_regional_trend_ful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2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Regional trends</w:t>
      </w:r>
    </w:p>
    <w:p>
      <w:pPr>
        <w:pStyle w:val="BodyText"/>
      </w:pPr>
      <w:r>
        <w:t xml:space="preserve">The camera data informs the ecoregion fit throughout: the spatially varying</w:t>
      </w:r>
      <w:r>
        <w:t xml:space="preserve"> </w:t>
      </w:r>
      <w:r>
        <w:t xml:space="preserve">intercept field, both climate-response surfaces, all nine occupancy covariates,</w:t>
      </w:r>
      <w:r>
        <w:t xml:space="preserve"> </w:t>
      </w:r>
      <w:r>
        <w:t xml:space="preserve">the detection model, and the global trend</w:t>
      </w:r>
      <w:r>
        <w:t xml:space="preserve"> </w:t>
      </w:r>
      <w:r>
        <w:rPr>
          <w:rStyle w:val="VerbatimChar"/>
        </w:rPr>
        <w:t xml:space="preserve">year_beta</w:t>
      </w:r>
      <w:r>
        <w:t xml:space="preserve"> </w:t>
      </w:r>
      <w:r>
        <w:t xml:space="preserve">are all estimated with the</w:t>
      </w:r>
      <w:r>
        <w:t xml:space="preserve"> </w:t>
      </w:r>
      <w:r>
        <w:t xml:space="preserve">camera likelihood contributing. So regional differences in</w:t>
      </w:r>
      <w:r>
        <w:t xml:space="preserve"> </w:t>
      </w:r>
      <w:r>
        <w:rPr>
          <w:b/>
          <w:bCs/>
        </w:rPr>
        <w:t xml:space="preserve">abundance level</w:t>
      </w:r>
      <w:r>
        <w:t xml:space="preserve"> </w:t>
      </w:r>
      <w:r>
        <w:t xml:space="preserve">are camera-informed, and are what the abundance surfaces in Section 5 display.</w:t>
      </w:r>
    </w:p>
    <w:p>
      <w:pPr>
        <w:pStyle w:val="BodyText"/>
      </w:pPr>
      <w:r>
        <w:t xml:space="preserve">The constraint is narrower and applies to the regional</w:t>
      </w:r>
      <w:r>
        <w:t xml:space="preserve"> </w:t>
      </w:r>
      <w:r>
        <w:rPr>
          <w:b/>
          <w:bCs/>
        </w:rPr>
        <w:t xml:space="preserve">trend deviation</w:t>
      </w:r>
      <w:r>
        <w:t xml:space="preserve"> </w:t>
      </w:r>
      <w:r>
        <w:t xml:space="preserve">specifically.</w:t>
      </w:r>
      <w:r>
        <w:t xml:space="preserve"> </w:t>
      </w:r>
      <w:r>
        <w:rPr>
          <w:rStyle w:val="VerbatimChar"/>
        </w:rPr>
        <w:t xml:space="preserve">year_region</w:t>
      </w:r>
      <w:r>
        <w:t xml:space="preserve"> </w:t>
      </w:r>
      <w:r>
        <w:t xml:space="preserve">is added to the trend inside the iNaturalist</w:t>
      </w:r>
      <w:r>
        <w:t xml:space="preserve"> </w:t>
      </w:r>
      <w:r>
        <w:t xml:space="preserve">likelihood only, while the camera submodel carries the global</w:t>
      </w:r>
      <w:r>
        <w:t xml:space="preserve"> </w:t>
      </w:r>
      <w:r>
        <w:rPr>
          <w:rStyle w:val="VerbatimChar"/>
        </w:rPr>
        <w:t xml:space="preserve">year_beta</w:t>
      </w:r>
      <w:r>
        <w:t xml:space="preserve"> </w:t>
      </w:r>
      <w:r>
        <w:t xml:space="preserve">with</w:t>
      </w:r>
      <w:r>
        <w:t xml:space="preserve"> </w:t>
      </w:r>
      <w:r>
        <w:t xml:space="preserve">no regional term — a deliberate prototype scope decision recorded in the model</w:t>
      </w:r>
      <w:r>
        <w:t xml:space="preserve"> </w:t>
      </w:r>
      <w:r>
        <w:t xml:space="preserve">code, not an oversight. So</w:t>
      </w:r>
      <w:r>
        <w:t xml:space="preserve"> </w:t>
      </w:r>
      <w:r>
        <w:rPr>
          <w:i/>
          <w:iCs/>
        </w:rPr>
        <w:t xml:space="preserve">how much a region’s trend departs from the national</w:t>
      </w:r>
      <w:r>
        <w:rPr>
          <w:i/>
          <w:iCs/>
        </w:rP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is identified by iNaturalist alone, and these maps should be read</w:t>
      </w:r>
      <w:r>
        <w:t xml:space="preserve"> </w:t>
      </w:r>
      <w:r>
        <w:t xml:space="preserve">accordingly: regional variation in trend carries the same caveat as bobcat’s</w:t>
      </w:r>
      <w:r>
        <w:t xml:space="preserve"> </w:t>
      </w:r>
      <w:r>
        <w:t xml:space="preserve">national iNaturalist estimate, while the regional pattern in abundance does not.</w:t>
      </w:r>
      <w:r>
        <w:t xml:space="preserve"> </w:t>
      </w:r>
      <w:r>
        <w:t xml:space="preserve">Regions shown in grey have intervals overlapping zero.</w:t>
      </w:r>
    </w:p>
    <w:p>
      <w:pPr>
        <w:pStyle w:val="BodyText"/>
      </w:pPr>
      <w:r>
        <w:t xml:space="preserve">Two related questions are worth answering explicitly, because the obvious</w:t>
      </w:r>
      <w:r>
        <w:t xml:space="preserve"> </w:t>
      </w:r>
      <w:r>
        <w:t xml:space="preserve">alternatives do not supply a camera-anchored regional trend either.</w:t>
      </w:r>
    </w:p>
    <w:p>
      <w:pPr>
        <w:pStyle w:val="BodyText"/>
      </w:pPr>
      <w:r>
        <w:rPr>
          <w:b/>
          <w:bCs/>
        </w:rPr>
        <w:t xml:space="preserve">Regional prediction from covariates gives levels, not trends.</w:t>
      </w:r>
      <w:r>
        <w:t xml:space="preserve"> </w:t>
      </w:r>
      <w:r>
        <w:t xml:space="preserve">The occupancy</w:t>
      </w:r>
      <w:r>
        <w:t xml:space="preserve"> </w:t>
      </w:r>
      <w:r>
        <w:t xml:space="preserve">covariates enter as</w:t>
      </w:r>
      <w:r>
        <w:t xml:space="preserve"> </w:t>
      </w:r>
      <w:r>
        <w:rPr>
          <w:rStyle w:val="VerbatimChar"/>
        </w:rPr>
        <w:t xml:space="preserve">occ_covars[i, 1:numOccCovars]</w:t>
      </w:r>
      <w:r>
        <w:t xml:space="preserve"> </w:t>
      </w:r>
      <w:r>
        <w:t xml:space="preserve">— indexed by site, with no</w:t>
      </w:r>
      <w:r>
        <w:t xml:space="preserve"> </w:t>
      </w:r>
      <w:r>
        <w:t xml:space="preserve">year dimension. They are static per location, so they cannot generate a temporal</w:t>
      </w:r>
      <w:r>
        <w:t xml:space="preserve"> </w:t>
      </w:r>
      <w:r>
        <w:t xml:space="preserve">trend of any kind, regional or national. Covariate-based regional prediction is</w:t>
      </w:r>
      <w:r>
        <w:t xml:space="preserve"> </w:t>
      </w:r>
      <w:r>
        <w:t xml:space="preserve">camera-informed and useful, but it predicts where a species is more or less</w:t>
      </w:r>
      <w:r>
        <w:t xml:space="preserve"> </w:t>
      </w:r>
      <w:r>
        <w:t xml:space="preserve">abundant, not where it is changing faster.</w:t>
      </w:r>
    </w:p>
    <w:p>
      <w:pPr>
        <w:pStyle w:val="BodyText"/>
      </w:pPr>
      <w:r>
        <w:rPr>
          <w:b/>
          <w:bCs/>
        </w:rPr>
        <w:t xml:space="preserve">A camera-anchored regional trend would require a model change</w:t>
      </w:r>
      <w:r>
        <w:t xml:space="preserve">, adding a</w:t>
      </w:r>
      <w:r>
        <w:t xml:space="preserve"> </w:t>
      </w:r>
      <w:r>
        <w:t xml:space="preserve">regional deviation to the occupancy submodel. It cannot be extracted from the</w:t>
      </w:r>
      <w:r>
        <w:t xml:space="preserve"> </w:t>
      </w:r>
      <w:r>
        <w:t xml:space="preserve">present fits.</w:t>
      </w:r>
    </w:p>
    <w:p>
      <w:pPr>
        <w:pStyle w:val="CaptionedFigure"/>
      </w:pPr>
      <w:r>
        <w:drawing>
          <wp:inline>
            <wp:extent cx="5334000" cy="1929956"/>
            <wp:effectExtent b="0" l="0" r="0" t="0"/>
            <wp:docPr descr="Value of the regional parameterisation" title="" id="28" name="Picture"/>
            <a:graphic>
              <a:graphicData uri="http://schemas.openxmlformats.org/drawingml/2006/picture">
                <pic:pic>
                  <pic:nvPicPr>
                    <pic:cNvPr descr="fig_ecoregion_valu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9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Value of the regional parameterisation</w:t>
      </w:r>
    </w:p>
    <w:p>
      <w:pPr>
        <w:pStyle w:val="BodyText"/>
      </w:pPr>
      <w:r>
        <w:t xml:space="preserve">Whether the regional layer earns its cost is species-dependent: it resolves</w:t>
      </w:r>
      <w:r>
        <w:t xml:space="preserve"> </w:t>
      </w:r>
      <w:r>
        <w:t xml:space="preserve">genuine between-region structure for some species and only widens the interval</w:t>
      </w:r>
      <w:r>
        <w:t xml:space="preserve"> </w:t>
      </w:r>
      <w:r>
        <w:t xml:space="preserve">on the same national quantity for others, and regions with little data are</w:t>
      </w:r>
      <w:r>
        <w:t xml:space="preserve"> </w:t>
      </w:r>
      <w:r>
        <w:t xml:space="preserve">shrinkage toward the national mean rather than independent evidence.</w:t>
      </w:r>
    </w:p>
    <w:bookmarkEnd w:id="30"/>
    <w:bookmarkStart w:id="34" w:name="relative-abundance-surfaces"/>
    <w:p>
      <w:pPr>
        <w:pStyle w:val="Heading2"/>
      </w:pPr>
      <w:r>
        <w:t xml:space="preserve">5. Relative abundance surfaces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Abundance surfaces" title="" id="32" name="Picture"/>
            <a:graphic>
              <a:graphicData uri="http://schemas.openxmlformats.org/drawingml/2006/picture">
                <pic:pic>
                  <pic:nvPicPr>
                    <pic:cNvPr descr="fig_abundanc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Abundance surfaces</w:t>
      </w:r>
    </w:p>
    <w:p>
      <w:pPr>
        <w:pStyle w:val="BodyText"/>
      </w:pPr>
      <w:r>
        <w:t xml:space="preserve">Per-year surfaces are informed by both streams: their spatial pattern comes</w:t>
      </w:r>
      <w:r>
        <w:t xml:space="preserve"> </w:t>
      </w:r>
      <w:r>
        <w:t xml:space="preserve">from the covariates, the spatially varying intercept and the climate fields, all</w:t>
      </w:r>
      <w:r>
        <w:t xml:space="preserve"> </w:t>
      </w:r>
      <w:r>
        <w:t xml:space="preserve">of which the camera data helps estimate. These maps are the camera-informed</w:t>
      </w:r>
      <w:r>
        <w:t xml:space="preserve"> </w:t>
      </w:r>
      <w:r>
        <w:t xml:space="preserve">regional picture of abundance.</w:t>
      </w:r>
    </w:p>
    <w:p>
      <w:pPr>
        <w:pStyle w:val="BodyText"/>
      </w:pPr>
      <w:r>
        <w:rPr>
          <w:b/>
          <w:bCs/>
        </w:rPr>
        <w:t xml:space="preserve">The change panel is not a regional trend, and should not be read as one.</w:t>
      </w:r>
      <w:r>
        <w:t xml:space="preserve"> </w:t>
      </w:r>
      <w:r>
        <w:t xml:space="preserve">In</w:t>
      </w:r>
      <w:r>
        <w:t xml:space="preserve"> </w:t>
      </w:r>
      <w:r>
        <w:t xml:space="preserve">the national-scalar parameterisation the trend is a single number applied to</w:t>
      </w:r>
      <w:r>
        <w:t xml:space="preserve"> </w:t>
      </w:r>
      <w:r>
        <w:t xml:space="preserve">every cell, so the proportional change is very nearly uniform in space: across</w:t>
      </w:r>
      <w:r>
        <w:t xml:space="preserve"> </w:t>
      </w:r>
      <w:r>
        <w:t xml:space="preserve">cells it has a standard deviation of 1.1% for bobcat around a median of −24.3%,</w:t>
      </w:r>
      <w:r>
        <w:t xml:space="preserve"> </w:t>
      </w:r>
      <w:r>
        <w:t xml:space="preserve">0.6% for deer around +14.4%, and 4.8% for moose around −28.2%. The map appears</w:t>
      </w:r>
      <w:r>
        <w:t xml:space="preserve"> </w:t>
      </w:r>
      <w:r>
        <w:t xml:space="preserve">spatially structured only because the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abundance surface is, not</w:t>
      </w:r>
      <w:r>
        <w:t xml:space="preserve"> </w:t>
      </w:r>
      <w:r>
        <w:t xml:space="preserve">because the rate of change varies. The small residual variation is a consequence</w:t>
      </w:r>
      <w:r>
        <w:t xml:space="preserve"> </w:t>
      </w:r>
      <w:r>
        <w:t xml:space="preserve">of summarising a nonlinear function by its posterior mean, not regional signal.</w:t>
      </w:r>
    </w:p>
    <w:p>
      <w:pPr>
        <w:pStyle w:val="BodyText"/>
      </w:pPr>
      <w:r>
        <w:t xml:space="preserve">The change is also driven by the trend in the latent intensity field, which is</w:t>
      </w:r>
      <w:r>
        <w:t xml:space="preserve"> </w:t>
      </w:r>
      <w:r>
        <w:t xml:space="preserve">the iNaturalist-side quantity, so it carries the same caveat as the</w:t>
      </w:r>
      <w:r>
        <w:t xml:space="preserve"> </w:t>
      </w:r>
      <w:r>
        <w:t xml:space="preserve">corresponding national estimate — most consequentially for bobcat. A</w:t>
      </w:r>
      <w:r>
        <w:t xml:space="preserve"> </w:t>
      </w:r>
      <w:r>
        <w:t xml:space="preserve">camera-anchored change surface is constructible from the fitted occupancy</w:t>
      </w:r>
      <w:r>
        <w:t xml:space="preserve"> </w:t>
      </w:r>
      <w:r>
        <w:t xml:space="preserve">snapshots, which exist at 2015/2020/2025 for bobcat and deer and 2019/2025 for</w:t>
      </w:r>
      <w:r>
        <w:t xml:space="preserve"> </w:t>
      </w:r>
      <w:r>
        <w:t xml:space="preserve">moose, but at camera sites rather than on the full grid.</w:t>
      </w:r>
    </w:p>
    <w:bookmarkEnd w:id="34"/>
    <w:bookmarkStart w:id="41" w:name="comparison-with-state-agency-assessments"/>
    <w:p>
      <w:pPr>
        <w:pStyle w:val="Heading2"/>
      </w:pPr>
      <w:r>
        <w:t xml:space="preserve">6. Comparison with state agency assessments</w:t>
      </w:r>
    </w:p>
    <w:p>
      <w:pPr>
        <w:pStyle w:val="CaptionedFigure"/>
      </w:pPr>
      <w:r>
        <w:drawing>
          <wp:inline>
            <wp:extent cx="5334000" cy="1641230"/>
            <wp:effectExtent b="0" l="0" r="0" t="0"/>
            <wp:docPr descr="Moose versus agency reports" title="" id="36" name="Picture"/>
            <a:graphic>
              <a:graphicData uri="http://schemas.openxmlformats.org/drawingml/2006/picture">
                <pic:pic>
                  <pic:nvPicPr>
                    <pic:cNvPr descr="fig_agency_moos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Moose versus agency reports</w:t>
      </w:r>
    </w:p>
    <w:p>
      <w:pPr>
        <w:pStyle w:val="CaptionedFigure"/>
      </w:pPr>
      <w:r>
        <w:drawing>
          <wp:inline>
            <wp:extent cx="5334000" cy="1582541"/>
            <wp:effectExtent b="0" l="0" r="0" t="0"/>
            <wp:docPr descr="White-tailed deer versus agency reports" title="" id="39" name="Picture"/>
            <a:graphic>
              <a:graphicData uri="http://schemas.openxmlformats.org/drawingml/2006/picture">
                <pic:pic>
                  <pic:nvPicPr>
                    <pic:cNvPr descr="fig_agency_white-tailed_de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White-tailed deer versus agency reports</w:t>
      </w:r>
    </w:p>
    <w:p>
      <w:pPr>
        <w:pStyle w:val="BodyText"/>
      </w:pPr>
      <w:r>
        <w:t xml:space="preserve">Modelled regional direction beside state agencies’ own reported 10-year</w:t>
      </w:r>
      <w:r>
        <w:t xml:space="preserve"> </w:t>
      </w:r>
      <w:r>
        <w:t xml:space="preserve">directions, as compiled and without re-aggregation. No state-survey dataset</w:t>
      </w:r>
      <w:r>
        <w:t xml:space="preserve"> </w:t>
      </w:r>
      <w:r>
        <w:t xml:space="preserve">exists for bobcat, so no comparison is possible for that species.</w:t>
      </w:r>
    </w:p>
    <w:bookmarkEnd w:id="41"/>
    <w:bookmarkStart w:id="51" w:name="habitat-and-climate-associations"/>
    <w:p>
      <w:pPr>
        <w:pStyle w:val="Heading2"/>
      </w:pPr>
      <w:r>
        <w:t xml:space="preserve">7. Habitat and climate associations</w:t>
      </w:r>
    </w:p>
    <w:p>
      <w:pPr>
        <w:pStyle w:val="FirstParagraph"/>
      </w:pPr>
      <w:r>
        <w:t xml:space="preserve">These are estimated from the full record deliberately: unlike the trend, habitat</w:t>
      </w:r>
      <w:r>
        <w:t xml:space="preserve"> </w:t>
      </w:r>
      <w:r>
        <w:t xml:space="preserve">and climate associations improve with more years of data.</w:t>
      </w:r>
    </w:p>
    <w:p>
      <w:pPr>
        <w:pStyle w:val="CaptionedFigure"/>
      </w:pPr>
      <w:r>
        <w:drawing>
          <wp:inline>
            <wp:extent cx="5334000" cy="2428251"/>
            <wp:effectExtent b="0" l="0" r="0" t="0"/>
            <wp:docPr descr="Covariate effects" title="" id="43" name="Picture"/>
            <a:graphic>
              <a:graphicData uri="http://schemas.openxmlformats.org/drawingml/2006/picture">
                <pic:pic>
                  <pic:nvPicPr>
                    <pic:cNvPr descr="fig_covariat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Covariate effects</w:t>
      </w:r>
    </w:p>
    <w:p>
      <w:pPr>
        <w:pStyle w:val="BodyText"/>
      </w:pPr>
      <w:r>
        <w:t xml:space="preserve">Nine occupancy covariates per fit. Sign agreement between the two</w:t>
      </w:r>
      <w:r>
        <w:t xml:space="preserve"> </w:t>
      </w:r>
      <w:r>
        <w:t xml:space="preserve">parameterisations is complete across all species and covariates.</w:t>
      </w:r>
    </w:p>
    <w:p>
      <w:pPr>
        <w:pStyle w:val="CaptionedFigure"/>
      </w:pPr>
      <w:r>
        <w:drawing>
          <wp:inline>
            <wp:extent cx="5334000" cy="2091995"/>
            <wp:effectExtent b="0" l="0" r="0" t="0"/>
            <wp:docPr descr="Spatial baseline field" title="" id="46" name="Picture"/>
            <a:graphic>
              <a:graphicData uri="http://schemas.openxmlformats.org/drawingml/2006/picture">
                <pic:pic>
                  <pic:nvPicPr>
                    <pic:cNvPr descr="fig_spatial_baselin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1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Spatial baseline field</w:t>
      </w:r>
    </w:p>
    <w:p>
      <w:pPr>
        <w:pStyle w:val="BodyText"/>
      </w:pPr>
      <w:r>
        <w:t xml:space="preserve">Where each species occurs more, or less, than the habitat covariates alone</w:t>
      </w:r>
      <w:r>
        <w:t xml:space="preserve"> </w:t>
      </w:r>
      <w:r>
        <w:t xml:space="preserve">predict — the smoothed spatial residual. Cells are at full opacity where the</w:t>
      </w:r>
      <w:r>
        <w:t xml:space="preserve"> </w:t>
      </w:r>
      <w:r>
        <w:t xml:space="preserve">95% interval excludes zero.</w:t>
      </w:r>
    </w:p>
    <w:p>
      <w:pPr>
        <w:pStyle w:val="CaptionedFigure"/>
      </w:pPr>
      <w:r>
        <w:drawing>
          <wp:inline>
            <wp:extent cx="5334000" cy="3326807"/>
            <wp:effectExtent b="0" l="0" r="0" t="0"/>
            <wp:docPr descr="Climate responses" title="" id="49" name="Picture"/>
            <a:graphic>
              <a:graphicData uri="http://schemas.openxmlformats.org/drawingml/2006/picture">
                <pic:pic>
                  <pic:nvPicPr>
                    <pic:cNvPr descr="fig_climate_respons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6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Climate responses</w:t>
      </w:r>
    </w:p>
    <w:p>
      <w:pPr>
        <w:pStyle w:val="BodyText"/>
      </w:pPr>
      <w:r>
        <w:t xml:space="preserve">Spatially varying responses to summer warmth and winter cold. Only a small</w:t>
      </w:r>
      <w:r>
        <w:t xml:space="preserve"> </w:t>
      </w:r>
      <w:r>
        <w:t xml:space="preserve">minority of cells resolve individually, so these are spatial patterns worth</w:t>
      </w:r>
      <w:r>
        <w:t xml:space="preserve"> </w:t>
      </w:r>
      <w:r>
        <w:t xml:space="preserve">investigating rather than established local effects. Colour scales are per row,</w:t>
      </w:r>
      <w:r>
        <w:t xml:space="preserve"> </w:t>
      </w:r>
      <w:r>
        <w:t xml:space="preserve">since the two climate variables are not on a common scale.</w:t>
      </w:r>
    </w:p>
    <w:bookmarkEnd w:id="51"/>
    <w:bookmarkStart w:id="58" w:name="data-stream-congruence-and-convergence"/>
    <w:p>
      <w:pPr>
        <w:pStyle w:val="Heading2"/>
      </w:pPr>
      <w:r>
        <w:t xml:space="preserve">8. Data-stream congruence and convergence</w:t>
      </w:r>
    </w:p>
    <w:p>
      <w:pPr>
        <w:pStyle w:val="CaptionedFigure"/>
      </w:pPr>
      <w:r>
        <w:drawing>
          <wp:inline>
            <wp:extent cx="5334000" cy="2652661"/>
            <wp:effectExtent b="0" l="0" r="0" t="0"/>
            <wp:docPr descr="Congruence" title="" id="53" name="Picture"/>
            <a:graphic>
              <a:graphicData uri="http://schemas.openxmlformats.org/drawingml/2006/picture">
                <pic:pic>
                  <pic:nvPicPr>
                    <pic:cNvPr descr="fig_congruenc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Congruence</w:t>
      </w:r>
    </w:p>
    <w:p>
      <w:pPr>
        <w:pStyle w:val="BodyText"/>
      </w:pPr>
      <w:r>
        <w:t xml:space="preserve">The power-law exponent linking the iNaturalist counts to the latent intensity is</w:t>
      </w:r>
      <w:r>
        <w:t xml:space="preserve"> </w:t>
      </w:r>
      <w:r>
        <w:t xml:space="preserve">sub-linear in every fit (0.41–0.61, all intervals excluding 1.0), meaning</w:t>
      </w:r>
      <w:r>
        <w:t xml:space="preserve"> </w:t>
      </w:r>
      <w:r>
        <w:t xml:space="preserve">iNaturalist counts rise less than proportionally with modelled abundance.</w:t>
      </w:r>
    </w:p>
    <w:p>
      <w:pPr>
        <w:pStyle w:val="CaptionedFigure"/>
      </w:pPr>
      <w:r>
        <w:drawing>
          <wp:inline>
            <wp:extent cx="5334000" cy="3976644"/>
            <wp:effectExtent b="0" l="0" r="0" t="0"/>
            <wp:docPr descr="Convergence" title="" id="56" name="Picture"/>
            <a:graphic>
              <a:graphicData uri="http://schemas.openxmlformats.org/drawingml/2006/picture">
                <pic:pic>
                  <pic:nvPicPr>
                    <pic:cNvPr descr="fig_convergenc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Convergence</w:t>
      </w:r>
    </w:p>
    <w:p>
      <w:pPr>
        <w:pStyle w:val="BodyText"/>
      </w:pPr>
      <w:r>
        <w:t xml:space="preserve">Trend and covariate parameters converged in all six fits. Both ecoregion fits</w:t>
      </w:r>
      <w:r>
        <w:t xml:space="preserve"> </w:t>
      </w:r>
      <w:r>
        <w:t xml:space="preserve">carry a localised convergence failure in one contiguous patch of the spatial</w:t>
      </w:r>
      <w:r>
        <w:t xml:space="preserve"> </w:t>
      </w:r>
      <w:r>
        <w:t xml:space="preserve">field, with substantial overlap between species, indicating a property of the</w:t>
      </w:r>
      <w:r>
        <w:t xml:space="preserve"> </w:t>
      </w:r>
      <w:r>
        <w:t xml:space="preserve">spatial adjacency graph rather than of either species’ data. Trend estimates are</w:t>
      </w:r>
      <w:r>
        <w:t xml:space="preserve"> </w:t>
      </w:r>
      <w:r>
        <w:t xml:space="preserve">unaffected; the spatial intercept field and climate surfaces from the ecoregion</w:t>
      </w:r>
      <w:r>
        <w:t xml:space="preserve"> </w:t>
      </w:r>
      <w:r>
        <w:t xml:space="preserve">fits are excluded from the conclusions above.</w:t>
      </w:r>
    </w:p>
    <w:bookmarkEnd w:id="58"/>
    <w:bookmarkStart w:id="59" w:name="summary"/>
    <w:p>
      <w:pPr>
        <w:pStyle w:val="Heading2"/>
      </w:pPr>
      <w:r>
        <w:t xml:space="preserve">9.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White-tailed deer is increasing at about 4% per year</w:t>
      </w:r>
      <w:r>
        <w:t xml:space="preserve">, corroborated</w:t>
      </w:r>
      <w:r>
        <w:t xml:space="preserve"> </w:t>
      </w:r>
      <w:r>
        <w:t xml:space="preserve">independently by camera surveys and iNaturalist.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Camera surveys detect no bobcat trend.</w:t>
      </w:r>
      <w:r>
        <w:t xml:space="preserve"> </w:t>
      </w:r>
      <w:r>
        <w:t xml:space="preserve">The iNaturalist decline of 4.4%</w:t>
      </w:r>
      <w:r>
        <w:t xml:space="preserve"> </w:t>
      </w:r>
      <w:r>
        <w:t xml:space="preserve">per year is not corroborated and should not be reported as a population</w:t>
      </w:r>
      <w:r>
        <w:t xml:space="preserve"> </w:t>
      </w:r>
      <w:r>
        <w:t xml:space="preserve">trend on its 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Moose declines on the iNaturalist stream; the camera surveys cannot</w:t>
      </w:r>
      <w:r>
        <w:rPr>
          <w:b/>
          <w:bCs/>
        </w:rPr>
        <w:t xml:space="preserve"> </w:t>
      </w:r>
      <w:r>
        <w:rPr>
          <w:b/>
          <w:bCs/>
        </w:rPr>
        <w:t xml:space="preserve">resolve it</w:t>
      </w:r>
      <w:r>
        <w:t xml:space="preserve">, partly because moose camera data begin only in 2019.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Regional differences in abundance are camera-informed; regional</w:t>
      </w:r>
      <w:r>
        <w:rPr>
          <w:b/>
          <w:bCs/>
        </w:rPr>
        <w:t xml:space="preserve"> </w:t>
      </w:r>
      <w:r>
        <w:rPr>
          <w:b/>
          <w:bCs/>
        </w:rPr>
        <w:t xml:space="preserve">differences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trend</w:t>
      </w:r>
      <w:r>
        <w:rPr>
          <w:b/>
          <w:bCs/>
        </w:rPr>
        <w:t xml:space="preserve"> </w:t>
      </w:r>
      <w:r>
        <w:rPr>
          <w:b/>
          <w:bCs/>
        </w:rPr>
        <w:t xml:space="preserve">are identified by iNaturalist alone</w:t>
      </w:r>
      <w:r>
        <w:t xml:space="preserve">, because the</w:t>
      </w:r>
      <w:r>
        <w:t xml:space="preserve"> </w:t>
      </w:r>
      <w:r>
        <w:t xml:space="preserve">regional deviation was scoped to the iNaturalist pathway. The three-period</w:t>
      </w:r>
      <w:r>
        <w:t xml:space="preserve"> </w:t>
      </w:r>
      <w:r>
        <w:t xml:space="preserve">change maps are one national trend applied to a spatially varying baseline,</w:t>
      </w:r>
      <w:r>
        <w:t xml:space="preserve"> </w:t>
      </w:r>
      <w:r>
        <w:t xml:space="preserve">not a regional trend.</w:t>
      </w:r>
    </w:p>
    <w:p>
      <w:pPr>
        <w:pStyle w:val="Compact"/>
        <w:numPr>
          <w:ilvl w:val="0"/>
          <w:numId w:val="1001"/>
        </w:numPr>
      </w:pPr>
      <w:r>
        <w:t xml:space="preserve">Habitat and climate associations are consistent across parameterisations and</w:t>
      </w:r>
      <w:r>
        <w:t xml:space="preserve"> </w:t>
      </w:r>
      <w:r>
        <w:t xml:space="preserve">are the most robust outputs of these models.</w:t>
      </w:r>
    </w:p>
    <w:p>
      <w:pPr>
        <w:pStyle w:val="FirstParagraph"/>
      </w:pPr>
      <w:r>
        <w:rPr>
          <w:b/>
          <w:bCs/>
        </w:rPr>
        <w:t xml:space="preserve">Known limitations.</w:t>
      </w:r>
      <w:r>
        <w:t xml:space="preserve"> </w:t>
      </w:r>
      <w:r>
        <w:t xml:space="preserve">Camera effort is concentrated in recent years, so the</w:t>
      </w:r>
      <w:r>
        <w:t xml:space="preserve"> </w:t>
      </w:r>
      <w:r>
        <w:t xml:space="preserve">18-year iNaturalist window and the shorter camera window are not the same</w:t>
      </w:r>
      <w:r>
        <w:t xml:space="preserve"> </w:t>
      </w:r>
      <w:r>
        <w:t xml:space="preserve">period; 5- and 10-year windowed refits are pending. No agency comparison exists</w:t>
      </w:r>
      <w:r>
        <w:t xml:space="preserve"> </w:t>
      </w:r>
      <w:r>
        <w:t xml:space="preserve">for bobcat. The two streams’ trend coefficients required unit conversion before</w:t>
      </w:r>
      <w:r>
        <w:t xml:space="preserve"> </w:t>
      </w:r>
      <w:r>
        <w:t xml:space="preserve">comparison, and their model-level sum mixes two scales, so it is not reported</w:t>
      </w:r>
      <w:r>
        <w:t xml:space="preserve"> </w:t>
      </w:r>
      <w:r>
        <w:t xml:space="preserve">here.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42" Target="media/rId42.png" /><Relationship Type="http://schemas.openxmlformats.org/officeDocument/2006/relationships/image" Id="rId27" Target="media/rId27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Population trends for three North American mammals</dc:title>
  <dc:creator/>
  <cp:keywords/>
  <dcterms:created xsi:type="dcterms:W3CDTF">2026-09-08T20:45:14Z</dcterms:created>
  <dcterms:modified xsi:type="dcterms:W3CDTF">2026-09-08T20:45:14Z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