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6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Revised interpretation: camera-anchored trends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X69f70b39ad280f55f31da9e0707a2e7d2c12523"/>
    <w:p>
      <w:pPr>
        <w:pStyle w:val="Heading1"/>
      </w:pPr>
      <w:r>
        <w:t xml:space="preserve">Revised interpretation: camera-anchored trends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revision of the trend sections of</w:t>
      </w:r>
      <w:r>
        <w:t xml:space="preserve"> </w:t>
      </w:r>
      <w:r>
        <w:rPr>
          <w:rStyle w:val="VerbatimChar"/>
        </w:rPr>
        <w:t xml:space="preserve">MOOSE_v2b_RESULTS.md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BOBCAT_WTD_v2b_RESULTS.md</w:t>
      </w:r>
      <w:r>
        <w:t xml:space="preserve">, and the array-level simulation summary. Model code</w:t>
      </w:r>
      <w:r>
        <w:t xml:space="preserve"> </w:t>
      </w:r>
      <w:r>
        <w:t xml:space="preserve">and fits are unchanged; what changes is which parameter is reported as the</w:t>
      </w:r>
      <w:r>
        <w:t xml:space="preserve"> </w:t>
      </w:r>
      <w:r>
        <w:t xml:space="preserve">ecological result. No refit was required to produce anything in this document.</w:t>
      </w:r>
    </w:p>
    <w:bookmarkStart w:id="9" w:name="what-changed"/>
    <w:p>
      <w:pPr>
        <w:pStyle w:val="Heading2"/>
      </w:pPr>
      <w:r>
        <w:t xml:space="preserve">1. What changed</w:t>
      </w:r>
    </w:p>
    <w:p>
      <w:pPr>
        <w:pStyle w:val="FirstParagraph"/>
      </w:pPr>
      <w:r>
        <w:t xml:space="preserve">The model contains two trend parameters. The camera occupancy submodel carries</w:t>
      </w:r>
      <w:r>
        <w:t xml:space="preserve"> </w:t>
      </w:r>
      <w:r>
        <w:t xml:space="preserve">one of them:</w:t>
      </w:r>
    </w:p>
    <w:p>
      <w:pPr>
        <w:pStyle w:val="SourceCode"/>
      </w:pPr>
      <w:r>
        <w:rPr>
          <w:rStyle w:val="VerbatimChar"/>
        </w:rPr>
        <w:t xml:space="preserve">cloglog(psi[i]) = link_occ_intercept[cell[i]] + ... + year_beta * year_occ[i]</w:t>
      </w:r>
    </w:p>
    <w:p>
      <w:pPr>
        <w:pStyle w:val="FirstParagraph"/>
      </w:pPr>
      <w:r>
        <w:t xml:space="preserve">The iNaturalist count submodel carries their sum:</w:t>
      </w:r>
    </w:p>
    <w:p>
      <w:pPr>
        <w:pStyle w:val="SourceCode"/>
      </w:pPr>
      <w:r>
        <w:rPr>
          <w:rStyle w:val="VerbatimChar"/>
        </w:rPr>
        <w:t xml:space="preserve">log(lambda[s])  = ... + total_var_beta * year_vals[t]</w:t>
      </w:r>
      <w:r>
        <w:br/>
      </w:r>
      <w:r>
        <w:rPr>
          <w:rStyle w:val="VerbatimChar"/>
        </w:rPr>
        <w:t xml:space="preserve">total_var_beta  = year_beta + year_var</w:t>
      </w:r>
    </w:p>
    <w:p>
      <w:pPr>
        <w:pStyle w:val="FirstParagraph"/>
      </w:pPr>
      <w:r>
        <w:rPr>
          <w:rStyle w:val="VerbatimChar"/>
        </w:rPr>
        <w:t xml:space="preserve">year_var</w:t>
      </w:r>
      <w:r>
        <w:t xml:space="preserve"> </w:t>
      </w:r>
      <w:r>
        <w:t xml:space="preserve">therefore appears in no camera likelihood term. It is identified by</w:t>
      </w:r>
      <w:r>
        <w:t xml:space="preserve"> </w:t>
      </w:r>
      <w:r>
        <w:t xml:space="preserve">iNaturalist alone, and it is the mechanism by which the two streams’ trends are</w:t>
      </w:r>
      <w:r>
        <w:t xml:space="preserve"> </w:t>
      </w:r>
      <w:r>
        <w:t xml:space="preserve">permitted to diverge — the temporal analogue of the divergence Goldstein et al.</w:t>
      </w:r>
      <w:r>
        <w:t xml:space="preserve"> </w:t>
      </w:r>
      <w:r>
        <w:t xml:space="preserve">build in spatially, where iNaturalist influences the latent intensity only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theta0</w:t>
      </w:r>
      <w:r>
        <w:t xml:space="preserve">/</w:t>
      </w:r>
      <w:r>
        <w:rPr>
          <w:rStyle w:val="VerbatimChar"/>
        </w:rPr>
        <w:t xml:space="preserve">theta1</w:t>
      </w:r>
      <w:r>
        <w:t xml:space="preserve"> </w:t>
      </w:r>
      <w:r>
        <w:t xml:space="preserve">and the camera data is the gold standard. Our fits</w:t>
      </w:r>
      <w:r>
        <w:t xml:space="preserve"> </w:t>
      </w:r>
      <w:r>
        <w:t xml:space="preserve">estimate</w:t>
      </w:r>
      <w:r>
        <w:t xml:space="preserve"> </w:t>
      </w:r>
      <w:r>
        <w:rPr>
          <w:rStyle w:val="VerbatimChar"/>
        </w:rPr>
        <w:t xml:space="preserve">theta1</w:t>
      </w:r>
      <w:r>
        <w:t xml:space="preserve"> </w:t>
      </w:r>
      <w:r>
        <w:t xml:space="preserve">between 0.41 and 0.61 with every interval excluding 1.0, so</w:t>
      </w:r>
      <w:r>
        <w:t xml:space="preserve"> </w:t>
      </w:r>
      <w:r>
        <w:t xml:space="preserve">that attenuation is active and substantial.</w:t>
      </w:r>
    </w:p>
    <w:p>
      <w:pPr>
        <w:pStyle w:val="BodyText"/>
      </w:pPr>
      <w:r>
        <w:t xml:space="preserve">Earlier drafts reported</w:t>
      </w:r>
      <w:r>
        <w:t xml:space="preserve"> </w:t>
      </w:r>
      <w:r>
        <w:rPr>
          <w:rStyle w:val="VerbatimChar"/>
        </w:rPr>
        <w:t xml:space="preserve">total_var_beta</w:t>
      </w:r>
      <w:r>
        <w:t xml:space="preserve">. That is the iNaturalist-side quantity.</w:t>
      </w:r>
      <w:r>
        <w:t xml:space="preserve"> </w:t>
      </w:r>
      <w:r>
        <w:t xml:space="preserve">Following the same rule the ISDM paper applies to occupancy — report the camera</w:t>
      </w:r>
      <w:r>
        <w:t xml:space="preserve"> </w:t>
      </w:r>
      <w:r>
        <w:t xml:space="preserve">submodel’s parameter — the ecological result is</w:t>
      </w:r>
      <w:r>
        <w:t xml:space="preserve"> </w:t>
      </w:r>
      <w:r>
        <w:rPr>
          <w:rStyle w:val="VerbatimChar"/>
          <w:b/>
          <w:bCs/>
        </w:rPr>
        <w:t xml:space="preserve">year_beta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year_var</w:t>
      </w:r>
      <w:r>
        <w:t xml:space="preserve"> </w:t>
      </w:r>
      <w:r>
        <w:t xml:space="preserve">is context: a large</w:t>
      </w:r>
      <w:r>
        <w:t xml:space="preserve"> </w:t>
      </w:r>
      <w:r>
        <w:rPr>
          <w:rStyle w:val="VerbatimChar"/>
        </w:rPr>
        <w:t xml:space="preserve">year_var</w:t>
      </w:r>
      <w:r>
        <w:t xml:space="preserve"> </w:t>
      </w:r>
      <w:r>
        <w:t xml:space="preserve">says the iNaturalist stream diverged, not that</w:t>
      </w:r>
      <w:r>
        <w:t xml:space="preserve"> </w:t>
      </w:r>
      <w:r>
        <w:t xml:space="preserve">the population changed.</w:t>
      </w:r>
    </w:p>
    <w:p>
      <w:pPr>
        <w:pStyle w:val="BodyText"/>
      </w:pPr>
      <w:r>
        <w:t xml:space="preserve">This is a reporting correction on our side, not a defect in the model. The</w:t>
      </w:r>
      <w:r>
        <w:t xml:space="preserve"> </w:t>
      </w:r>
      <w:r>
        <w:t xml:space="preserve">divergence design worked exactly as intended, and bobcat demonstrates it: the</w:t>
      </w:r>
      <w:r>
        <w:t xml:space="preserve"> </w:t>
      </w:r>
      <w:r>
        <w:t xml:space="preserve">camera-anchored trend stayed pinned at zero while</w:t>
      </w:r>
      <w:r>
        <w:t xml:space="preserve"> </w:t>
      </w:r>
      <w:r>
        <w:rPr>
          <w:rStyle w:val="VerbatimChar"/>
        </w:rPr>
        <w:t xml:space="preserve">year_var</w:t>
      </w:r>
      <w:r>
        <w:t xml:space="preserve"> </w:t>
      </w:r>
      <w:r>
        <w:t xml:space="preserve">absorbed the entire</w:t>
      </w:r>
      <w:r>
        <w:t xml:space="preserve"> </w:t>
      </w:r>
      <w:r>
        <w:t xml:space="preserve">iNaturalist decline, rather than the drift contaminating</w:t>
      </w:r>
      <w:r>
        <w:t xml:space="preserve"> </w:t>
      </w:r>
      <w:r>
        <w:rPr>
          <w:rStyle w:val="VerbatimChar"/>
        </w:rPr>
        <w:t xml:space="preserve">year_beta</w:t>
      </w:r>
      <w:r>
        <w:t xml:space="preserve">.</w:t>
      </w:r>
    </w:p>
    <w:bookmarkEnd w:id="9"/>
    <w:bookmarkStart w:id="13" w:name="revised-species-results"/>
    <w:p>
      <w:pPr>
        <w:pStyle w:val="Heading2"/>
      </w:pPr>
      <w:r>
        <w:t xml:space="preserve">2. Revised species results</w:t>
      </w:r>
    </w:p>
    <w:p>
      <w:pPr>
        <w:pStyle w:val="CaptionedFigure"/>
      </w:pPr>
      <w:r>
        <w:drawing>
          <wp:inline>
            <wp:extent cx="5334000" cy="2310541"/>
            <wp:effectExtent b="0" l="0" r="0" t="0"/>
            <wp:docPr descr="Trend decomposition" title="" id="11" name="Picture"/>
            <a:graphic>
              <a:graphicData uri="http://schemas.openxmlformats.org/drawingml/2006/picture">
                <pic:pic>
                  <pic:nvPicPr>
                    <pic:cNvPr descr="fig_trend_decomposition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Trend decomposition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year_beta</w:t>
            </w:r>
            <w:r>
              <w:t xml:space="preserve"> </w:t>
            </w:r>
            <w:r>
              <w:t xml:space="preserve">(camera-anchored)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year_var</w:t>
            </w:r>
            <w:r>
              <w:t xml:space="preserve"> </w:t>
            </w:r>
            <w:r>
              <w:t xml:space="preserve">(iNat-only)</w:t>
            </w:r>
          </w:p>
        </w:tc>
        <w:tc>
          <w:tcPr/>
          <w:p>
            <w:pPr>
              <w:pStyle w:val="Compact"/>
            </w:pPr>
            <w:r>
              <w:t xml:space="preserve">previously 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Bobcat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−0.0001</w:t>
            </w:r>
            <w:r>
              <w:t xml:space="preserve"> </w:t>
            </w:r>
            <w:r>
              <w:t xml:space="preserve">(−0.061, 0.061)</w:t>
            </w:r>
          </w:p>
        </w:tc>
        <w:tc>
          <w:tcPr/>
          <w:p>
            <w:pPr>
              <w:pStyle w:val="Compact"/>
            </w:pPr>
            <w:r>
              <w:t xml:space="preserve">−0.242 (−0.336, −0.150)</w:t>
            </w:r>
          </w:p>
        </w:tc>
        <w:tc>
          <w:tcPr/>
          <w:p>
            <w:pPr>
              <w:pStyle w:val="Compact"/>
            </w:pPr>
            <w:r>
              <w:t xml:space="preserve">−0.242,</w:t>
            </w:r>
            <w:r>
              <w:t xml:space="preserve"> </w:t>
            </w:r>
            <w:r>
              <w:t xml:space="preserve">“clear decline”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White-tailed deer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+0.155</w:t>
            </w:r>
            <w:r>
              <w:t xml:space="preserve"> </w:t>
            </w:r>
            <w:r>
              <w:t xml:space="preserve">(0.116, 0.192)</w:t>
            </w:r>
          </w:p>
        </w:tc>
        <w:tc>
          <w:tcPr/>
          <w:p>
            <w:pPr>
              <w:pStyle w:val="Compact"/>
            </w:pPr>
            <w:r>
              <w:t xml:space="preserve">+0.022 (−0.030, 0.080)</w:t>
            </w:r>
          </w:p>
        </w:tc>
        <w:tc>
          <w:tcPr/>
          <w:p>
            <w:pPr>
              <w:pStyle w:val="Compact"/>
            </w:pPr>
            <w:r>
              <w:t xml:space="preserve">+0.177, increase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−0.121</w:t>
            </w:r>
            <w:r>
              <w:t xml:space="preserve"> </w:t>
            </w:r>
            <w:r>
              <w:t xml:space="preserve">(−0.313, 0.042)</w:t>
            </w:r>
          </w:p>
        </w:tc>
        <w:tc>
          <w:tcPr/>
          <w:p>
            <w:pPr>
              <w:pStyle w:val="Compact"/>
            </w:pPr>
            <w:r>
              <w:t xml:space="preserve">−0.001 (−0.195, 0.206)</w:t>
            </w:r>
          </w:p>
        </w:tc>
        <w:tc>
          <w:tcPr/>
          <w:p>
            <w:pPr>
              <w:pStyle w:val="Compact"/>
            </w:pPr>
            <w:r>
              <w:t xml:space="preserve">−0.121,</w:t>
            </w:r>
            <w:r>
              <w:t xml:space="preserve"> </w:t>
            </w:r>
            <w:r>
              <w:t xml:space="preserve">“significant decline”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Bobcat: no camera-detected trend.</w:t>
      </w:r>
      <w:r>
        <w:t xml:space="preserve"> </w:t>
      </w:r>
      <w:r>
        <w:t xml:space="preserve">The camera-anchored estimate is</w:t>
      </w:r>
      <w:r>
        <w:t xml:space="preserve"> </w:t>
      </w:r>
      <w:r>
        <w:t xml:space="preserve">−0.0001 with a tight interval around zero, and the ecoregion fit agrees</w:t>
      </w:r>
      <w:r>
        <w:t xml:space="preserve"> </w:t>
      </w:r>
      <w:r>
        <w:t xml:space="preserve">(+0.0098, −0.051 to 0.074). The reported 24% decline is entirely the</w:t>
      </w:r>
      <w:r>
        <w:t xml:space="preserve"> </w:t>
      </w:r>
      <w:r>
        <w:t xml:space="preserve">iNaturalist-only term. Under the divergence rule this reads as</w:t>
      </w:r>
      <w:r>
        <w:t xml:space="preserve"> </w:t>
      </w:r>
      <w:r>
        <w:rPr>
          <w:i/>
          <w:iCs/>
        </w:rPr>
        <w:t xml:space="preserve">no trend</w:t>
      </w:r>
      <w:r>
        <w:t xml:space="preserve">, with</w:t>
      </w:r>
      <w:r>
        <w:t xml:space="preserve"> </w:t>
      </w:r>
      <w:r>
        <w:t xml:space="preserve">iNaturalist indicating a decline that the cameras do not corroborate.</w:t>
      </w:r>
    </w:p>
    <w:p>
      <w:pPr>
        <w:pStyle w:val="BodyText"/>
      </w:pPr>
      <w:r>
        <w:rPr>
          <w:b/>
          <w:bCs/>
        </w:rPr>
        <w:t xml:space="preserve">White-tailed deer: an increase, camera-anchored.</w:t>
      </w:r>
      <w:r>
        <w:t xml:space="preserve"> </w:t>
      </w:r>
      <w:r>
        <w:t xml:space="preserve">+0.155 (0.116, 0.192) with</w:t>
      </w:r>
      <w:r>
        <w:t xml:space="preserve"> </w:t>
      </w:r>
      <w:r>
        <w:rPr>
          <w:rStyle w:val="VerbatimChar"/>
        </w:rPr>
        <w:t xml:space="preserve">year_var</w:t>
      </w:r>
      <w:r>
        <w:t xml:space="preserve"> </w:t>
      </w:r>
      <w:r>
        <w:t xml:space="preserve">indistinguishable from zero. This is the project’s one trend that the</w:t>
      </w:r>
      <w:r>
        <w:t xml:space="preserve"> </w:t>
      </w:r>
      <w:r>
        <w:t xml:space="preserve">camera surveys evidence directly, and the revision strengthens rather than</w:t>
      </w:r>
      <w:r>
        <w:t xml:space="preserve"> </w:t>
      </w:r>
      <w:r>
        <w:t xml:space="preserve">weakens it — the result no longer depends on the iNaturalist term at all.</w:t>
      </w:r>
    </w:p>
    <w:p>
      <w:pPr>
        <w:pStyle w:val="BodyText"/>
      </w:pPr>
      <w:r>
        <w:rPr>
          <w:b/>
          <w:bCs/>
        </w:rPr>
        <w:t xml:space="preserve">Moose: declining but unresolved.</w:t>
      </w:r>
      <w:r>
        <w:t xml:space="preserve"> </w:t>
      </w:r>
      <w:r>
        <w:t xml:space="preserve">The camera-anchored interval spans zero in</w:t>
      </w:r>
      <w:r>
        <w:t xml:space="preserve"> </w:t>
      </w:r>
      <w:r>
        <w:t xml:space="preserve">both parameterisations.</w:t>
      </w:r>
      <w:r>
        <w:t xml:space="preserve"> </w:t>
      </w:r>
      <w:r>
        <w:rPr>
          <w:rStyle w:val="VerbatimChar"/>
        </w:rPr>
        <w:t xml:space="preserve">total_var_beta</w:t>
      </w:r>
      <w:r>
        <w:t xml:space="preserve"> </w:t>
      </w:r>
      <w:r>
        <w:t xml:space="preserve">excluded zero in the national fit only</w:t>
      </w:r>
      <w:r>
        <w:t xml:space="preserve"> </w:t>
      </w:r>
      <w:r>
        <w:t xml:space="preserve">because the two components trade off in the posterior; note it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exclude zero in the ecoregion fit (−0.342, 0.088), so even the old headline was</w:t>
      </w:r>
      <w:r>
        <w:t xml:space="preserve"> </w:t>
      </w:r>
      <w:r>
        <w:t xml:space="preserve">parameterisation-dependent for moose.</w:t>
      </w:r>
    </w:p>
    <w:p>
      <w:pPr>
        <w:pStyle w:val="BodyText"/>
      </w:pPr>
      <w:r>
        <w:rPr>
          <w:b/>
          <w:bCs/>
        </w:rPr>
        <w:t xml:space="preserve">A robustness result worth keeping.</w:t>
      </w:r>
      <w:r>
        <w:t xml:space="preserve"> </w:t>
      </w:r>
      <w:r>
        <w:rPr>
          <w:rStyle w:val="VerbatimChar"/>
        </w:rPr>
        <w:t xml:space="preserve">year_beta</w:t>
      </w:r>
      <w:r>
        <w:t xml:space="preserve"> </w:t>
      </w:r>
      <w:r>
        <w:t xml:space="preserve">barely moves between</w:t>
      </w:r>
      <w:r>
        <w:t xml:space="preserve"> </w:t>
      </w:r>
      <w:r>
        <w:t xml:space="preserve">parameterisations — bobcat −0.0001 vs +0.0098, deer +0.155 vs +0.157, moose</w:t>
      </w:r>
      <w:r>
        <w:t xml:space="preserve"> </w:t>
      </w:r>
      <w:r>
        <w:t xml:space="preserve">−0.121 vs −0.109 — because the camera submodel is identical in both. The</w:t>
      </w:r>
      <w:r>
        <w:t xml:space="preserve"> </w:t>
      </w:r>
      <w:r>
        <w:t xml:space="preserve">camera-anchored trend is insensitive to a modelling choice that visibly moves</w:t>
      </w:r>
      <w:r>
        <w:t xml:space="preserve"> </w:t>
      </w:r>
      <w:r>
        <w:t xml:space="preserve">the iNaturalist-side total.</w:t>
      </w:r>
    </w:p>
    <w:bookmarkEnd w:id="13"/>
    <w:bookmarkStart w:id="14" w:name="X157c0f8def5e88bcb337b537e030f73d2982f32"/>
    <w:p>
      <w:pPr>
        <w:pStyle w:val="Heading2"/>
      </w:pPr>
      <w:r>
        <w:t xml:space="preserve">3. Regional trends have no camera-anchored version</w:t>
      </w:r>
    </w:p>
    <w:p>
      <w:pPr>
        <w:pStyle w:val="FirstParagraph"/>
      </w:pPr>
      <w:r>
        <w:t xml:space="preserve">This is a consequence of the same structure and it is more restrictive than the</w:t>
      </w:r>
      <w:r>
        <w:t xml:space="preserve"> </w:t>
      </w:r>
      <w:r>
        <w:t xml:space="preserve">national case. In</w:t>
      </w:r>
      <w:r>
        <w:t xml:space="preserve"> </w:t>
      </w:r>
      <w:r>
        <w:rPr>
          <w:rStyle w:val="VerbatimChar"/>
        </w:rPr>
        <w:t xml:space="preserve">model_code_ecoregion_trend.R</w:t>
      </w:r>
      <w:r>
        <w:t xml:space="preserve"> </w:t>
      </w:r>
      <w:r>
        <w:t xml:space="preserve">the regional deviation enters</w:t>
      </w:r>
      <w:r>
        <w:t xml:space="preserve"> </w:t>
      </w:r>
      <w:r>
        <w:t xml:space="preserve">the iNaturalist likelihood only:</w:t>
      </w:r>
    </w:p>
    <w:p>
      <w:pPr>
        <w:pStyle w:val="SourceCode"/>
      </w:pPr>
      <w:r>
        <w:rPr>
          <w:rStyle w:val="VerbatimChar"/>
        </w:rPr>
        <w:t xml:space="preserve">total_var_beta = total_var_beta + year_effect[inat_cell100[g]]    # iNat side</w:t>
      </w:r>
      <w:r>
        <w:br/>
      </w:r>
      <w:r>
        <w:rPr>
          <w:rStyle w:val="VerbatimChar"/>
        </w:rPr>
        <w:t xml:space="preserve">year_beta * year_occ[i]                                          # camera side</w:t>
      </w:r>
    </w:p>
    <w:p>
      <w:pPr>
        <w:pStyle w:val="FirstParagraph"/>
      </w:pPr>
      <w:r>
        <w:t xml:space="preserve">The camera submodel carries the global</w:t>
      </w:r>
      <w:r>
        <w:t xml:space="preserve"> </w:t>
      </w:r>
      <w:r>
        <w:rPr>
          <w:rStyle w:val="VerbatimChar"/>
        </w:rPr>
        <w:t xml:space="preserve">year_beta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no regional term at</w:t>
      </w:r>
      <w:r>
        <w:rPr>
          <w:b/>
          <w:bCs/>
        </w:rPr>
        <w:t xml:space="preserve"> </w:t>
      </w:r>
      <w:r>
        <w:rPr>
          <w:b/>
          <w:bCs/>
        </w:rPr>
        <w:t xml:space="preserve">all</w:t>
      </w:r>
      <w:r>
        <w:t xml:space="preserve">.</w:t>
      </w:r>
      <w:r>
        <w:t xml:space="preserve"> </w:t>
      </w:r>
      <w:r>
        <w:rPr>
          <w:rStyle w:val="VerbatimChar"/>
        </w:rPr>
        <w:t xml:space="preserve">year_region</w:t>
      </w:r>
      <w:r>
        <w:t xml:space="preserve"> </w:t>
      </w:r>
      <w:r>
        <w:t xml:space="preserve">is therefore identified by iNaturalist alone, and</w:t>
      </w:r>
      <w:r>
        <w:t xml:space="preserve"> </w:t>
      </w:r>
      <w:r>
        <w:rPr>
          <w:rStyle w:val="VerbatimChar"/>
        </w:rPr>
        <w:t xml:space="preserve">abs_trend_mean</w:t>
      </w:r>
      <w:r>
        <w:t xml:space="preserve"> </w:t>
      </w:r>
      <w:r>
        <w:t xml:space="preserve">in the ecoregion outputs is</w:t>
      </w:r>
      <w:r>
        <w:t xml:space="preserve"> </w:t>
      </w:r>
      <w:r>
        <w:rPr>
          <w:rStyle w:val="VerbatimChar"/>
        </w:rPr>
        <w:t xml:space="preserve">total_var_beta + year_region</w:t>
      </w:r>
      <w:r>
        <w:t xml:space="preserve"> </w:t>
      </w:r>
      <w:r>
        <w:t xml:space="preserve">—</w:t>
      </w:r>
      <w:r>
        <w:t xml:space="preserve"> </w:t>
      </w:r>
      <w:r>
        <w:t xml:space="preserve">wholly an iNaturalist-side quantity.</w:t>
      </w:r>
    </w:p>
    <w:p>
      <w:pPr>
        <w:pStyle w:val="BodyText"/>
      </w:pPr>
      <w:r>
        <w:t xml:space="preserve">So there is no camera-anchored regional trend to report, and none can be</w:t>
      </w:r>
      <w:r>
        <w:t xml:space="preserve"> </w:t>
      </w:r>
      <w:r>
        <w:t xml:space="preserve">obtained from these fits. The regional trend maps carry exactly the caveat</w:t>
      </w:r>
      <w:r>
        <w:t xml:space="preserve"> </w:t>
      </w:r>
      <w:r>
        <w:t xml:space="preserve">bobcat’s national trend carries, by construction rather than by accident. They</w:t>
      </w:r>
      <w:r>
        <w:t xml:space="preserve"> </w:t>
      </w:r>
      <w:r>
        <w:t xml:space="preserve">should be labelled as iNaturalist-side spatial variation in trend, not</w:t>
      </w:r>
      <w:r>
        <w:t xml:space="preserve"> </w:t>
      </w:r>
      <w:r>
        <w:t xml:space="preserve">presented as regional population trends. Producing a camera-corroborated</w:t>
      </w:r>
      <w:r>
        <w:t xml:space="preserve"> </w:t>
      </w:r>
      <w:r>
        <w:t xml:space="preserve">regional trend would require adding a regional deviation to the occupancy</w:t>
      </w:r>
      <w:r>
        <w:t xml:space="preserve"> </w:t>
      </w:r>
      <w:r>
        <w:t xml:space="preserve">submodel — a model change, not a re-extraction.</w:t>
      </w:r>
    </w:p>
    <w:bookmarkEnd w:id="14"/>
    <w:bookmarkStart w:id="15" w:name="X7a61fcc25e2933d06012356f396770ce8e8ef73"/>
    <w:p>
      <w:pPr>
        <w:pStyle w:val="Heading2"/>
      </w:pPr>
      <w:r>
        <w:t xml:space="preserve">4. Abundance surfaces: the spatial pattern stands, the change does not</w:t>
      </w:r>
    </w:p>
    <w:p>
      <w:pPr>
        <w:pStyle w:val="FirstParagraph"/>
      </w:pPr>
      <w:r>
        <w:rPr>
          <w:rStyle w:val="VerbatimChar"/>
        </w:rPr>
        <w:t xml:space="preserve">mu</w:t>
      </w:r>
      <w:r>
        <w:t xml:space="preserve"> </w:t>
      </w:r>
      <w:r>
        <w:t xml:space="preserve">is built from</w:t>
      </w:r>
      <w:r>
        <w:t xml:space="preserve"> </w:t>
      </w:r>
      <w:r>
        <w:rPr>
          <w:rStyle w:val="VerbatimChar"/>
        </w:rPr>
        <w:t xml:space="preserve">log(lambda)</w:t>
      </w:r>
      <w:r>
        <w:t xml:space="preserve">, which contains</w:t>
      </w:r>
      <w:r>
        <w:t xml:space="preserve"> </w:t>
      </w:r>
      <w:r>
        <w:rPr>
          <w:rStyle w:val="VerbatimChar"/>
        </w:rPr>
        <w:t xml:space="preserve">total_var_beta * year</w:t>
      </w:r>
      <w:r>
        <w:t xml:space="preserve">. The</w:t>
      </w:r>
      <w:r>
        <w:t xml:space="preserve"> </w:t>
      </w:r>
      <w:r>
        <w:rPr>
          <w:i/>
          <w:iCs/>
        </w:rPr>
        <w:t xml:space="preserve">temporal change</w:t>
      </w:r>
      <w:r>
        <w:t xml:space="preserve"> </w:t>
      </w:r>
      <w:r>
        <w:t xml:space="preserve">in the abundance surfaces is therefore driven by the</w:t>
      </w:r>
      <w:r>
        <w:t xml:space="preserve"> </w:t>
      </w:r>
      <w:r>
        <w:t xml:space="preserve">iNaturalist-side total, and bobcat’s median −24.3% change panel is the same</w:t>
      </w:r>
      <w:r>
        <w:t xml:space="preserve"> </w:t>
      </w:r>
      <w:r>
        <w:t xml:space="preserve">uncorroborated signal in map form. The</w:t>
      </w:r>
      <w:r>
        <w:t xml:space="preserve"> </w:t>
      </w:r>
      <w:r>
        <w:rPr>
          <w:i/>
          <w:iCs/>
        </w:rPr>
        <w:t xml:space="preserve">spatial</w:t>
      </w:r>
      <w:r>
        <w:t xml:space="preserve"> </w:t>
      </w:r>
      <w:r>
        <w:t xml:space="preserve">pattern in any single year is</w:t>
      </w:r>
      <w:r>
        <w:t xml:space="preserve"> </w:t>
      </w:r>
      <w:r>
        <w:t xml:space="preserve">camera-informed through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’s spatial terms and is unaffected. Keep the</w:t>
      </w:r>
      <w:r>
        <w:t xml:space="preserve"> </w:t>
      </w:r>
      <w:r>
        <w:t xml:space="preserve">per-year surfaces; either drop the change column or label it explicitly as</w:t>
      </w:r>
      <w:r>
        <w:t xml:space="preserve"> </w:t>
      </w:r>
      <w:r>
        <w:t xml:space="preserve">iNaturalist-side.</w:t>
      </w:r>
    </w:p>
    <w:bookmarkEnd w:id="15"/>
    <w:bookmarkStart w:id="19" w:name="revised-simulation-interpretation"/>
    <w:p>
      <w:pPr>
        <w:pStyle w:val="Heading2"/>
      </w:pPr>
      <w:r>
        <w:t xml:space="preserve">5. Revised simulation interpretation</w:t>
      </w:r>
    </w:p>
    <w:p>
      <w:pPr>
        <w:pStyle w:val="CaptionedFigure"/>
      </w:pPr>
      <w:r>
        <w:drawing>
          <wp:inline>
            <wp:extent cx="5334000" cy="2277883"/>
            <wp:effectExtent b="0" l="0" r="0" t="0"/>
            <wp:docPr descr="Simulation components" title="" id="17" name="Picture"/>
            <a:graphic>
              <a:graphicData uri="http://schemas.openxmlformats.org/drawingml/2006/picture">
                <pic:pic>
                  <pic:nvPicPr>
                    <pic:cNvPr descr="fig_sim_component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7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Simulation components</w:t>
      </w:r>
    </w:p>
    <w:p>
      <w:pPr>
        <w:pStyle w:val="BodyText"/>
      </w:pPr>
      <w:r>
        <w:t xml:space="preserve">The sweep scored bias, interval width, coverage, power and false-positive rate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total_var_beta</w:t>
      </w:r>
      <w:r>
        <w:t xml:space="preserve">. Decomposed, the four arms agree closely on</w:t>
      </w:r>
      <w:r>
        <w:t xml:space="preserve"> </w:t>
      </w:r>
      <w:r>
        <w:rPr>
          <w:rStyle w:val="VerbatimChar"/>
        </w:rPr>
        <w:t xml:space="preserve">year_beta</w:t>
      </w:r>
      <w:r>
        <w:t xml:space="preserve"> </w:t>
      </w:r>
      <w:r>
        <w:t xml:space="preserve">and</w:t>
      </w:r>
      <w:r>
        <w:t xml:space="preserve"> </w:t>
      </w:r>
      <w:r>
        <w:t xml:space="preserve">diverge on</w:t>
      </w:r>
      <w:r>
        <w:t xml:space="preserve"> </w:t>
      </w:r>
      <w:r>
        <w:rPr>
          <w:rStyle w:val="VerbatimChar"/>
        </w:rPr>
        <w:t xml:space="preserve">year_var</w:t>
      </w:r>
      <w:r>
        <w:t xml:space="preserve">. At deer-like abundance the two camera-level arms differ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0.002</w:t>
      </w:r>
      <w:r>
        <w:t xml:space="preserve"> </w:t>
      </w:r>
      <w:r>
        <w:t xml:space="preserve">on the camera-anchored trend and by</w:t>
      </w:r>
      <w:r>
        <w:t xml:space="preserve"> </w:t>
      </w:r>
      <w:r>
        <w:rPr>
          <w:b/>
          <w:bCs/>
        </w:rPr>
        <w:t xml:space="preserve">0.455</w:t>
      </w:r>
      <w:r>
        <w:t xml:space="preserve"> </w:t>
      </w:r>
      <w:r>
        <w:t xml:space="preserve">on the iNaturalist</w:t>
      </w:r>
      <w:r>
        <w:t xml:space="preserve"> </w:t>
      </w:r>
      <w:r>
        <w:t xml:space="preserve">term.</w:t>
      </w:r>
    </w:p>
    <w:p>
      <w:pPr>
        <w:pStyle w:val="BodyText"/>
      </w:pPr>
      <w:r>
        <w:rPr>
          <w:b/>
          <w:bCs/>
        </w:rPr>
        <w:t xml:space="preserve">Retracted as stated:</w:t>
      </w:r>
      <w:r>
        <w:t xml:space="preserve"> </w:t>
      </w:r>
      <w:r>
        <w:t xml:space="preserve">“camera occupancy overstates declines 3–6× at deer</w:t>
      </w:r>
      <w:r>
        <w:t xml:space="preserve"> </w:t>
      </w:r>
      <w:r>
        <w:t xml:space="preserve">abundance.”</w:t>
      </w:r>
      <w:r>
        <w:t xml:space="preserve"> </w:t>
      </w:r>
      <w:r>
        <w:t xml:space="preserve">That is a statement about</w:t>
      </w:r>
      <w:r>
        <w:t xml:space="preserve"> </w:t>
      </w:r>
      <w:r>
        <w:rPr>
          <w:rStyle w:val="VerbatimChar"/>
        </w:rPr>
        <w:t xml:space="preserve">year_var</w:t>
      </w:r>
      <w:r>
        <w:t xml:space="preserve">, not about the trend we report.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year_beta</w:t>
      </w:r>
      <w:r>
        <w:t xml:space="preserve"> </w:t>
      </w:r>
      <w:r>
        <w:t xml:space="preserve">the two camera arms are indistinguishable at every abundance</w:t>
      </w:r>
      <w:r>
        <w:t xml:space="preserve"> </w:t>
      </w:r>
      <w:r>
        <w:t xml:space="preserve">level (gaps of 0.015, 0.061, 0.002).</w:t>
      </w:r>
    </w:p>
    <w:p>
      <w:pPr>
        <w:pStyle w:val="BodyText"/>
      </w:pPr>
      <w:r>
        <w:rPr>
          <w:b/>
          <w:bCs/>
        </w:rPr>
        <w:t xml:space="preserve">What survives, and is the sweep’s real result: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aggregation</w:t>
      </w:r>
      <w:r>
        <w:t xml:space="preserve"> </w:t>
      </w:r>
      <w:r>
        <w:t xml:space="preserve">effect, not</w:t>
      </w:r>
      <w:r>
        <w:t xml:space="preserve"> </w:t>
      </w:r>
      <w:r>
        <w:t xml:space="preserve">the estimator effect. Array-level occupancy’s</w:t>
      </w:r>
      <w:r>
        <w:t xml:space="preserve"> </w:t>
      </w:r>
      <w:r>
        <w:rPr>
          <w:rStyle w:val="VerbatimChar"/>
        </w:rPr>
        <w:t xml:space="preserve">year_beta</w:t>
      </w:r>
      <w:r>
        <w:t xml:space="preserve"> </w:t>
      </w:r>
      <w:r>
        <w:t xml:space="preserve">reaches −0.222 at</w:t>
      </w:r>
      <w:r>
        <w:t xml:space="preserve"> </w:t>
      </w:r>
      <w:r>
        <w:t xml:space="preserve">deer-like and −0.298 at intermediate abundance, while both camera-level arms</w:t>
      </w:r>
      <w:r>
        <w:t xml:space="preserve"> </w:t>
      </w:r>
      <w:r>
        <w:t xml:space="preserve">stay within 0.06. Array-level aggregation genuinely damages the camera-anchored</w:t>
      </w:r>
      <w:r>
        <w:t xml:space="preserve"> </w:t>
      </w:r>
      <w:r>
        <w:t xml:space="preserve">trend; camera-level occupancy does not. This was previously confounded with the</w:t>
      </w:r>
      <w:r>
        <w:t xml:space="preserve"> </w:t>
      </w:r>
      <w:r>
        <w:t xml:space="preserve">occupancy-versus-Royle-Nichols comparison and now separates cleanly.</w:t>
      </w:r>
    </w:p>
    <w:p>
      <w:pPr>
        <w:pStyle w:val="BodyText"/>
      </w:pPr>
      <w:r>
        <w:t xml:space="preserve">Also unaffected: the finding that detection rate is the wrong lens for judging</w:t>
      </w:r>
      <w:r>
        <w:t xml:space="preserve"> </w:t>
      </w:r>
      <w:r>
        <w:t xml:space="preserve">these estimators, since it conflates bias with precision.</w:t>
      </w:r>
    </w:p>
    <w:p>
      <w:pPr>
        <w:pStyle w:val="BodyText"/>
      </w:pPr>
      <w:r>
        <w:rPr>
          <w:b/>
          <w:bCs/>
        </w:rPr>
        <w:t xml:space="preserve">A limit on how far this can be taken.</w:t>
      </w:r>
      <w:r>
        <w:t xml:space="preserve"> </w:t>
      </w:r>
      <w:r>
        <w:t xml:space="preserve">Truth was recorded only for the sum</w:t>
      </w:r>
      <w:r>
        <w:t xml:space="preserve"> </w:t>
      </w:r>
      <w:r>
        <w:t xml:space="preserve">(</w:t>
      </w:r>
      <w:r>
        <w:rPr>
          <w:rStyle w:val="VerbatimChar"/>
        </w:rPr>
        <w:t xml:space="preserve">tvb_true</w:t>
      </w:r>
      <w:r>
        <w:t xml:space="preserve"> </w:t>
      </w:r>
      <w:r>
        <w:t xml:space="preserve">= −0.1795). The split was set from a real fit’s posterior means</w:t>
      </w:r>
      <w:r>
        <w:t xml:space="preserve"> </w:t>
      </w:r>
      <w:r>
        <w:t xml:space="preserve">(</w:t>
      </w:r>
      <w:r>
        <w:rPr>
          <w:rStyle w:val="VerbatimChar"/>
        </w:rPr>
        <w:t xml:space="preserve">sim_helpers.R</w:t>
      </w:r>
      <w:r>
        <w:t xml:space="preserve">:</w:t>
      </w:r>
      <w:r>
        <w:t xml:space="preserve"> </w:t>
      </w:r>
      <w:r>
        <w:rPr>
          <w:rStyle w:val="VerbatimChar"/>
        </w:rPr>
        <w:t xml:space="preserve">year_beta = rp$year_beta, year_var = rp$year_var</w:t>
      </w:r>
      <w:r>
        <w:t xml:space="preserve">) but never</w:t>
      </w:r>
      <w:r>
        <w:t xml:space="preserve"> </w:t>
      </w:r>
      <w:r>
        <w:t xml:space="preserve">written out, so no arm can be called unbiased on</w:t>
      </w:r>
      <w:r>
        <w:t xml:space="preserve"> </w:t>
      </w:r>
      <w:r>
        <w:rPr>
          <w:rStyle w:val="VerbatimChar"/>
        </w:rPr>
        <w:t xml:space="preserve">year_beta</w:t>
      </w:r>
      <w:r>
        <w:t xml:space="preserve"> </w:t>
      </w:r>
      <w:r>
        <w:t xml:space="preserve">— only compared</w:t>
      </w:r>
      <w:r>
        <w:t xml:space="preserve"> </w:t>
      </w:r>
      <w:r>
        <w:t xml:space="preserve">with the others. Recovering that one number completes the re-scoring from rows</w:t>
      </w:r>
      <w:r>
        <w:t xml:space="preserve"> </w:t>
      </w:r>
      <w:r>
        <w:t xml:space="preserve">already on disk.</w:t>
      </w:r>
    </w:p>
    <w:p>
      <w:pPr>
        <w:pStyle w:val="BodyText"/>
      </w:pPr>
      <w:r>
        <w:rPr>
          <w:b/>
          <w:bCs/>
        </w:rPr>
        <w:t xml:space="preserve">And a scope limit on the whole sweep.</w:t>
      </w:r>
      <w:r>
        <w:t xml:space="preserve"> </w:t>
      </w:r>
      <w:r>
        <w:t xml:space="preserve">Replicates were generated from</w:t>
      </w:r>
      <w:r>
        <w:t xml:space="preserve"> </w:t>
      </w:r>
      <w:r>
        <w:rPr>
          <w:rStyle w:val="VerbatimChar"/>
        </w:rPr>
        <w:t xml:space="preserve">model_code_national_scalar</w:t>
      </w:r>
      <w:r>
        <w:t xml:space="preserve"> </w:t>
      </w:r>
      <w:r>
        <w:t xml:space="preserve">— the occupancy model — so the simulated data carry</w:t>
      </w:r>
      <w:r>
        <w:t xml:space="preserve"> </w:t>
      </w:r>
      <w:r>
        <w:t xml:space="preserve">Poisson-consistent heterogeneity. The sweep answers</w:t>
      </w:r>
      <w:r>
        <w:t xml:space="preserve"> </w:t>
      </w:r>
      <w:r>
        <w:t xml:space="preserve">“if the occupancy model is</w:t>
      </w:r>
      <w:r>
        <w:t xml:space="preserve"> </w:t>
      </w:r>
      <w:r>
        <w:t xml:space="preserve">true, which estimator recovers the trend best.”</w:t>
      </w:r>
      <w:r>
        <w:t xml:space="preserve"> </w:t>
      </w:r>
      <w:r>
        <w:t xml:space="preserve">It does not answer</w:t>
      </w:r>
      <w:r>
        <w:t xml:space="preserve"> </w:t>
      </w:r>
      <w:r>
        <w:t xml:space="preserve">“which</w:t>
      </w:r>
      <w:r>
        <w:t xml:space="preserve"> </w:t>
      </w:r>
      <w:r>
        <w:t xml:space="preserve">estimator works on our data,”</w:t>
      </w:r>
      <w:r>
        <w:t xml:space="preserve"> </w:t>
      </w:r>
      <w:r>
        <w:t xml:space="preserve">and in particular it never exposed Royle-Nichols</w:t>
      </w:r>
      <w:r>
        <w:t xml:space="preserve"> </w:t>
      </w:r>
      <w:r>
        <w:t xml:space="preserve">to the overdispersion measured in Section 6. Worth noting that Royle-Nichols was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misspecified</w:t>
      </w:r>
      <w:r>
        <w:t xml:space="preserve"> </w:t>
      </w:r>
      <w:r>
        <w:t xml:space="preserve">model there and still matched the correctly-specified one,</w:t>
      </w:r>
      <w:r>
        <w:t xml:space="preserve"> </w:t>
      </w:r>
      <w:r>
        <w:t xml:space="preserve">which is evidence for its robustness on trends.</w:t>
      </w:r>
    </w:p>
    <w:bookmarkEnd w:id="19"/>
    <w:bookmarkStart w:id="23" w:name="Xb078c9bc387e82c56bad82d8d4df17f86e6e47a"/>
    <w:p>
      <w:pPr>
        <w:pStyle w:val="Heading2"/>
      </w:pPr>
      <w:r>
        <w:t xml:space="preserve">6. Royle-Nichols is not a drop-in alternative</w:t>
      </w:r>
    </w:p>
    <w:p>
      <w:pPr>
        <w:pStyle w:val="CaptionedFigure"/>
      </w:pPr>
      <w:r>
        <w:drawing>
          <wp:inline>
            <wp:extent cx="5334000" cy="2801094"/>
            <wp:effectExtent b="0" l="0" r="0" t="0"/>
            <wp:docPr descr="Estimator choice diagnostic" title="" id="21" name="Picture"/>
            <a:graphic>
              <a:graphicData uri="http://schemas.openxmlformats.org/drawingml/2006/picture">
                <pic:pic>
                  <pic:nvPicPr>
                    <pic:cNvPr descr="fig_estimator_choic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1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Estimator choice diagnostic</w:t>
      </w:r>
    </w:p>
    <w:p>
      <w:pPr>
        <w:pStyle w:val="BodyText"/>
      </w:pPr>
      <w:r>
        <w:t xml:space="preserve">Occupancy saturates:</w:t>
      </w:r>
      <w:r>
        <w:t xml:space="preserve"> </w:t>
      </w:r>
      <w:r>
        <w:rPr>
          <w:rStyle w:val="VerbatimChar"/>
        </w:rPr>
        <w:t xml:space="preserve">psi = 1 − exp(−lambda)</w:t>
      </w:r>
      <w:r>
        <w:t xml:space="preserve">, so its information about</w:t>
      </w:r>
      <w:r>
        <w:t xml:space="preserve"> </w:t>
      </w:r>
      <w:r>
        <w:rPr>
          <w:rStyle w:val="VerbatimChar"/>
        </w:rPr>
        <w:t xml:space="preserve">log(lambda)</w:t>
      </w:r>
      <w:r>
        <w:t xml:space="preserve"> </w:t>
      </w:r>
      <w:r>
        <w:t xml:space="preserve">collapses once most sites are near-certain detections. That is a</w:t>
      </w:r>
      <w:r>
        <w:t xml:space="preserve"> </w:t>
      </w:r>
      <w:r>
        <w:t xml:space="preserve">real limitation, and it is species-specific. From the fitted per-site</w:t>
      </w:r>
      <w:r>
        <w:t xml:space="preserve"> </w:t>
      </w:r>
      <w:r>
        <w:rPr>
          <w:rStyle w:val="VerbatimChar"/>
        </w:rPr>
        <w:t xml:space="preserve">psi</w:t>
      </w:r>
      <w:r>
        <w:t xml:space="preserve">,</w:t>
      </w:r>
      <w:r>
        <w:t xml:space="preserve"> </w:t>
      </w:r>
      <w:r>
        <w:t xml:space="preserve">white-tailed deer sits at a median of 0.952 with 68.2% of sites above 0.9 and</w:t>
      </w:r>
      <w:r>
        <w:t xml:space="preserve"> </w:t>
      </w:r>
      <w:r>
        <w:t xml:space="preserve">half above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= 3; bobcat (0.156) and moose (0.033) are far from</w:t>
      </w:r>
      <w:r>
        <w:t xml:space="preserve"> </w:t>
      </w:r>
      <w:r>
        <w:t xml:space="preserve">saturation and are in occupancy’s</w:t>
      </w:r>
      <w:r>
        <w:t xml:space="preserve"> </w:t>
      </w:r>
      <w:r>
        <w:rPr>
          <w:i/>
          <w:iCs/>
        </w:rPr>
        <w:t xml:space="preserve">better</w:t>
      </w:r>
      <w:r>
        <w:t xml:space="preserve"> </w:t>
      </w:r>
      <w:r>
        <w:t xml:space="preserve">operating range. Range-restricted</w:t>
      </w:r>
      <w:r>
        <w:t xml:space="preserve"> </w:t>
      </w:r>
      <w:r>
        <w:t xml:space="preserve">naive occupancy across all 34 fleet species puts deer at 0.794 and the next</w:t>
      </w:r>
      <w:r>
        <w:t xml:space="preserve"> </w:t>
      </w:r>
      <w:r>
        <w:t xml:space="preserve">species — eastern gray squirrel — at 0.478, so deer is an outlier rather than</w:t>
      </w:r>
      <w:r>
        <w:t xml:space="preserve"> </w:t>
      </w:r>
      <w:r>
        <w:t xml:space="preserve">the top of a gradient. Commonly-detected species such as gray squirrel and</w:t>
      </w:r>
      <w:r>
        <w:t xml:space="preserve"> </w:t>
      </w:r>
      <w:r>
        <w:t xml:space="preserve">raccoon are near occupancy’s most informative point, not past it.</w:t>
      </w:r>
    </w:p>
    <w:p>
      <w:pPr>
        <w:pStyle w:val="BodyText"/>
      </w:pPr>
      <w:r>
        <w:t xml:space="preserve">Royle-Nichols avoids saturation by reading detection frequency, but its</w:t>
      </w:r>
      <w:r>
        <w:t xml:space="preserve"> </w:t>
      </w:r>
      <w:r>
        <w:t xml:space="preserve">observation model does not fit our camera data. Comparing two statistics among</w:t>
      </w:r>
      <w:r>
        <w:t xml:space="preserve"> </w:t>
      </w:r>
      <w:r>
        <w:t xml:space="preserve">detecting deployments — mean fraction of 10-day windows with a detection, and</w:t>
      </w:r>
      <w:r>
        <w:t xml:space="preserve"> </w:t>
      </w:r>
      <w:r>
        <w:t xml:space="preserve">fraction of deployments detecting in every window — against the region</w:t>
      </w:r>
      <w:r>
        <w:t xml:space="preserve"> </w:t>
      </w:r>
      <w:r>
        <w:t xml:space="preserve">reachable by RN over all</w:t>
      </w:r>
      <w:r>
        <w:t xml:space="preserve"> </w:t>
      </w:r>
      <w:r>
        <w:rPr>
          <w:rStyle w:val="VerbatimChar"/>
        </w:rPr>
        <w:t xml:space="preserve">(lambda, r)</w:t>
      </w:r>
      <w:r>
        <w:t xml:space="preserve">:</w:t>
      </w:r>
      <w:r>
        <w:t xml:space="preserve"> </w:t>
      </w:r>
      <w:r>
        <w:rPr>
          <w:b/>
          <w:bCs/>
        </w:rPr>
        <w:t xml:space="preserve">69 of 78 species-by-window-count cases</w:t>
      </w:r>
      <w:r>
        <w:rPr>
          <w:b/>
          <w:bCs/>
        </w:rPr>
        <w:t xml:space="preserve"> </w:t>
      </w:r>
      <w:r>
        <w:rPr>
          <w:b/>
          <w:bCs/>
        </w:rPr>
        <w:t xml:space="preserve">fall above the reachable band</w:t>
      </w:r>
      <w:r>
        <w:t xml:space="preserve">, 2 inside, and 7 below of which 6 are sampling</w:t>
      </w:r>
      <w:r>
        <w:t xml:space="preserve"> </w:t>
      </w:r>
      <w:r>
        <w:t xml:space="preserve">zeros against an RN ceiling of 0.003 or less. Real detections are more polarised</w:t>
      </w:r>
      <w:r>
        <w:t xml:space="preserve"> </w:t>
      </w:r>
      <w:r>
        <w:t xml:space="preserve">than Poisson abundance with constant per-individual detectability can generate.</w:t>
      </w:r>
    </w:p>
    <w:p>
      <w:pPr>
        <w:pStyle w:val="BodyText"/>
      </w:pPr>
      <w:r>
        <w:t xml:space="preserve">Two further limits worth stating.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are not separately identified</w:t>
      </w:r>
      <w:r>
        <w:t xml:space="preserve"> </w:t>
      </w:r>
      <w:r>
        <w:t xml:space="preserve">from these data at our window counts — at J=4, (25, 0.03) and (0.11, 0.52)</w:t>
      </w:r>
      <w:r>
        <w:t xml:space="preserve"> </w:t>
      </w:r>
      <w:r>
        <w:t xml:space="preserve">reproduce the same two moments to machine precision — so no per-species</w:t>
      </w:r>
      <w:r>
        <w:t xml:space="preserve"> </w:t>
      </w:r>
      <w:r>
        <w:t xml:space="preserve">abundance cutoff can be derived this way. And the band is built from two summary</w:t>
      </w:r>
      <w:r>
        <w:t xml:space="preserve"> </w:t>
      </w:r>
      <w:r>
        <w:t xml:space="preserve">statistics rather than the full detection-history likelihood; a proper</w:t>
      </w:r>
      <w:r>
        <w:t xml:space="preserve"> </w:t>
      </w:r>
      <w:r>
        <w:t xml:space="preserve">goodness-of-fit test would probably reject harder, but not in the other</w:t>
      </w:r>
      <w:r>
        <w:t xml:space="preserve"> </w:t>
      </w:r>
      <w:r>
        <w:t xml:space="preserve">direction.</w:t>
      </w:r>
    </w:p>
    <w:p>
      <w:pPr>
        <w:pStyle w:val="BodyText"/>
      </w:pPr>
      <w:r>
        <w:t xml:space="preserve">Candidate alternatives, in the order we would try them: a detection-rate count</w:t>
      </w:r>
      <w:r>
        <w:t xml:space="preserve"> </w:t>
      </w:r>
      <w:r>
        <w:t xml:space="preserve">model (negative binomial on events per camera-night, which gives both streams</w:t>
      </w:r>
      <w:r>
        <w:t xml:space="preserve"> </w:t>
      </w:r>
      <w:r>
        <w:t xml:space="preserve">the same form and no saturation, at the cost of conflating abundance with</w:t>
      </w:r>
      <w:r>
        <w:t xml:space="preserve"> </w:t>
      </w:r>
      <w:r>
        <w:t xml:space="preserve">activity); Royle-Nichols with negative-binomial abundance; or Royle-Nichols with</w:t>
      </w:r>
      <w:r>
        <w:t xml:space="preserve"> </w:t>
      </w:r>
      <w:r>
        <w:t xml:space="preserve">a site-level random effect on</w:t>
      </w:r>
      <w:r>
        <w:t xml:space="preserve"> </w:t>
      </w:r>
      <w:r>
        <w:rPr>
          <w:rStyle w:val="VerbatimChar"/>
        </w:rPr>
        <w:t xml:space="preserve">r</w:t>
      </w:r>
      <w:r>
        <w:t xml:space="preserve">, which is testable rather than assumed since</w:t>
      </w:r>
      <w:r>
        <w:t xml:space="preserve"> </w:t>
      </w:r>
      <w:r>
        <w:rPr>
          <w:rStyle w:val="VerbatimChar"/>
        </w:rPr>
        <w:t xml:space="preserve">feature_type</w:t>
      </w:r>
      <w:r>
        <w:t xml:space="preserve"> </w:t>
      </w:r>
      <w:r>
        <w:t xml:space="preserve">records on-trail versus random placement.</w:t>
      </w:r>
    </w:p>
    <w:bookmarkEnd w:id="23"/>
    <w:bookmarkStart w:id="24" w:name="unaffected-by-this-revision"/>
    <w:p>
      <w:pPr>
        <w:pStyle w:val="Heading2"/>
      </w:pPr>
      <w:r>
        <w:t xml:space="preserve">7. Unaffected by this revision</w:t>
      </w:r>
    </w:p>
    <w:p>
      <w:pPr>
        <w:pStyle w:val="Compact"/>
        <w:numPr>
          <w:ilvl w:val="0"/>
          <w:numId w:val="1001"/>
        </w:numPr>
      </w:pPr>
      <w:r>
        <w:t xml:space="preserve">Covariate effects (</w:t>
      </w:r>
      <w:r>
        <w:rPr>
          <w:rStyle w:val="VerbatimChar"/>
        </w:rPr>
        <w:t xml:space="preserve">occ_beta</w:t>
      </w:r>
      <w:r>
        <w:t xml:space="preserve">, 9 covariates × 8 fits) — occupancy submodel</w:t>
      </w:r>
      <w:r>
        <w:t xml:space="preserve"> </w:t>
      </w:r>
      <w:r>
        <w:t xml:space="preserve">parameters, unchanged, with perfect sign agreement across parameterisations.</w:t>
      </w:r>
    </w:p>
    <w:p>
      <w:pPr>
        <w:pStyle w:val="Compact"/>
        <w:numPr>
          <w:ilvl w:val="0"/>
          <w:numId w:val="1001"/>
        </w:numPr>
      </w:pPr>
      <w:r>
        <w:t xml:space="preserve">Convergence diagnostics, including the shared CAR-field convergence failure in</w:t>
      </w:r>
      <w:r>
        <w:t xml:space="preserve"> </w:t>
      </w:r>
      <w:r>
        <w:t xml:space="preserve">the ecoregion fits.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theta0</w:t>
      </w:r>
      <w:r>
        <w:t xml:space="preserve">/</w:t>
      </w:r>
      <w:r>
        <w:rPr>
          <w:rStyle w:val="VerbatimChar"/>
        </w:rPr>
        <w:t xml:space="preserve">theta1</w:t>
      </w:r>
      <w:r>
        <w:t xml:space="preserve"> </w:t>
      </w:r>
      <w:r>
        <w:t xml:space="preserve">congruence results, and the spatial baseline and climate</w:t>
      </w:r>
      <w:r>
        <w:t xml:space="preserve"> </w:t>
      </w:r>
      <w:r>
        <w:t xml:space="preserve">response fields — all estimated from the full record and independent of the</w:t>
      </w:r>
      <w:r>
        <w:t xml:space="preserve"> </w:t>
      </w:r>
      <w:r>
        <w:t xml:space="preserve">trend parameters.</w:t>
      </w:r>
    </w:p>
    <w:p>
      <w:pPr>
        <w:pStyle w:val="Compact"/>
        <w:numPr>
          <w:ilvl w:val="0"/>
          <w:numId w:val="1001"/>
        </w:numPr>
      </w:pPr>
      <w:r>
        <w:t xml:space="preserve">Habitat and climate associations generally: these improve with more years of</w:t>
      </w:r>
      <w:r>
        <w:t xml:space="preserve"> </w:t>
      </w:r>
      <w:r>
        <w:t xml:space="preserve">data, whereas the trend is compromised by the sparse early camera years. The</w:t>
      </w:r>
      <w:r>
        <w:t xml:space="preserve"> </w:t>
      </w:r>
      <w:r>
        <w:t xml:space="preserve">report draws them from the full-record fits deliberately.</w:t>
      </w:r>
    </w:p>
    <w:p>
      <w:pPr>
        <w:pStyle w:val="FirstParagraph"/>
      </w:pPr>
      <w:r>
        <w:t xml:space="preserve">One correction to the congruence section:</w:t>
      </w:r>
      <w:r>
        <w:t xml:space="preserve"> </w:t>
      </w:r>
      <w:r>
        <w:rPr>
          <w:rStyle w:val="VerbatimChar"/>
        </w:rPr>
        <w:t xml:space="preserve">trend_robust_indicator</w:t>
      </w:r>
      <w:r>
        <w:t xml:space="preserve"> </w:t>
      </w:r>
      <w:r>
        <w:t xml:space="preserve">is</w:t>
      </w:r>
      <w:r>
        <w:t xml:space="preserve"> </w:t>
      </w:r>
      <w:r>
        <w:t xml:space="preserve">reportable, contrary to an earlier note here. It has real posterior means</w:t>
      </w:r>
      <w:r>
        <w:t xml:space="preserve"> </w:t>
      </w:r>
      <w:r>
        <w:t xml:space="preserve">(bobcat 0.0005, moose 0.2599, deer 0.7836); it is</w:t>
      </w:r>
      <w:r>
        <w:t xml:space="preserve"> </w:t>
      </w:r>
      <w:r>
        <w:rPr>
          <w:rStyle w:val="VerbatimChar"/>
        </w:rPr>
        <w:t xml:space="preserve">snr_derived</w:t>
      </w:r>
      <w:r>
        <w:t xml:space="preserve">, the raw</w:t>
      </w:r>
      <w:r>
        <w:t xml:space="preserve"> </w:t>
      </w:r>
      <w:r>
        <w:rPr>
          <w:rStyle w:val="VerbatimChar"/>
        </w:rPr>
        <w:t xml:space="preserve">year_beta/year_var</w:t>
      </w:r>
      <w:r>
        <w:t xml:space="preserve"> </w:t>
      </w:r>
      <w:r>
        <w:t xml:space="preserve">ratio, whose mean is undefined. The indicator’s weakness is</w:t>
      </w:r>
      <w:r>
        <w:t xml:space="preserve"> </w:t>
      </w:r>
      <w:r>
        <w:t xml:space="preserve">narrower than</w:t>
      </w:r>
      <w:r>
        <w:t xml:space="preserve"> </w:t>
      </w:r>
      <w:r>
        <w:t xml:space="preserve">“cannot be computed”</w:t>
      </w:r>
      <w:r>
        <w:t xml:space="preserve">: it thresholds a ratio whose denominator sits</w:t>
      </w:r>
      <w:r>
        <w:t xml:space="preserve"> </w:t>
      </w:r>
      <w:r>
        <w:t xml:space="preserve">near zero, so where</w:t>
      </w:r>
      <w:r>
        <w:t xml:space="preserve"> </w:t>
      </w:r>
      <w:r>
        <w:rPr>
          <w:rStyle w:val="VerbatimChar"/>
        </w:rPr>
        <w:t xml:space="preserve">year_var</w:t>
      </w:r>
      <w:r>
        <w:t xml:space="preserve"> </w:t>
      </w:r>
      <w:r>
        <w:t xml:space="preserve">spans zero the resulting probability is unstable</w:t>
      </w:r>
      <w:r>
        <w:t xml:space="preserve"> </w:t>
      </w:r>
      <w:r>
        <w:t xml:space="preserve">rather than undefined. Moose is the example —</w:t>
      </w:r>
      <w:r>
        <w:t xml:space="preserve"> </w:t>
      </w:r>
      <w:r>
        <w:rPr>
          <w:rStyle w:val="VerbatimChar"/>
        </w:rPr>
        <w:t xml:space="preserve">year_var</w:t>
      </w:r>
      <w:r>
        <w:t xml:space="preserve"> </w:t>
      </w:r>
      <w:r>
        <w:t xml:space="preserve">= −0.0006 (−0.195,</w:t>
      </w:r>
      <w:r>
        <w:t xml:space="preserve"> </w:t>
      </w:r>
      <w:r>
        <w:t xml:space="preserve">0.206) with an indicator of 0.26. Testing</w:t>
      </w:r>
      <w:r>
        <w:t xml:space="preserve"> </w:t>
      </w:r>
      <w:r>
        <w:rPr>
          <w:rStyle w:val="VerbatimChar"/>
        </w:rPr>
        <w:t xml:space="preserve">year_var</w:t>
      </w:r>
      <w:r>
        <w:t xml:space="preserve"> </w:t>
      </w:r>
      <w:r>
        <w:t xml:space="preserve">against zero directly is</w:t>
      </w:r>
      <w:r>
        <w:t xml:space="preserve"> </w:t>
      </w:r>
      <w:r>
        <w:t xml:space="preserve">the better-behaved replacement, and it is exactly the question the indicator was</w:t>
      </w:r>
      <w:r>
        <w:t xml:space="preserve"> </w:t>
      </w:r>
      <w:r>
        <w:t xml:space="preserve">built to answer.</w:t>
      </w:r>
    </w:p>
    <w:bookmarkEnd w:id="24"/>
    <w:bookmarkStart w:id="25" w:name="outstanding"/>
    <w:p>
      <w:pPr>
        <w:pStyle w:val="Heading2"/>
      </w:pPr>
      <w:r>
        <w:t xml:space="preserve">8. Outstanding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truth$year_beta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inputs$real_post_means</w:t>
      </w:r>
      <w:r>
        <w:t xml:space="preserve"> </w:t>
      </w:r>
      <w:r>
        <w:t xml:space="preserve">— one value, completes the</w:t>
      </w:r>
      <w:r>
        <w:t xml:space="preserve"> </w:t>
      </w:r>
      <w:r>
        <w:t xml:space="preserve">sweep’s bias re-scoring from existing rows with no new compute.</w:t>
      </w:r>
    </w:p>
    <w:p>
      <w:pPr>
        <w:pStyle w:val="Compact"/>
        <w:numPr>
          <w:ilvl w:val="0"/>
          <w:numId w:val="1002"/>
        </w:numPr>
      </w:pPr>
      <w:r>
        <w:t xml:space="preserve">Per-replicate</w:t>
      </w:r>
      <w:r>
        <w:t xml:space="preserve"> </w:t>
      </w:r>
      <w:r>
        <w:rPr>
          <w:rStyle w:val="VerbatimChar"/>
        </w:rPr>
        <w:t xml:space="preserve">year_beta</w:t>
      </w:r>
      <w:r>
        <w:t xml:space="preserve"> </w:t>
      </w:r>
      <w:r>
        <w:t xml:space="preserve">quantiles for coverage, power and false-positive</w:t>
      </w:r>
      <w:r>
        <w:t xml:space="preserve"> </w:t>
      </w:r>
      <w:r>
        <w:t xml:space="preserve">rate on the camera-anchored trend. Only means were recorded</w:t>
      </w:r>
      <w:r>
        <w:t xml:space="preserve"> </w:t>
      </w:r>
      <w:r>
        <w:t xml:space="preserve">(</w:t>
      </w:r>
      <w:r>
        <w:rPr>
          <w:rStyle w:val="VerbatimChar"/>
        </w:rPr>
        <w:t xml:space="preserve">sim_helpers_estimator_metrics.R:84</w:t>
      </w:r>
      <w:r>
        <w:t xml:space="preserve">), so this needs a re-collect if the</w:t>
      </w:r>
      <w:r>
        <w:t xml:space="preserve"> </w:t>
      </w:r>
      <w:r>
        <w:t xml:space="preserve">sample files persist on Hazel, and a re-run only if they do not.</w:t>
      </w:r>
    </w:p>
    <w:p>
      <w:pPr>
        <w:pStyle w:val="Compact"/>
        <w:numPr>
          <w:ilvl w:val="0"/>
          <w:numId w:val="1002"/>
        </w:numPr>
      </w:pPr>
      <w:r>
        <w:t xml:space="preserve">Deer restricted-site refit — drop camera sites above</w:t>
      </w:r>
      <w:r>
        <w:t xml:space="preserve"> </w:t>
      </w:r>
      <w:r>
        <w:rPr>
          <w:rStyle w:val="VerbatimChar"/>
        </w:rPr>
        <w:t xml:space="preserve">psi</w:t>
      </w:r>
      <w:r>
        <w:t xml:space="preserve"> </w:t>
      </w:r>
      <w:r>
        <w:t xml:space="preserve">≈ 0.95 and check</w:t>
      </w:r>
      <w:r>
        <w:t xml:space="preserve"> </w:t>
      </w:r>
      <w:r>
        <w:t xml:space="preserve">whether</w:t>
      </w:r>
      <w:r>
        <w:t xml:space="preserve"> </w:t>
      </w:r>
      <w:r>
        <w:rPr>
          <w:rStyle w:val="VerbatimChar"/>
        </w:rPr>
        <w:t xml:space="preserve">year_beta</w:t>
      </w:r>
      <w:r>
        <w:t xml:space="preserve"> </w:t>
      </w:r>
      <w:r>
        <w:t xml:space="preserve">moves. Deer’s posterior SD of 0.019 against a prior scale</w:t>
      </w:r>
      <w:r>
        <w:t xml:space="preserve"> </w:t>
      </w:r>
      <w:r>
        <w:t xml:space="preserve">of order 1 says the data dominate the prior, so we expect stability; this</w:t>
      </w:r>
      <w:r>
        <w:t xml:space="preserve"> </w:t>
      </w:r>
      <w:r>
        <w:t xml:space="preserve">would confirm it. One species, one fit.</w:t>
      </w:r>
    </w:p>
    <w:p>
      <w:pPr>
        <w:pStyle w:val="Compact"/>
        <w:numPr>
          <w:ilvl w:val="0"/>
          <w:numId w:val="1002"/>
        </w:numPr>
      </w:pPr>
      <w:r>
        <w:t xml:space="preserve">A regional deviation in the occupancy submodel, if camera-corroborated</w:t>
      </w:r>
      <w:r>
        <w:t xml:space="preserve"> </w:t>
      </w:r>
      <w:r>
        <w:t xml:space="preserve">regional trends are wanted. Model change, needs team agreement.</w:t>
      </w:r>
    </w:p>
    <w:p>
      <w:pPr>
        <w:pStyle w:val="Compact"/>
        <w:numPr>
          <w:ilvl w:val="0"/>
          <w:numId w:val="1002"/>
        </w:numPr>
      </w:pPr>
      <w:r>
        <w:t xml:space="preserve">The 5- and 10-year windowed refits remain blocked on the base-bundle</w:t>
      </w:r>
      <w:r>
        <w:t xml:space="preserve"> </w:t>
      </w:r>
      <w:r>
        <w:t xml:space="preserve">reconstruction, unchanged by this revision.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Revised interpretation: camera-anchored trends</dc:title>
  <dc:creator/>
  <cp:keywords/>
  <dcterms:created xsi:type="dcterms:W3CDTF">2026-09-08T19:56:45Z</dcterms:created>
  <dcterms:modified xsi:type="dcterms:W3CDTF">2026-09-08T19:56:45Z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