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Bdr>
          <w:bottom w:val="single" w:sz="12" w:space="8" w:color="B9975B"/>
        </w:pBdr>
      </w:pPr>
      <w:r>
        <w:rPr>
          <w:rFonts w:ascii="Montserrat" w:hAnsi="Montserrat"/>
          <w:b/>
          <w:color w:val="0D1E32"/>
          <w:sz w:val="44"/>
        </w:rPr>
        <w:t>What to correct in the 121151 documents</w:t>
      </w:r>
    </w:p>
    <w:p>
      <w:pPr>
        <w:spacing w:after="140"/>
      </w:pPr>
      <w:r>
        <w:rPr>
          <w:rFonts w:ascii="Inter" w:hAnsi="Inter"/>
          <w:b/>
          <w:color w:val="1A1A1A"/>
          <w:sz w:val="21"/>
        </w:rPr>
        <w:t>For:</w:t>
      </w:r>
      <w:r>
        <w:rPr>
          <w:rFonts w:ascii="Inter" w:hAnsi="Inter"/>
          <w:b w:val="0"/>
          <w:color w:val="1A1A1A"/>
          <w:sz w:val="21"/>
        </w:rPr>
        <w:t xml:space="preserve"> Heidi Edwards, Curiosa Academy</w:t>
      </w:r>
      <w:r>
        <w:br/>
      </w:r>
      <w:r>
        <w:rPr>
          <w:rFonts w:ascii="Inter" w:hAnsi="Inter"/>
          <w:b/>
          <w:color w:val="1A1A1A"/>
          <w:sz w:val="21"/>
        </w:rPr>
        <w:t>From:</w:t>
      </w:r>
      <w:r>
        <w:rPr>
          <w:rFonts w:ascii="Inter" w:hAnsi="Inter"/>
          <w:b w:val="0"/>
          <w:color w:val="1A1A1A"/>
          <w:sz w:val="21"/>
        </w:rPr>
        <w:t xml:space="preserve"> Roland Jones, ROFT Strategic Workforce Advisory</w:t>
      </w:r>
      <w:r>
        <w:br/>
      </w:r>
      <w:r>
        <w:rPr>
          <w:rFonts w:ascii="Inter" w:hAnsi="Inter"/>
          <w:b/>
          <w:color w:val="1A1A1A"/>
          <w:sz w:val="21"/>
        </w:rPr>
        <w:t>Date:</w:t>
      </w:r>
      <w:r>
        <w:rPr>
          <w:rFonts w:ascii="Inter" w:hAnsi="Inter"/>
          <w:b w:val="0"/>
          <w:color w:val="1A1A1A"/>
          <w:sz w:val="21"/>
        </w:rPr>
        <w:t xml:space="preserve"> 9 October 2026</w:t>
      </w:r>
    </w:p>
    <w:p>
      <w:pPr>
        <w:spacing w:after="40"/>
        <w:pBdr>
          <w:bottom w:val="single" w:sz="4" w:space="8" w:color="B9975B"/>
        </w:pBdr>
      </w:pPr>
    </w:p>
    <w:p>
      <w:pPr>
        <w:keepNext/>
        <w:spacing w:before="280" w:after="60"/>
      </w:pPr>
      <w:r>
        <w:rPr>
          <w:rFonts w:ascii="Montserrat" w:hAnsi="Montserrat"/>
          <w:b/>
          <w:color w:val="0D1E32"/>
          <w:sz w:val="28"/>
        </w:rPr>
        <w:t>Why you are receiving this</w:t>
      </w:r>
    </w:p>
    <w:p>
      <w:pPr>
        <w:spacing w:after="140"/>
      </w:pPr>
      <w:r>
        <w:rPr>
          <w:rFonts w:ascii="Inter" w:hAnsi="Inter"/>
          <w:b w:val="0"/>
          <w:color w:val="1A1A1A"/>
          <w:sz w:val="21"/>
        </w:rPr>
        <w:t>On the "Check and make live" page for the Advanced Occupational Certificate: Human Resource Management Officer (SAQA 121151), the platform lists 22 items holding the qualification back. You asked for a list of what to correct, and where each document is.</w:t>
      </w:r>
    </w:p>
    <w:p>
      <w:pPr>
        <w:keepNext/>
        <w:spacing w:after="140"/>
      </w:pPr>
      <w:r>
        <w:rPr>
          <w:rFonts w:ascii="Inter" w:hAnsi="Inter"/>
          <w:b w:val="0"/>
          <w:color w:val="1A1A1A"/>
          <w:sz w:val="21"/>
        </w:rPr>
        <w:t>Every one of the 22 has been checked against the files you uploaded. Most of them are not in your documents at all:</w:t>
      </w:r>
    </w:p>
    <w:tbl>
      <w:tblPr>
        <w:tblStyle w:val="TableGrid"/>
        <w:tblW w:type="auto" w:w="0"/>
        <w:jc w:val="center"/>
        <w:tblLayout w:type="fixed"/>
        <w:tblLook w:firstColumn="1" w:firstRow="1" w:lastColumn="0" w:lastRow="0" w:noHBand="0" w:noVBand="1" w:val="04A0"/>
      </w:tblPr>
      <w:tblGrid>
        <w:gridCol w:w="5046"/>
        <w:gridCol w:w="807"/>
        <w:gridCol w:w="3330"/>
      </w:tblGrid>
      <w:tr>
        <w:trPr>
          <w:tblHeader w:val="true"/>
        </w:trPr>
        <w:tc>
          <w:tcPr>
            <w:tcW w:type="dxa" w:w="5046"/>
            <w:shd w:val="clear" w:fill="0D1E32"/>
          </w:tcPr>
          <w:p>
            <w:pPr>
              <w:keepNext/>
              <w:spacing w:after="40"/>
            </w:pPr>
            <w:r>
              <w:rPr>
                <w:rFonts w:ascii="Montserrat" w:hAnsi="Montserrat"/>
                <w:b/>
                <w:color w:val="FFFFFF"/>
                <w:sz w:val="19"/>
              </w:rPr>
              <w:t>What the 22 items turned out to be</w:t>
            </w:r>
          </w:p>
        </w:tc>
        <w:tc>
          <w:tcPr>
            <w:tcW w:type="dxa" w:w="807"/>
            <w:shd w:val="clear" w:fill="0D1E32"/>
          </w:tcPr>
          <w:p>
            <w:pPr>
              <w:keepNext/>
              <w:spacing w:after="40"/>
            </w:pPr>
            <w:r>
              <w:rPr>
                <w:rFonts w:ascii="Montserrat" w:hAnsi="Montserrat"/>
                <w:b/>
                <w:color w:val="FFFFFF"/>
                <w:sz w:val="19"/>
              </w:rPr>
              <w:t>How many</w:t>
            </w:r>
          </w:p>
        </w:tc>
        <w:tc>
          <w:tcPr>
            <w:tcW w:type="dxa" w:w="3331"/>
            <w:shd w:val="clear" w:fill="0D1E32"/>
          </w:tcPr>
          <w:p>
            <w:pPr>
              <w:keepNext/>
              <w:spacing w:after="40"/>
            </w:pPr>
            <w:r>
              <w:rPr>
                <w:rFonts w:ascii="Montserrat" w:hAnsi="Montserrat"/>
                <w:b/>
                <w:color w:val="FFFFFF"/>
                <w:sz w:val="19"/>
              </w:rPr>
              <w:t>Who acts</w:t>
            </w:r>
          </w:p>
        </w:tc>
      </w:tr>
      <w:tr>
        <w:tc>
          <w:tcPr>
            <w:tcW w:type="dxa" w:w="5046"/>
          </w:tcPr>
          <w:p>
            <w:pPr>
              <w:keepNext/>
              <w:spacing w:after="40"/>
              <w:jc w:val="left"/>
            </w:pPr>
            <w:r>
              <w:rPr>
                <w:rFonts w:ascii="Inter" w:hAnsi="Inter"/>
                <w:b w:val="0"/>
                <w:color w:val="1A1A1A"/>
                <w:sz w:val="19"/>
              </w:rPr>
              <w:t>The platform misreading documents that are correct</w:t>
            </w:r>
          </w:p>
        </w:tc>
        <w:tc>
          <w:tcPr>
            <w:tcW w:type="dxa" w:w="807"/>
          </w:tcPr>
          <w:p>
            <w:pPr>
              <w:keepNext/>
              <w:spacing w:after="40"/>
              <w:jc w:val="left"/>
            </w:pPr>
            <w:r>
              <w:rPr>
                <w:rFonts w:ascii="Inter" w:hAnsi="Inter"/>
                <w:b w:val="0"/>
                <w:color w:val="1A1A1A"/>
                <w:sz w:val="19"/>
              </w:rPr>
              <w:t>18</w:t>
            </w:r>
          </w:p>
        </w:tc>
        <w:tc>
          <w:tcPr>
            <w:tcW w:type="dxa" w:w="3331"/>
          </w:tcPr>
          <w:p>
            <w:pPr>
              <w:keepNext/>
              <w:spacing w:after="40"/>
              <w:jc w:val="left"/>
            </w:pPr>
            <w:r>
              <w:rPr>
                <w:rFonts w:ascii="Inter" w:hAnsi="Inter"/>
                <w:b w:val="0"/>
                <w:color w:val="1A1A1A"/>
                <w:sz w:val="19"/>
              </w:rPr>
              <w:t>ROFT. Nothing is needed from you.</w:t>
            </w:r>
          </w:p>
        </w:tc>
      </w:tr>
      <w:tr>
        <w:tc>
          <w:tcPr>
            <w:tcW w:type="dxa" w:w="5046"/>
            <w:shd w:val="clear" w:fill="F4F1EA"/>
          </w:tcPr>
          <w:p>
            <w:pPr>
              <w:spacing w:after="40"/>
              <w:jc w:val="left"/>
            </w:pPr>
            <w:r>
              <w:rPr>
                <w:rFonts w:ascii="Inter" w:hAnsi="Inter"/>
                <w:b w:val="0"/>
                <w:color w:val="1A1A1A"/>
                <w:sz w:val="19"/>
              </w:rPr>
              <w:t>Something in the documents themselves</w:t>
            </w:r>
          </w:p>
        </w:tc>
        <w:tc>
          <w:tcPr>
            <w:tcW w:type="dxa" w:w="807"/>
            <w:shd w:val="clear" w:fill="F4F1EA"/>
          </w:tcPr>
          <w:p>
            <w:pPr>
              <w:spacing w:after="40"/>
              <w:jc w:val="left"/>
            </w:pPr>
            <w:r>
              <w:rPr>
                <w:rFonts w:ascii="Inter" w:hAnsi="Inter"/>
                <w:b w:val="0"/>
                <w:color w:val="1A1A1A"/>
                <w:sz w:val="19"/>
              </w:rPr>
              <w:t>4</w:t>
            </w:r>
          </w:p>
        </w:tc>
        <w:tc>
          <w:tcPr>
            <w:tcW w:type="dxa" w:w="3331"/>
            <w:shd w:val="clear" w:fill="F4F1EA"/>
          </w:tcPr>
          <w:p>
            <w:pPr>
              <w:spacing w:after="40"/>
              <w:jc w:val="left"/>
            </w:pPr>
            <w:r>
              <w:rPr>
                <w:rFonts w:ascii="Inter" w:hAnsi="Inter"/>
                <w:b w:val="0"/>
                <w:color w:val="1A1A1A"/>
                <w:sz w:val="19"/>
              </w:rPr>
              <w:t>You, below.</w:t>
            </w:r>
          </w:p>
        </w:tc>
      </w:tr>
    </w:tbl>
    <w:p>
      <w:pPr>
        <w:spacing w:after="80"/>
      </w:pPr>
    </w:p>
    <w:p>
      <w:pPr>
        <w:spacing w:after="140"/>
      </w:pPr>
      <w:r>
        <w:rPr>
          <w:rFonts w:ascii="Inter" w:hAnsi="Inter"/>
          <w:b w:val="0"/>
          <w:color w:val="1A1A1A"/>
          <w:sz w:val="21"/>
        </w:rPr>
        <w:t>The 18 come from your assessor guides labelling things differently from the question papers: "Task 1 Model Answer" in the guide where the paper has "Question 1 of Section 2", marking rubrics set out as "D1 / A2.1" table rows, and "Statement 6 [NEW]". Every one of those guides does contain the marking guidance; the platform failed to match it. In SU1's summative, the platform also counted the numbered parts of each Section C question as extra questions, which is why it reported 78 marks where your paper correctly says 70. These are being fixed on our side.</w:t>
      </w:r>
    </w:p>
    <w:p>
      <w:pPr>
        <w:spacing w:after="140"/>
      </w:pPr>
      <w:r>
        <w:rPr>
          <w:rFonts w:ascii="Inter" w:hAnsi="Inter"/>
          <w:b w:val="0"/>
          <w:color w:val="1A1A1A"/>
          <w:sz w:val="21"/>
        </w:rPr>
        <w:t>All the files named below are in the qualification's documents on the platform (Qualifications, then 121151, then Documents), under the same names as your own copies.</w:t>
      </w:r>
    </w:p>
    <w:p>
      <w:pPr>
        <w:keepNext/>
        <w:spacing w:before="280" w:after="60"/>
        <w:pBdr>
          <w:bottom w:val="single" w:sz="4" w:space="8" w:color="B9975B"/>
        </w:pBdr>
      </w:pPr>
      <w:r>
        <w:rPr>
          <w:rFonts w:ascii="Montserrat" w:hAnsi="Montserrat"/>
          <w:b/>
          <w:color w:val="0D1E32"/>
          <w:sz w:val="28"/>
        </w:rPr>
        <w:t>1. SU5 SA5 Version 2: the two files have each other's names</w:t>
      </w:r>
    </w:p>
    <w:p>
      <w:pPr>
        <w:keepNext/>
        <w:spacing w:after="140"/>
      </w:pPr>
      <w:r>
        <w:rPr>
          <w:rFonts w:ascii="Inter" w:hAnsi="Inter"/>
          <w:b w:val="0"/>
          <w:color w:val="1A1A1A"/>
          <w:sz w:val="21"/>
        </w:rPr>
        <w:t>This was raised on 27 September and is still the case in the files on the platform.</w:t>
      </w:r>
    </w:p>
    <w:tbl>
      <w:tblPr>
        <w:tblStyle w:val="TableGrid"/>
        <w:tblW w:type="auto" w:w="0"/>
        <w:jc w:val="center"/>
        <w:tblLayout w:type="fixed"/>
        <w:tblLook w:firstColumn="1" w:firstRow="1" w:lastColumn="0" w:lastRow="0" w:noHBand="0" w:noVBand="1" w:val="04A0"/>
      </w:tblPr>
      <w:tblGrid>
        <w:gridCol w:w="2922"/>
        <w:gridCol w:w="6262"/>
      </w:tblGrid>
      <w:tr>
        <w:trPr>
          <w:tblHeader w:val="true"/>
        </w:trPr>
        <w:tc>
          <w:tcPr>
            <w:tcW w:type="dxa" w:w="2922"/>
            <w:shd w:val="clear" w:fill="0D1E32"/>
          </w:tcPr>
          <w:p>
            <w:pPr>
              <w:keepNext/>
              <w:spacing w:after="40"/>
            </w:pPr>
            <w:r>
              <w:rPr>
                <w:rFonts w:ascii="Montserrat" w:hAnsi="Montserrat"/>
                <w:b/>
                <w:color w:val="FFFFFF"/>
                <w:sz w:val="19"/>
              </w:rPr>
              <w:t>File name</w:t>
            </w:r>
          </w:p>
        </w:tc>
        <w:tc>
          <w:tcPr>
            <w:tcW w:type="dxa" w:w="6262"/>
            <w:shd w:val="clear" w:fill="0D1E32"/>
          </w:tcPr>
          <w:p>
            <w:pPr>
              <w:keepNext/>
              <w:spacing w:after="40"/>
            </w:pPr>
            <w:r>
              <w:rPr>
                <w:rFonts w:ascii="Montserrat" w:hAnsi="Montserrat"/>
                <w:b/>
                <w:color w:val="FFFFFF"/>
                <w:sz w:val="19"/>
              </w:rPr>
              <w:t>What the document actually is</w:t>
            </w:r>
          </w:p>
        </w:tc>
      </w:tr>
      <w:tr>
        <w:tc>
          <w:tcPr>
            <w:tcW w:type="dxa" w:w="2922"/>
          </w:tcPr>
          <w:p>
            <w:pPr>
              <w:keepNext/>
              <w:spacing w:after="40"/>
              <w:jc w:val="left"/>
            </w:pPr>
            <w:r>
              <w:rPr>
                <w:rFonts w:ascii="Inter" w:hAnsi="Inter"/>
                <w:b w:val="0"/>
                <w:color w:val="1A1A1A"/>
                <w:sz w:val="19"/>
              </w:rPr>
              <w:t>CA 121151 SU5 SA5 V2.docx</w:t>
            </w:r>
          </w:p>
        </w:tc>
        <w:tc>
          <w:tcPr>
            <w:tcW w:type="dxa" w:w="6262"/>
          </w:tcPr>
          <w:p>
            <w:pPr>
              <w:keepNext/>
              <w:spacing w:after="40"/>
              <w:jc w:val="left"/>
            </w:pPr>
            <w:r>
              <w:rPr>
                <w:rFonts w:ascii="Inter" w:hAnsi="Inter"/>
                <w:b w:val="0"/>
                <w:color w:val="1A1A1A"/>
                <w:sz w:val="19"/>
              </w:rPr>
              <w:t xml:space="preserve">The </w:t>
            </w:r>
            <w:r>
              <w:rPr>
                <w:rFonts w:ascii="Inter" w:hAnsi="Inter"/>
                <w:b/>
                <w:color w:val="1A1A1A"/>
                <w:sz w:val="19"/>
              </w:rPr>
              <w:t>assessor guide</w:t>
            </w:r>
            <w:r>
              <w:rPr>
                <w:rFonts w:ascii="Inter" w:hAnsi="Inter"/>
                <w:b w:val="0"/>
                <w:color w:val="1A1A1A"/>
                <w:sz w:val="19"/>
              </w:rPr>
              <w:t>. It opens with "Section 1: Assessor Guidance &amp; Assessment Principles (Version 2)".</w:t>
            </w:r>
          </w:p>
        </w:tc>
      </w:tr>
      <w:tr>
        <w:tc>
          <w:tcPr>
            <w:tcW w:type="dxa" w:w="2922"/>
            <w:shd w:val="clear" w:fill="F4F1EA"/>
          </w:tcPr>
          <w:p>
            <w:pPr>
              <w:spacing w:after="40"/>
              <w:jc w:val="left"/>
            </w:pPr>
            <w:r>
              <w:rPr>
                <w:rFonts w:ascii="Inter" w:hAnsi="Inter"/>
                <w:b w:val="0"/>
                <w:color w:val="1A1A1A"/>
                <w:sz w:val="19"/>
              </w:rPr>
              <w:t>CA 121151 SU5 SA5 V2 AG.docx</w:t>
            </w:r>
          </w:p>
        </w:tc>
        <w:tc>
          <w:tcPr>
            <w:tcW w:type="dxa" w:w="6262"/>
            <w:shd w:val="clear" w:fill="F4F1EA"/>
          </w:tcPr>
          <w:p>
            <w:pPr>
              <w:spacing w:after="40"/>
              <w:jc w:val="left"/>
            </w:pPr>
            <w:r>
              <w:rPr>
                <w:rFonts w:ascii="Inter" w:hAnsi="Inter"/>
                <w:b w:val="0"/>
                <w:color w:val="1A1A1A"/>
                <w:sz w:val="19"/>
              </w:rPr>
              <w:t xml:space="preserve">The </w:t>
            </w:r>
            <w:r>
              <w:rPr>
                <w:rFonts w:ascii="Inter" w:hAnsi="Inter"/>
                <w:b/>
                <w:color w:val="1A1A1A"/>
                <w:sz w:val="19"/>
              </w:rPr>
              <w:t>question paper</w:t>
            </w:r>
            <w:r>
              <w:rPr>
                <w:rFonts w:ascii="Inter" w:hAnsi="Inter"/>
                <w:b w:val="0"/>
                <w:color w:val="1A1A1A"/>
                <w:sz w:val="19"/>
              </w:rPr>
              <w:t>. It opens with the learner's instructions and Section A, the case study.</w:t>
            </w:r>
          </w:p>
        </w:tc>
      </w:tr>
    </w:tbl>
    <w:p>
      <w:pPr>
        <w:spacing w:after="80"/>
      </w:pPr>
    </w:p>
    <w:p>
      <w:pPr>
        <w:spacing w:after="140"/>
      </w:pPr>
      <w:r>
        <w:rPr>
          <w:rFonts w:ascii="Inter" w:hAnsi="Inter"/>
          <w:b/>
          <w:color w:val="1A1A1A"/>
          <w:sz w:val="21"/>
        </w:rPr>
        <w:t>To correct:</w:t>
      </w:r>
      <w:r>
        <w:rPr>
          <w:rFonts w:ascii="Inter" w:hAnsi="Inter"/>
          <w:b w:val="0"/>
          <w:color w:val="1A1A1A"/>
          <w:sz w:val="21"/>
        </w:rPr>
        <w:t xml:space="preserve"> swap the two names and upload both again. As they stand, a learner handed "V2" would receive the marking memorandum.</w:t>
      </w:r>
    </w:p>
    <w:p>
      <w:pPr>
        <w:keepNext/>
        <w:spacing w:before="280" w:after="60"/>
        <w:pBdr>
          <w:bottom w:val="single" w:sz="4" w:space="8" w:color="B9975B"/>
        </w:pBdr>
      </w:pPr>
      <w:r>
        <w:rPr>
          <w:rFonts w:ascii="Montserrat" w:hAnsi="Montserrat"/>
          <w:b/>
          <w:color w:val="0D1E32"/>
          <w:sz w:val="28"/>
        </w:rPr>
        <w:t>2. SU5 SA5 Version 2: an instruction mentions a Section D that is not there</w:t>
      </w:r>
    </w:p>
    <w:p>
      <w:pPr>
        <w:spacing w:after="140"/>
      </w:pPr>
      <w:r>
        <w:rPr>
          <w:rFonts w:ascii="Inter" w:hAnsi="Inter"/>
          <w:b w:val="0"/>
          <w:color w:val="1A1A1A"/>
          <w:sz w:val="21"/>
        </w:rPr>
        <w:t>Also raised on 27 September and still in the paper. The first instruction to learners reads:</w:t>
      </w:r>
    </w:p>
    <w:p>
      <w:pPr>
        <w:spacing w:before="120" w:after="180"/>
        <w:ind w:left="340"/>
        <w:pBdr>
          <w:left w:val="single" w:sz="18" w:space="8" w:color="B9975B"/>
        </w:pBdr>
      </w:pPr>
      <w:r>
        <w:rPr>
          <w:rFonts w:ascii="Inter" w:hAnsi="Inter"/>
          <w:b w:val="0"/>
          <w:color w:val="0D1E32"/>
          <w:sz w:val="22"/>
        </w:rPr>
        <w:t>Answer ALL questions in Section A, Section B, Section C, and Section D.</w:t>
      </w:r>
    </w:p>
    <w:p>
      <w:pPr>
        <w:spacing w:after="140"/>
      </w:pPr>
      <w:r>
        <w:rPr>
          <w:rFonts w:ascii="Inter" w:hAnsi="Inter"/>
          <w:b w:val="0"/>
          <w:color w:val="1A1A1A"/>
          <w:sz w:val="21"/>
        </w:rPr>
        <w:t>Version 2 has three sections, A, B and C, which make the 100 marks.</w:t>
      </w:r>
    </w:p>
    <w:p>
      <w:pPr>
        <w:spacing w:after="140"/>
      </w:pPr>
      <w:r>
        <w:rPr>
          <w:rFonts w:ascii="Inter" w:hAnsi="Inter"/>
          <w:b/>
          <w:color w:val="1A1A1A"/>
          <w:sz w:val="21"/>
        </w:rPr>
        <w:t>To correct:</w:t>
      </w:r>
      <w:r>
        <w:rPr>
          <w:rFonts w:ascii="Inter" w:hAnsi="Inter"/>
          <w:b w:val="0"/>
          <w:color w:val="1A1A1A"/>
          <w:sz w:val="21"/>
        </w:rPr>
        <w:t xml:space="preserve"> "Answer ALL questions in Section A, Section B and Section C", unless a Section D was intended.</w:t>
      </w:r>
    </w:p>
    <w:p>
      <w:pPr>
        <w:keepNext/>
        <w:spacing w:before="280" w:after="60"/>
        <w:pBdr>
          <w:bottom w:val="single" w:sz="4" w:space="8" w:color="B9975B"/>
        </w:pBdr>
      </w:pPr>
      <w:r>
        <w:rPr>
          <w:rFonts w:ascii="Montserrat" w:hAnsi="Montserrat"/>
          <w:b/>
          <w:color w:val="0D1E32"/>
          <w:sz w:val="28"/>
        </w:rPr>
        <w:t>3. SU5 WB1: Part D's marks do not add up</w:t>
      </w:r>
    </w:p>
    <w:p>
      <w:pPr>
        <w:spacing w:after="140"/>
      </w:pPr>
      <w:r>
        <w:rPr>
          <w:rFonts w:ascii="Inter" w:hAnsi="Inter"/>
          <w:b w:val="0"/>
          <w:color w:val="1A1A1A"/>
          <w:sz w:val="21"/>
        </w:rPr>
        <w:t xml:space="preserve">In </w:t>
      </w:r>
      <w:r>
        <w:rPr>
          <w:rFonts w:ascii="Inter" w:hAnsi="Inter"/>
          <w:b/>
          <w:color w:val="1A1A1A"/>
          <w:sz w:val="21"/>
        </w:rPr>
        <w:t>CA 121151 SU5 WB1 AG.docx</w:t>
      </w:r>
      <w:r>
        <w:rPr>
          <w:rFonts w:ascii="Inter" w:hAnsi="Inter"/>
          <w:b w:val="0"/>
          <w:color w:val="1A1A1A"/>
          <w:sz w:val="21"/>
        </w:rPr>
        <w:t xml:space="preserve">, Part D is headed "Short Answer Questions Memorandum (20 Marks)". Its five questions carry 4, 6, 4, 6 and 4 marks, which come to </w:t>
      </w:r>
      <w:r>
        <w:rPr>
          <w:rFonts w:ascii="Inter" w:hAnsi="Inter"/>
          <w:b/>
          <w:color w:val="1A1A1A"/>
          <w:sz w:val="21"/>
        </w:rPr>
        <w:t>24</w:t>
      </w:r>
      <w:r>
        <w:rPr>
          <w:rFonts w:ascii="Inter" w:hAnsi="Inter"/>
          <w:b w:val="0"/>
          <w:color w:val="1A1A1A"/>
          <w:sz w:val="21"/>
        </w:rPr>
        <w:t xml:space="preserve">. The workbook itself, </w:t>
      </w:r>
      <w:r>
        <w:rPr>
          <w:rFonts w:ascii="Inter" w:hAnsi="Inter"/>
          <w:b/>
          <w:color w:val="1A1A1A"/>
          <w:sz w:val="21"/>
        </w:rPr>
        <w:t>CA 121151 SU5 WB1 .docx</w:t>
      </w:r>
      <w:r>
        <w:rPr>
          <w:rFonts w:ascii="Inter" w:hAnsi="Inter"/>
          <w:b w:val="0"/>
          <w:color w:val="1A1A1A"/>
          <w:sz w:val="21"/>
        </w:rPr>
        <w:t>, gives the same five values.</w:t>
      </w:r>
    </w:p>
    <w:p>
      <w:pPr>
        <w:spacing w:after="140"/>
      </w:pPr>
      <w:r>
        <w:rPr>
          <w:rFonts w:ascii="Inter" w:hAnsi="Inter"/>
          <w:b/>
          <w:color w:val="1A1A1A"/>
          <w:sz w:val="21"/>
        </w:rPr>
        <w:t>To correct:</w:t>
      </w:r>
      <w:r>
        <w:rPr>
          <w:rFonts w:ascii="Inter" w:hAnsi="Inter"/>
          <w:b w:val="0"/>
          <w:color w:val="1A1A1A"/>
          <w:sz w:val="21"/>
        </w:rPr>
        <w:t xml:space="preserve"> either the heading should say 24 marks, or some questions should carry fewer marks. Only you can say which was intended; please also check the workbook's total once Part D is settled.</w:t>
      </w:r>
    </w:p>
    <w:p>
      <w:pPr>
        <w:keepNext/>
        <w:spacing w:before="280" w:after="60"/>
        <w:pBdr>
          <w:bottom w:val="single" w:sz="4" w:space="8" w:color="B9975B"/>
        </w:pBdr>
      </w:pPr>
      <w:r>
        <w:rPr>
          <w:rFonts w:ascii="Montserrat" w:hAnsi="Montserrat"/>
          <w:b/>
          <w:color w:val="0D1E32"/>
          <w:sz w:val="28"/>
        </w:rPr>
        <w:t>4. SU3: one topic has no workbook, and one guide has the wrong number</w:t>
      </w:r>
    </w:p>
    <w:p>
      <w:pPr>
        <w:keepNext/>
        <w:spacing w:after="140"/>
      </w:pPr>
      <w:r>
        <w:rPr>
          <w:rFonts w:ascii="Inter" w:hAnsi="Inter"/>
          <w:b w:val="0"/>
          <w:color w:val="1A1A1A"/>
          <w:sz w:val="21"/>
        </w:rPr>
        <w:t>Knowledge module KM-03 has seven topics in the curriculum. The platform holds a workbook and an assessor guide for six of them:</w:t>
      </w:r>
    </w:p>
    <w:tbl>
      <w:tblPr>
        <w:tblStyle w:val="TableGrid"/>
        <w:tblW w:type="auto" w:w="0"/>
        <w:jc w:val="center"/>
        <w:tblLayout w:type="fixed"/>
        <w:tblLook w:firstColumn="1" w:firstRow="1" w:lastColumn="0" w:lastRow="0" w:noHBand="0" w:noVBand="1" w:val="04A0"/>
      </w:tblPr>
      <w:tblGrid>
        <w:gridCol w:w="4412"/>
        <w:gridCol w:w="1981"/>
        <w:gridCol w:w="2791"/>
      </w:tblGrid>
      <w:tr>
        <w:trPr>
          <w:tblHeader w:val="true"/>
        </w:trPr>
        <w:tc>
          <w:tcPr>
            <w:tcW w:type="dxa" w:w="4412"/>
            <w:shd w:val="clear" w:fill="0D1E32"/>
          </w:tcPr>
          <w:p>
            <w:pPr>
              <w:keepNext/>
              <w:spacing w:after="40"/>
            </w:pPr>
            <w:r>
              <w:rPr>
                <w:rFonts w:ascii="Montserrat" w:hAnsi="Montserrat"/>
                <w:b/>
                <w:color w:val="FFFFFF"/>
                <w:sz w:val="19"/>
              </w:rPr>
              <w:t>Topic</w:t>
            </w:r>
          </w:p>
        </w:tc>
        <w:tc>
          <w:tcPr>
            <w:tcW w:type="dxa" w:w="1981"/>
            <w:shd w:val="clear" w:fill="0D1E32"/>
          </w:tcPr>
          <w:p>
            <w:pPr>
              <w:keepNext/>
              <w:spacing w:after="40"/>
            </w:pPr>
            <w:r>
              <w:rPr>
                <w:rFonts w:ascii="Montserrat" w:hAnsi="Montserrat"/>
                <w:b/>
                <w:color w:val="FFFFFF"/>
                <w:sz w:val="19"/>
              </w:rPr>
              <w:t>Workbook</w:t>
            </w:r>
          </w:p>
        </w:tc>
        <w:tc>
          <w:tcPr>
            <w:tcW w:type="dxa" w:w="2791"/>
            <w:shd w:val="clear" w:fill="0D1E32"/>
          </w:tcPr>
          <w:p>
            <w:pPr>
              <w:keepNext/>
              <w:spacing w:after="40"/>
            </w:pPr>
            <w:r>
              <w:rPr>
                <w:rFonts w:ascii="Montserrat" w:hAnsi="Montserrat"/>
                <w:b/>
                <w:color w:val="FFFFFF"/>
                <w:sz w:val="19"/>
              </w:rPr>
              <w:t>Assessor guide</w:t>
            </w:r>
          </w:p>
        </w:tc>
      </w:tr>
      <w:tr>
        <w:tc>
          <w:tcPr>
            <w:tcW w:type="dxa" w:w="4412"/>
          </w:tcPr>
          <w:p>
            <w:pPr>
              <w:keepNext/>
              <w:spacing w:after="40"/>
              <w:jc w:val="left"/>
            </w:pPr>
            <w:r>
              <w:rPr>
                <w:rFonts w:ascii="Inter" w:hAnsi="Inter"/>
                <w:b w:val="0"/>
                <w:color w:val="1A1A1A"/>
                <w:sz w:val="19"/>
              </w:rPr>
              <w:t>KM0301 Staff Recruitment, Selection and Placement</w:t>
            </w:r>
          </w:p>
        </w:tc>
        <w:tc>
          <w:tcPr>
            <w:tcW w:type="dxa" w:w="1981"/>
          </w:tcPr>
          <w:p>
            <w:pPr>
              <w:keepNext/>
              <w:spacing w:after="40"/>
              <w:jc w:val="left"/>
            </w:pPr>
            <w:r>
              <w:rPr>
                <w:rFonts w:ascii="Inter" w:hAnsi="Inter"/>
                <w:b w:val="0"/>
                <w:color w:val="1A1A1A"/>
                <w:sz w:val="19"/>
              </w:rPr>
              <w:t>CA 121151 SU3 WB1.docx</w:t>
            </w:r>
          </w:p>
        </w:tc>
        <w:tc>
          <w:tcPr>
            <w:tcW w:type="dxa" w:w="2791"/>
          </w:tcPr>
          <w:p>
            <w:pPr>
              <w:keepNext/>
              <w:spacing w:after="40"/>
              <w:jc w:val="left"/>
            </w:pPr>
            <w:r>
              <w:rPr>
                <w:rFonts w:ascii="Inter" w:hAnsi="Inter"/>
                <w:b w:val="0"/>
                <w:color w:val="1A1A1A"/>
                <w:sz w:val="19"/>
              </w:rPr>
              <w:t xml:space="preserve">Named </w:t>
            </w:r>
            <w:r>
              <w:rPr>
                <w:rFonts w:ascii="Inter" w:hAnsi="Inter"/>
                <w:b/>
                <w:color w:val="1A1A1A"/>
                <w:sz w:val="19"/>
              </w:rPr>
              <w:t>CA 121151 SU3 WB2 AG.docx</w:t>
            </w:r>
          </w:p>
        </w:tc>
      </w:tr>
      <w:tr>
        <w:tc>
          <w:tcPr>
            <w:tcW w:type="dxa" w:w="4412"/>
            <w:shd w:val="clear" w:fill="F4F1EA"/>
          </w:tcPr>
          <w:p>
            <w:pPr>
              <w:keepNext/>
              <w:spacing w:after="40"/>
              <w:jc w:val="left"/>
            </w:pPr>
            <w:r>
              <w:rPr>
                <w:rFonts w:ascii="Inter" w:hAnsi="Inter"/>
                <w:b w:val="0"/>
                <w:color w:val="1A1A1A"/>
                <w:sz w:val="19"/>
              </w:rPr>
              <w:t>KM0302 Ensuring optimum organisational wellness</w:t>
            </w:r>
          </w:p>
        </w:tc>
        <w:tc>
          <w:tcPr>
            <w:tcW w:type="dxa" w:w="1981"/>
            <w:shd w:val="clear" w:fill="F4F1EA"/>
          </w:tcPr>
          <w:p>
            <w:pPr>
              <w:keepNext/>
              <w:spacing w:after="40"/>
              <w:jc w:val="left"/>
            </w:pPr>
            <w:r>
              <w:rPr>
                <w:rFonts w:ascii="Inter" w:hAnsi="Inter"/>
                <w:b w:val="0"/>
                <w:color w:val="1A1A1A"/>
                <w:sz w:val="19"/>
              </w:rPr>
              <w:t>None</w:t>
            </w:r>
          </w:p>
        </w:tc>
        <w:tc>
          <w:tcPr>
            <w:tcW w:type="dxa" w:w="2791"/>
            <w:shd w:val="clear" w:fill="F4F1EA"/>
          </w:tcPr>
          <w:p>
            <w:pPr>
              <w:keepNext/>
              <w:spacing w:after="40"/>
              <w:jc w:val="left"/>
            </w:pPr>
            <w:r>
              <w:rPr>
                <w:rFonts w:ascii="Inter" w:hAnsi="Inter"/>
                <w:b w:val="0"/>
                <w:color w:val="1A1A1A"/>
                <w:sz w:val="19"/>
              </w:rPr>
              <w:t>None</w:t>
            </w:r>
          </w:p>
        </w:tc>
      </w:tr>
      <w:tr>
        <w:tc>
          <w:tcPr>
            <w:tcW w:type="dxa" w:w="4412"/>
          </w:tcPr>
          <w:p>
            <w:pPr>
              <w:keepNext/>
              <w:spacing w:after="40"/>
              <w:jc w:val="left"/>
            </w:pPr>
            <w:r>
              <w:rPr>
                <w:rFonts w:ascii="Inter" w:hAnsi="Inter"/>
                <w:b w:val="0"/>
                <w:color w:val="1A1A1A"/>
                <w:sz w:val="19"/>
              </w:rPr>
              <w:t>KM0303 Performance</w:t>
            </w:r>
          </w:p>
        </w:tc>
        <w:tc>
          <w:tcPr>
            <w:tcW w:type="dxa" w:w="1981"/>
          </w:tcPr>
          <w:p>
            <w:pPr>
              <w:keepNext/>
              <w:spacing w:after="40"/>
              <w:jc w:val="left"/>
            </w:pPr>
            <w:r>
              <w:rPr>
                <w:rFonts w:ascii="Inter" w:hAnsi="Inter"/>
                <w:b w:val="0"/>
                <w:color w:val="1A1A1A"/>
                <w:sz w:val="19"/>
              </w:rPr>
              <w:t>CA 121151 SU3 WB3.docx</w:t>
            </w:r>
          </w:p>
        </w:tc>
        <w:tc>
          <w:tcPr>
            <w:tcW w:type="dxa" w:w="2791"/>
          </w:tcPr>
          <w:p>
            <w:pPr>
              <w:keepNext/>
              <w:spacing w:after="40"/>
              <w:jc w:val="left"/>
            </w:pPr>
            <w:r>
              <w:rPr>
                <w:rFonts w:ascii="Inter" w:hAnsi="Inter"/>
                <w:b w:val="0"/>
                <w:color w:val="1A1A1A"/>
                <w:sz w:val="19"/>
              </w:rPr>
              <w:t>CA 121151 SU3 WB3 AG.docx</w:t>
            </w:r>
          </w:p>
        </w:tc>
      </w:tr>
      <w:tr>
        <w:tc>
          <w:tcPr>
            <w:tcW w:type="dxa" w:w="4412"/>
            <w:shd w:val="clear" w:fill="F4F1EA"/>
          </w:tcPr>
          <w:p>
            <w:pPr>
              <w:keepNext/>
              <w:spacing w:after="40"/>
              <w:jc w:val="left"/>
            </w:pPr>
            <w:r>
              <w:rPr>
                <w:rFonts w:ascii="Inter" w:hAnsi="Inter"/>
                <w:b w:val="0"/>
                <w:color w:val="1A1A1A"/>
                <w:sz w:val="19"/>
              </w:rPr>
              <w:t>KM0304 Learning and Development</w:t>
            </w:r>
          </w:p>
        </w:tc>
        <w:tc>
          <w:tcPr>
            <w:tcW w:type="dxa" w:w="1981"/>
            <w:shd w:val="clear" w:fill="F4F1EA"/>
          </w:tcPr>
          <w:p>
            <w:pPr>
              <w:keepNext/>
              <w:spacing w:after="40"/>
              <w:jc w:val="left"/>
            </w:pPr>
            <w:r>
              <w:rPr>
                <w:rFonts w:ascii="Inter" w:hAnsi="Inter"/>
                <w:b w:val="0"/>
                <w:color w:val="1A1A1A"/>
                <w:sz w:val="19"/>
              </w:rPr>
              <w:t>CA 121151 SU3 WB4.docx</w:t>
            </w:r>
          </w:p>
        </w:tc>
        <w:tc>
          <w:tcPr>
            <w:tcW w:type="dxa" w:w="2791"/>
            <w:shd w:val="clear" w:fill="F4F1EA"/>
          </w:tcPr>
          <w:p>
            <w:pPr>
              <w:keepNext/>
              <w:spacing w:after="40"/>
              <w:jc w:val="left"/>
            </w:pPr>
            <w:r>
              <w:rPr>
                <w:rFonts w:ascii="Inter" w:hAnsi="Inter"/>
                <w:b w:val="0"/>
                <w:color w:val="1A1A1A"/>
                <w:sz w:val="19"/>
              </w:rPr>
              <w:t>CA 121151 SU3 WB4 AG.docx</w:t>
            </w:r>
          </w:p>
        </w:tc>
      </w:tr>
      <w:tr>
        <w:tc>
          <w:tcPr>
            <w:tcW w:type="dxa" w:w="4412"/>
          </w:tcPr>
          <w:p>
            <w:pPr>
              <w:keepNext/>
              <w:spacing w:after="40"/>
              <w:jc w:val="left"/>
            </w:pPr>
            <w:r>
              <w:rPr>
                <w:rFonts w:ascii="Inter" w:hAnsi="Inter"/>
                <w:b w:val="0"/>
                <w:color w:val="1A1A1A"/>
                <w:sz w:val="19"/>
              </w:rPr>
              <w:t>KM0305 Rewards Management</w:t>
            </w:r>
          </w:p>
        </w:tc>
        <w:tc>
          <w:tcPr>
            <w:tcW w:type="dxa" w:w="1981"/>
          </w:tcPr>
          <w:p>
            <w:pPr>
              <w:keepNext/>
              <w:spacing w:after="40"/>
              <w:jc w:val="left"/>
            </w:pPr>
            <w:r>
              <w:rPr>
                <w:rFonts w:ascii="Inter" w:hAnsi="Inter"/>
                <w:b w:val="0"/>
                <w:color w:val="1A1A1A"/>
                <w:sz w:val="19"/>
              </w:rPr>
              <w:t>CA 121151 SU3 WB5.docx</w:t>
            </w:r>
          </w:p>
        </w:tc>
        <w:tc>
          <w:tcPr>
            <w:tcW w:type="dxa" w:w="2791"/>
          </w:tcPr>
          <w:p>
            <w:pPr>
              <w:keepNext/>
              <w:spacing w:after="40"/>
              <w:jc w:val="left"/>
            </w:pPr>
            <w:r>
              <w:rPr>
                <w:rFonts w:ascii="Inter" w:hAnsi="Inter"/>
                <w:b w:val="0"/>
                <w:color w:val="1A1A1A"/>
                <w:sz w:val="19"/>
              </w:rPr>
              <w:t>CA 121151 SU3 WB5 AG.docx</w:t>
            </w:r>
          </w:p>
        </w:tc>
      </w:tr>
      <w:tr>
        <w:tc>
          <w:tcPr>
            <w:tcW w:type="dxa" w:w="4412"/>
            <w:shd w:val="clear" w:fill="F4F1EA"/>
          </w:tcPr>
          <w:p>
            <w:pPr>
              <w:keepNext/>
              <w:spacing w:after="40"/>
              <w:jc w:val="left"/>
            </w:pPr>
            <w:r>
              <w:rPr>
                <w:rFonts w:ascii="Inter" w:hAnsi="Inter"/>
                <w:b w:val="0"/>
                <w:color w:val="1A1A1A"/>
                <w:sz w:val="19"/>
              </w:rPr>
              <w:t>KM0306 Organisational Development</w:t>
            </w:r>
          </w:p>
        </w:tc>
        <w:tc>
          <w:tcPr>
            <w:tcW w:type="dxa" w:w="1981"/>
            <w:shd w:val="clear" w:fill="F4F1EA"/>
          </w:tcPr>
          <w:p>
            <w:pPr>
              <w:keepNext/>
              <w:spacing w:after="40"/>
              <w:jc w:val="left"/>
            </w:pPr>
            <w:r>
              <w:rPr>
                <w:rFonts w:ascii="Inter" w:hAnsi="Inter"/>
                <w:b w:val="0"/>
                <w:color w:val="1A1A1A"/>
                <w:sz w:val="19"/>
              </w:rPr>
              <w:t>CA 121151 SU3 WB6.docx</w:t>
            </w:r>
          </w:p>
        </w:tc>
        <w:tc>
          <w:tcPr>
            <w:tcW w:type="dxa" w:w="2791"/>
            <w:shd w:val="clear" w:fill="F4F1EA"/>
          </w:tcPr>
          <w:p>
            <w:pPr>
              <w:keepNext/>
              <w:spacing w:after="40"/>
              <w:jc w:val="left"/>
            </w:pPr>
            <w:r>
              <w:rPr>
                <w:rFonts w:ascii="Inter" w:hAnsi="Inter"/>
                <w:b w:val="0"/>
                <w:color w:val="1A1A1A"/>
                <w:sz w:val="19"/>
              </w:rPr>
              <w:t>CA 121151 SU3 WB6 AG.docx</w:t>
            </w:r>
          </w:p>
        </w:tc>
      </w:tr>
      <w:tr>
        <w:tc>
          <w:tcPr>
            <w:tcW w:type="dxa" w:w="4412"/>
          </w:tcPr>
          <w:p>
            <w:pPr>
              <w:spacing w:after="40"/>
              <w:jc w:val="left"/>
            </w:pPr>
            <w:r>
              <w:rPr>
                <w:rFonts w:ascii="Inter" w:hAnsi="Inter"/>
                <w:b w:val="0"/>
                <w:color w:val="1A1A1A"/>
                <w:sz w:val="19"/>
              </w:rPr>
              <w:t>KM0307 Career Management</w:t>
            </w:r>
          </w:p>
        </w:tc>
        <w:tc>
          <w:tcPr>
            <w:tcW w:type="dxa" w:w="1981"/>
          </w:tcPr>
          <w:p>
            <w:pPr>
              <w:spacing w:after="40"/>
              <w:jc w:val="left"/>
            </w:pPr>
            <w:r>
              <w:rPr>
                <w:rFonts w:ascii="Inter" w:hAnsi="Inter"/>
                <w:b w:val="0"/>
                <w:color w:val="1A1A1A"/>
                <w:sz w:val="19"/>
              </w:rPr>
              <w:t>CA 121151 SU3 WB7.docx</w:t>
            </w:r>
          </w:p>
        </w:tc>
        <w:tc>
          <w:tcPr>
            <w:tcW w:type="dxa" w:w="2791"/>
          </w:tcPr>
          <w:p>
            <w:pPr>
              <w:spacing w:after="40"/>
              <w:jc w:val="left"/>
            </w:pPr>
            <w:r>
              <w:rPr>
                <w:rFonts w:ascii="Inter" w:hAnsi="Inter"/>
                <w:b w:val="0"/>
                <w:color w:val="1A1A1A"/>
                <w:sz w:val="19"/>
              </w:rPr>
              <w:t>CA 121151 SU3 WB7 AG.docx</w:t>
            </w:r>
          </w:p>
        </w:tc>
      </w:tr>
    </w:tbl>
    <w:p>
      <w:pPr>
        <w:spacing w:after="80"/>
      </w:pPr>
    </w:p>
    <w:p>
      <w:pPr>
        <w:spacing w:after="140"/>
      </w:pPr>
      <w:r>
        <w:rPr>
          <w:rFonts w:ascii="Inter" w:hAnsi="Inter"/>
          <w:b w:val="0"/>
          <w:color w:val="1A1A1A"/>
          <w:sz w:val="21"/>
        </w:rPr>
        <w:t>The guide named "WB2 AG" is in fact the guide for KM0301: its heading is "Topic KM0301 Assessor Guide &amp; Model Answer Memorandum", the same topic as workbook 1.</w:t>
      </w:r>
    </w:p>
    <w:p>
      <w:pPr>
        <w:spacing w:after="140"/>
      </w:pPr>
      <w:r>
        <w:rPr>
          <w:rFonts w:ascii="Inter" w:hAnsi="Inter"/>
          <w:b/>
          <w:color w:val="1A1A1A"/>
          <w:sz w:val="21"/>
        </w:rPr>
        <w:t>To correct:</w:t>
      </w:r>
    </w:p>
    <w:p>
      <w:pPr>
        <w:pStyle w:val="ListBullet"/>
        <w:spacing w:after="60"/>
      </w:pPr>
      <w:r>
        <w:rPr>
          <w:rFonts w:ascii="Inter" w:hAnsi="Inter"/>
          <w:b w:val="0"/>
          <w:color w:val="1A1A1A"/>
          <w:sz w:val="21"/>
        </w:rPr>
        <w:t xml:space="preserve">Rename </w:t>
      </w:r>
      <w:r>
        <w:rPr>
          <w:rFonts w:ascii="Inter" w:hAnsi="Inter"/>
          <w:b/>
          <w:color w:val="1A1A1A"/>
          <w:sz w:val="21"/>
        </w:rPr>
        <w:t>CA 121151 SU3 WB2 AG.docx</w:t>
      </w:r>
      <w:r>
        <w:rPr>
          <w:rFonts w:ascii="Inter" w:hAnsi="Inter"/>
          <w:b w:val="0"/>
          <w:color w:val="1A1A1A"/>
          <w:sz w:val="21"/>
        </w:rPr>
        <w:t xml:space="preserve"> to </w:t>
      </w:r>
      <w:r>
        <w:rPr>
          <w:rFonts w:ascii="Inter" w:hAnsi="Inter"/>
          <w:b/>
          <w:color w:val="1A1A1A"/>
          <w:sz w:val="21"/>
        </w:rPr>
        <w:t>CA 121151 SU3 WB1 AG.docx</w:t>
      </w:r>
      <w:r>
        <w:rPr>
          <w:rFonts w:ascii="Inter" w:hAnsi="Inter"/>
          <w:b w:val="0"/>
          <w:color w:val="1A1A1A"/>
          <w:sz w:val="21"/>
        </w:rPr>
        <w:t xml:space="preserve"> and upload it again. Workbook 1 is waiting for a person in Capture, most likely because no guide carries its number.</w:t>
      </w:r>
    </w:p>
    <w:p>
      <w:pPr>
        <w:pStyle w:val="ListBullet"/>
        <w:spacing w:after="60"/>
      </w:pPr>
      <w:r>
        <w:rPr>
          <w:rFonts w:ascii="Inter" w:hAnsi="Inter"/>
          <w:b w:val="0"/>
          <w:color w:val="1A1A1A"/>
          <w:sz w:val="21"/>
        </w:rPr>
        <w:t xml:space="preserve">Upload a workbook and an assessor guide for </w:t>
      </w:r>
      <w:r>
        <w:rPr>
          <w:rFonts w:ascii="Inter" w:hAnsi="Inter"/>
          <w:b/>
          <w:color w:val="1A1A1A"/>
          <w:sz w:val="21"/>
        </w:rPr>
        <w:t>KM0302</w:t>
      </w:r>
      <w:r>
        <w:rPr>
          <w:rFonts w:ascii="Inter" w:hAnsi="Inter"/>
          <w:b w:val="0"/>
          <w:color w:val="1A1A1A"/>
          <w:sz w:val="21"/>
        </w:rPr>
        <w:t>, named CA 121151 SU3 WB2.docx and CA 121151 SU3 WB2 AG.docx, or let me know if KM0302 is assessed somewhere else.</w:t>
      </w:r>
    </w:p>
    <w:p>
      <w:pPr>
        <w:keepNext/>
        <w:spacing w:before="280" w:after="60"/>
        <w:pBdr>
          <w:bottom w:val="single" w:sz="4" w:space="8" w:color="B9975B"/>
        </w:pBdr>
      </w:pPr>
      <w:r>
        <w:rPr>
          <w:rFonts w:ascii="Montserrat" w:hAnsi="Montserrat"/>
          <w:b/>
          <w:color w:val="0D1E32"/>
          <w:sz w:val="28"/>
        </w:rPr>
        <w:t>A small tidy-up while you are there</w:t>
      </w:r>
    </w:p>
    <w:p>
      <w:pPr>
        <w:keepNext/>
        <w:spacing w:after="140"/>
      </w:pPr>
      <w:r>
        <w:rPr>
          <w:rFonts w:ascii="Inter" w:hAnsi="Inter"/>
          <w:b w:val="0"/>
          <w:color w:val="1A1A1A"/>
          <w:sz w:val="21"/>
        </w:rPr>
        <w:t>Four file names would be better without their stray characters. SU2's workbook 1, the first of them, is also waiting for a person in Capture; we will look at it with you, since that is a step on the platform rather than a fault in the document.</w:t>
      </w:r>
    </w:p>
    <w:tbl>
      <w:tblPr>
        <w:tblStyle w:val="TableGrid"/>
        <w:tblW w:type="auto" w:w="0"/>
        <w:jc w:val="center"/>
        <w:tblLayout w:type="fixed"/>
        <w:tblLook w:firstColumn="1" w:firstRow="1" w:lastColumn="0" w:lastRow="0" w:noHBand="0" w:noVBand="1" w:val="04A0"/>
      </w:tblPr>
      <w:tblGrid>
        <w:gridCol w:w="5010"/>
        <w:gridCol w:w="4175"/>
      </w:tblGrid>
      <w:tr>
        <w:trPr>
          <w:tblHeader w:val="true"/>
        </w:trPr>
        <w:tc>
          <w:tcPr>
            <w:tcW w:type="dxa" w:w="5010"/>
            <w:shd w:val="clear" w:fill="0D1E32"/>
          </w:tcPr>
          <w:p>
            <w:pPr>
              <w:keepNext/>
              <w:spacing w:after="40"/>
            </w:pPr>
            <w:r>
              <w:rPr>
                <w:rFonts w:ascii="Montserrat" w:hAnsi="Montserrat"/>
                <w:b/>
                <w:color w:val="FFFFFF"/>
                <w:sz w:val="19"/>
              </w:rPr>
              <w:t>As uploaded</w:t>
            </w:r>
          </w:p>
        </w:tc>
        <w:tc>
          <w:tcPr>
            <w:tcW w:type="dxa" w:w="4175"/>
            <w:shd w:val="clear" w:fill="0D1E32"/>
          </w:tcPr>
          <w:p>
            <w:pPr>
              <w:keepNext/>
              <w:spacing w:after="40"/>
            </w:pPr>
            <w:r>
              <w:rPr>
                <w:rFonts w:ascii="Montserrat" w:hAnsi="Montserrat"/>
                <w:b/>
                <w:color w:val="FFFFFF"/>
                <w:sz w:val="19"/>
              </w:rPr>
              <w:t>Should be</w:t>
            </w:r>
          </w:p>
        </w:tc>
      </w:tr>
      <w:tr>
        <w:tc>
          <w:tcPr>
            <w:tcW w:type="dxa" w:w="5010"/>
          </w:tcPr>
          <w:p>
            <w:pPr>
              <w:keepNext/>
              <w:spacing w:after="40"/>
              <w:jc w:val="left"/>
            </w:pPr>
            <w:r>
              <w:rPr>
                <w:rFonts w:ascii="Inter" w:hAnsi="Inter"/>
                <w:b w:val="0"/>
                <w:color w:val="1A1A1A"/>
                <w:sz w:val="19"/>
              </w:rPr>
              <w:t>CA 121151 SU2 WB1.docx.docx</w:t>
            </w:r>
          </w:p>
        </w:tc>
        <w:tc>
          <w:tcPr>
            <w:tcW w:type="dxa" w:w="4175"/>
          </w:tcPr>
          <w:p>
            <w:pPr>
              <w:keepNext/>
              <w:spacing w:after="40"/>
              <w:jc w:val="left"/>
            </w:pPr>
            <w:r>
              <w:rPr>
                <w:rFonts w:ascii="Inter" w:hAnsi="Inter"/>
                <w:b w:val="0"/>
                <w:color w:val="1A1A1A"/>
                <w:sz w:val="19"/>
              </w:rPr>
              <w:t>CA 121151 SU2 WB1.docx</w:t>
            </w:r>
          </w:p>
        </w:tc>
      </w:tr>
      <w:tr>
        <w:tc>
          <w:tcPr>
            <w:tcW w:type="dxa" w:w="5010"/>
            <w:shd w:val="clear" w:fill="F4F1EA"/>
          </w:tcPr>
          <w:p>
            <w:pPr>
              <w:keepNext/>
              <w:spacing w:after="40"/>
              <w:jc w:val="left"/>
            </w:pPr>
            <w:r>
              <w:rPr>
                <w:rFonts w:ascii="Inter" w:hAnsi="Inter"/>
                <w:b w:val="0"/>
                <w:color w:val="1A1A1A"/>
                <w:sz w:val="19"/>
              </w:rPr>
              <w:t>CA 121151 SU2 WB1 AG.docx.docx</w:t>
            </w:r>
          </w:p>
        </w:tc>
        <w:tc>
          <w:tcPr>
            <w:tcW w:type="dxa" w:w="4175"/>
            <w:shd w:val="clear" w:fill="F4F1EA"/>
          </w:tcPr>
          <w:p>
            <w:pPr>
              <w:keepNext/>
              <w:spacing w:after="40"/>
              <w:jc w:val="left"/>
            </w:pPr>
            <w:r>
              <w:rPr>
                <w:rFonts w:ascii="Inter" w:hAnsi="Inter"/>
                <w:b w:val="0"/>
                <w:color w:val="1A1A1A"/>
                <w:sz w:val="19"/>
              </w:rPr>
              <w:t>CA 121151 SU2 WB1 AG.docx</w:t>
            </w:r>
          </w:p>
        </w:tc>
      </w:tr>
      <w:tr>
        <w:tc>
          <w:tcPr>
            <w:tcW w:type="dxa" w:w="5010"/>
          </w:tcPr>
          <w:p>
            <w:pPr>
              <w:keepNext/>
              <w:spacing w:after="40"/>
              <w:jc w:val="left"/>
            </w:pPr>
            <w:r>
              <w:rPr>
                <w:rFonts w:ascii="Inter" w:hAnsi="Inter"/>
                <w:b w:val="0"/>
                <w:color w:val="1A1A1A"/>
                <w:sz w:val="19"/>
              </w:rPr>
              <w:t>CA 121151 SU4 WB1 AG .docx</w:t>
            </w:r>
          </w:p>
        </w:tc>
        <w:tc>
          <w:tcPr>
            <w:tcW w:type="dxa" w:w="4175"/>
          </w:tcPr>
          <w:p>
            <w:pPr>
              <w:keepNext/>
              <w:spacing w:after="40"/>
              <w:jc w:val="left"/>
            </w:pPr>
            <w:r>
              <w:rPr>
                <w:rFonts w:ascii="Inter" w:hAnsi="Inter"/>
                <w:b w:val="0"/>
                <w:color w:val="1A1A1A"/>
                <w:sz w:val="19"/>
              </w:rPr>
              <w:t>CA 121151 SU4 WB1 AG.docx</w:t>
            </w:r>
          </w:p>
        </w:tc>
      </w:tr>
      <w:tr>
        <w:tc>
          <w:tcPr>
            <w:tcW w:type="dxa" w:w="5010"/>
            <w:shd w:val="clear" w:fill="F4F1EA"/>
          </w:tcPr>
          <w:p>
            <w:pPr>
              <w:spacing w:after="40"/>
              <w:jc w:val="left"/>
            </w:pPr>
            <w:r>
              <w:rPr>
                <w:rFonts w:ascii="Inter" w:hAnsi="Inter"/>
                <w:b w:val="0"/>
                <w:color w:val="1A1A1A"/>
                <w:sz w:val="19"/>
              </w:rPr>
              <w:t>CA 121151 SU5 WB1 .docx</w:t>
            </w:r>
          </w:p>
        </w:tc>
        <w:tc>
          <w:tcPr>
            <w:tcW w:type="dxa" w:w="4175"/>
            <w:shd w:val="clear" w:fill="F4F1EA"/>
          </w:tcPr>
          <w:p>
            <w:pPr>
              <w:spacing w:after="40"/>
              <w:jc w:val="left"/>
            </w:pPr>
            <w:r>
              <w:rPr>
                <w:rFonts w:ascii="Inter" w:hAnsi="Inter"/>
                <w:b w:val="0"/>
                <w:color w:val="1A1A1A"/>
                <w:sz w:val="19"/>
              </w:rPr>
              <w:t>CA 121151 SU5 WB1.docx</w:t>
            </w:r>
          </w:p>
        </w:tc>
      </w:tr>
    </w:tbl>
    <w:p>
      <w:pPr>
        <w:spacing w:after="80"/>
      </w:pPr>
    </w:p>
    <w:p>
      <w:pPr>
        <w:keepNext/>
        <w:spacing w:before="280" w:after="60"/>
        <w:pBdr>
          <w:bottom w:val="single" w:sz="4" w:space="8" w:color="B9975B"/>
        </w:pBdr>
      </w:pPr>
      <w:r>
        <w:rPr>
          <w:rFonts w:ascii="Montserrat" w:hAnsi="Montserrat"/>
          <w:b/>
          <w:color w:val="0D1E32"/>
          <w:sz w:val="28"/>
        </w:rPr>
        <w:t>Still open from 27 September, for your decision</w:t>
      </w:r>
    </w:p>
    <w:p>
      <w:pPr>
        <w:spacing w:after="140"/>
      </w:pPr>
      <w:r>
        <w:rPr>
          <w:rFonts w:ascii="Inter" w:hAnsi="Inter"/>
          <w:b w:val="0"/>
          <w:color w:val="1A1A1A"/>
          <w:sz w:val="21"/>
        </w:rPr>
        <w:t>SU5 SA5 Version 1, multiple-choice question 10, asks which standard provides guidelines for Quality of Hire metrics "(ISO/TS 30411)", and the correct option is "ISO 30400 Series". Naming 30411 in the question may give the answer away. It does not hold the qualification back; it is your decision whether the wording should change.</w:t>
      </w:r>
    </w:p>
    <w:p>
      <w:pPr>
        <w:keepNext/>
        <w:spacing w:before="280" w:after="60"/>
        <w:pBdr>
          <w:bottom w:val="single" w:sz="4" w:space="8" w:color="B9975B"/>
        </w:pBdr>
      </w:pPr>
      <w:r>
        <w:rPr>
          <w:rFonts w:ascii="Montserrat" w:hAnsi="Montserrat"/>
          <w:b/>
          <w:color w:val="0D1E32"/>
          <w:sz w:val="28"/>
        </w:rPr>
        <w:t>What happens next</w:t>
      </w:r>
    </w:p>
    <w:p>
      <w:pPr>
        <w:spacing w:after="140"/>
      </w:pPr>
      <w:r>
        <w:rPr>
          <w:rFonts w:ascii="Inter" w:hAnsi="Inter"/>
          <w:b w:val="0"/>
          <w:color w:val="1A1A1A"/>
          <w:sz w:val="21"/>
        </w:rPr>
        <w:t>Once the corrected files are uploaded and the qualification is built again, and the platform's reading faults are fixed on our side, the "Check and make live" page should show nothing holding 121151 back, and it can be made live. If anything is still listed then, I will check it against your files before coming back to you.</w:t>
      </w:r>
    </w:p>
    <w:p>
      <w:pPr>
        <w:spacing w:after="140"/>
      </w:pPr>
      <w:r>
        <w:rPr>
          <w:rFonts w:ascii="Inter" w:hAnsi="Inter"/>
          <w:b w:val="0"/>
          <w:color w:val="1A1A1A"/>
          <w:sz w:val="21"/>
        </w:rPr>
        <w:t>Thank you.</w:t>
      </w:r>
    </w:p>
    <w:p>
      <w:pPr>
        <w:spacing w:after="140"/>
      </w:pPr>
      <w:r>
        <w:rPr>
          <w:rFonts w:ascii="Inter" w:hAnsi="Inter"/>
          <w:b w:val="0"/>
          <w:color w:val="1A1A1A"/>
          <w:sz w:val="21"/>
        </w:rPr>
        <w:t>Roland</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