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Bdr>
          <w:bottom w:val="single" w:sz="12" w:space="8" w:color="B9975B"/>
        </w:pBdr>
      </w:pPr>
      <w:r>
        <w:rPr>
          <w:rFonts w:ascii="Montserrat" w:hAnsi="Montserrat"/>
          <w:b/>
          <w:color w:val="0D1E32"/>
          <w:sz w:val="44"/>
        </w:rPr>
        <w:t>Three things to check in the Study Unit 5 assessment material</w:t>
      </w:r>
    </w:p>
    <w:p>
      <w:pPr>
        <w:spacing w:after="140"/>
      </w:pPr>
      <w:r>
        <w:rPr>
          <w:rFonts w:ascii="Inter" w:hAnsi="Inter"/>
          <w:b/>
          <w:color w:val="1A1A1A"/>
          <w:sz w:val="21"/>
        </w:rPr>
        <w:t>For:</w:t>
      </w:r>
      <w:r>
        <w:rPr>
          <w:rFonts w:ascii="Inter" w:hAnsi="Inter"/>
          <w:b w:val="0"/>
          <w:color w:val="1A1A1A"/>
          <w:sz w:val="21"/>
        </w:rPr>
        <w:t xml:space="preserve"> Heidi Edwards, Curiosa Academy</w:t>
      </w:r>
      <w:r>
        <w:br/>
      </w:r>
      <w:r>
        <w:rPr>
          <w:rFonts w:ascii="Inter" w:hAnsi="Inter"/>
          <w:b/>
          <w:color w:val="1A1A1A"/>
          <w:sz w:val="21"/>
        </w:rPr>
        <w:t>From:</w:t>
      </w:r>
      <w:r>
        <w:rPr>
          <w:rFonts w:ascii="Inter" w:hAnsi="Inter"/>
          <w:b w:val="0"/>
          <w:color w:val="1A1A1A"/>
          <w:sz w:val="21"/>
        </w:rPr>
        <w:t xml:space="preserve"> Roland Jones, ROFT Strategic Workforce Advisory</w:t>
      </w:r>
      <w:r>
        <w:br/>
      </w:r>
      <w:r>
        <w:rPr>
          <w:rFonts w:ascii="Inter" w:hAnsi="Inter"/>
          <w:b/>
          <w:color w:val="1A1A1A"/>
          <w:sz w:val="21"/>
        </w:rPr>
        <w:t>Date:</w:t>
      </w:r>
      <w:r>
        <w:rPr>
          <w:rFonts w:ascii="Inter" w:hAnsi="Inter"/>
          <w:b w:val="0"/>
          <w:color w:val="1A1A1A"/>
          <w:sz w:val="21"/>
        </w:rPr>
        <w:t xml:space="preserve"> 27 September 2026</w:t>
      </w:r>
    </w:p>
    <w:p>
      <w:pPr>
        <w:spacing w:after="40"/>
        <w:pBdr>
          <w:bottom w:val="single" w:sz="4" w:space="8" w:color="B9975B"/>
        </w:pBdr>
      </w:pPr>
    </w:p>
    <w:p>
      <w:pPr>
        <w:keepNext/>
        <w:spacing w:before="280" w:after="60"/>
      </w:pPr>
      <w:r>
        <w:rPr>
          <w:rFonts w:ascii="Montserrat" w:hAnsi="Montserrat"/>
          <w:b/>
          <w:color w:val="0D1E32"/>
          <w:sz w:val="28"/>
        </w:rPr>
        <w:t>Why I am asking</w:t>
      </w:r>
    </w:p>
    <w:p>
      <w:pPr>
        <w:spacing w:after="140"/>
      </w:pPr>
      <w:r>
        <w:rPr>
          <w:rFonts w:ascii="Inter" w:hAnsi="Inter"/>
          <w:b w:val="0"/>
          <w:color w:val="1A1A1A"/>
          <w:sz w:val="21"/>
        </w:rPr>
        <w:t>I have been loading the 121151 workbooks and assessments into the platform. As each one is read, the platform lists what it could not make sense of, and for Study Unit 5's summative assessment (SA5) it listed eighteen problems.</w:t>
      </w:r>
    </w:p>
    <w:p>
      <w:pPr>
        <w:spacing w:after="140"/>
      </w:pPr>
      <w:r>
        <w:rPr>
          <w:rFonts w:ascii="Inter" w:hAnsi="Inter"/>
          <w:b w:val="0"/>
          <w:color w:val="1A1A1A"/>
          <w:sz w:val="21"/>
        </w:rPr>
        <w:t>We went through every one of them against your original files. Most turned out to be the platform misreading the documents, not mistakes in them: it did not recognise answer keys written as "Q1, Q2", or the line "Each question carries 1 mark". Those are being fixed on our side and need nothing from you.</w:t>
      </w:r>
    </w:p>
    <w:p>
      <w:pPr>
        <w:spacing w:after="140"/>
      </w:pPr>
      <w:r>
        <w:rPr>
          <w:rFonts w:ascii="Inter" w:hAnsi="Inter"/>
          <w:b w:val="0"/>
          <w:color w:val="1A1A1A"/>
          <w:sz w:val="21"/>
        </w:rPr>
        <w:t>Three things, however, are in the documents themselves. I would be grateful if you could look at them, because only you can say what was intended.</w:t>
      </w:r>
    </w:p>
    <w:p>
      <w:pPr>
        <w:spacing w:after="140"/>
      </w:pPr>
      <w:r>
        <w:rPr>
          <w:rFonts w:ascii="Inter" w:hAnsi="Inter"/>
          <w:b w:val="0"/>
          <w:color w:val="1A1A1A"/>
          <w:sz w:val="21"/>
        </w:rPr>
        <w:t>The files are in the 121151 testing folder, under Study Unit 5.</w:t>
      </w:r>
    </w:p>
    <w:p>
      <w:pPr>
        <w:keepNext/>
        <w:spacing w:before="280" w:after="60"/>
        <w:pBdr>
          <w:bottom w:val="single" w:sz="4" w:space="8" w:color="B9975B"/>
        </w:pBdr>
      </w:pPr>
      <w:r>
        <w:rPr>
          <w:rFonts w:ascii="Montserrat" w:hAnsi="Montserrat"/>
          <w:b/>
          <w:color w:val="0D1E32"/>
          <w:sz w:val="28"/>
        </w:rPr>
        <w:t>1. The two Version 2 files have each other's names</w:t>
      </w:r>
    </w:p>
    <w:tbl>
      <w:tblPr>
        <w:tblStyle w:val="TableGrid"/>
        <w:tblW w:type="auto" w:w="0"/>
        <w:jc w:val="center"/>
        <w:tblLayout w:type="fixed"/>
        <w:tblLook w:firstColumn="1" w:firstRow="1" w:lastColumn="0" w:lastRow="0" w:noHBand="0" w:noVBand="1" w:val="04A0"/>
      </w:tblPr>
      <w:tblGrid>
        <w:gridCol w:w="2922"/>
        <w:gridCol w:w="6262"/>
      </w:tblGrid>
      <w:tr>
        <w:trPr>
          <w:tblHeader w:val="true"/>
        </w:trPr>
        <w:tc>
          <w:tcPr>
            <w:tcW w:type="dxa" w:w="2922"/>
            <w:shd w:val="clear" w:fill="0D1E32"/>
          </w:tcPr>
          <w:p>
            <w:pPr>
              <w:keepNext/>
              <w:spacing w:after="40"/>
            </w:pPr>
            <w:r>
              <w:rPr>
                <w:rFonts w:ascii="Montserrat" w:hAnsi="Montserrat"/>
                <w:b/>
                <w:color w:val="FFFFFF"/>
                <w:sz w:val="19"/>
              </w:rPr>
              <w:t>File name</w:t>
            </w:r>
          </w:p>
        </w:tc>
        <w:tc>
          <w:tcPr>
            <w:tcW w:type="dxa" w:w="6262"/>
            <w:shd w:val="clear" w:fill="0D1E32"/>
          </w:tcPr>
          <w:p>
            <w:pPr>
              <w:keepNext/>
              <w:spacing w:after="40"/>
            </w:pPr>
            <w:r>
              <w:rPr>
                <w:rFonts w:ascii="Montserrat" w:hAnsi="Montserrat"/>
                <w:b/>
                <w:color w:val="FFFFFF"/>
                <w:sz w:val="19"/>
              </w:rPr>
              <w:t>What the document actually is</w:t>
            </w:r>
          </w:p>
        </w:tc>
      </w:tr>
      <w:tr>
        <w:tc>
          <w:tcPr>
            <w:tcW w:type="dxa" w:w="2922"/>
          </w:tcPr>
          <w:p>
            <w:pPr>
              <w:keepNext/>
              <w:spacing w:after="40"/>
              <w:jc w:val="left"/>
            </w:pPr>
            <w:r>
              <w:rPr>
                <w:rFonts w:ascii="Inter" w:hAnsi="Inter"/>
                <w:b w:val="0"/>
                <w:color w:val="1A1A1A"/>
                <w:sz w:val="19"/>
              </w:rPr>
              <w:t>CA 121151 SU5 SA5 V2.docx</w:t>
            </w:r>
          </w:p>
        </w:tc>
        <w:tc>
          <w:tcPr>
            <w:tcW w:type="dxa" w:w="6262"/>
          </w:tcPr>
          <w:p>
            <w:pPr>
              <w:keepNext/>
              <w:spacing w:after="40"/>
              <w:jc w:val="left"/>
            </w:pPr>
            <w:r>
              <w:rPr>
                <w:rFonts w:ascii="Inter" w:hAnsi="Inter"/>
                <w:b w:val="0"/>
                <w:color w:val="1A1A1A"/>
                <w:sz w:val="19"/>
              </w:rPr>
              <w:t xml:space="preserve">The </w:t>
            </w:r>
            <w:r>
              <w:rPr>
                <w:rFonts w:ascii="Inter" w:hAnsi="Inter"/>
                <w:b/>
                <w:color w:val="1A1A1A"/>
                <w:sz w:val="19"/>
              </w:rPr>
              <w:t>assessor guide</w:t>
            </w:r>
            <w:r>
              <w:rPr>
                <w:rFonts w:ascii="Inter" w:hAnsi="Inter"/>
                <w:b w:val="0"/>
                <w:color w:val="1A1A1A"/>
                <w:sz w:val="19"/>
              </w:rPr>
              <w:t>. Its heading reads "Assessor Guide &amp; Marking Memorandum, Version 2".</w:t>
            </w:r>
          </w:p>
        </w:tc>
      </w:tr>
      <w:tr>
        <w:tc>
          <w:tcPr>
            <w:tcW w:type="dxa" w:w="2922"/>
            <w:shd w:val="clear" w:fill="F4F1EA"/>
          </w:tcPr>
          <w:p>
            <w:pPr>
              <w:spacing w:after="40"/>
              <w:jc w:val="left"/>
            </w:pPr>
            <w:r>
              <w:rPr>
                <w:rFonts w:ascii="Inter" w:hAnsi="Inter"/>
                <w:b w:val="0"/>
                <w:color w:val="1A1A1A"/>
                <w:sz w:val="19"/>
              </w:rPr>
              <w:t>CA 121151 SU5 SA5 V2 AG.docx</w:t>
            </w:r>
          </w:p>
        </w:tc>
        <w:tc>
          <w:tcPr>
            <w:tcW w:type="dxa" w:w="6262"/>
            <w:shd w:val="clear" w:fill="F4F1EA"/>
          </w:tcPr>
          <w:p>
            <w:pPr>
              <w:spacing w:after="40"/>
              <w:jc w:val="left"/>
            </w:pPr>
            <w:r>
              <w:rPr>
                <w:rFonts w:ascii="Inter" w:hAnsi="Inter"/>
                <w:b w:val="0"/>
                <w:color w:val="1A1A1A"/>
                <w:sz w:val="19"/>
              </w:rPr>
              <w:t xml:space="preserve">The </w:t>
            </w:r>
            <w:r>
              <w:rPr>
                <w:rFonts w:ascii="Inter" w:hAnsi="Inter"/>
                <w:b/>
                <w:color w:val="1A1A1A"/>
                <w:sz w:val="19"/>
              </w:rPr>
              <w:t>learner's script</w:t>
            </w:r>
            <w:r>
              <w:rPr>
                <w:rFonts w:ascii="Inter" w:hAnsi="Inter"/>
                <w:b w:val="0"/>
                <w:color w:val="1A1A1A"/>
                <w:sz w:val="19"/>
              </w:rPr>
              <w:t>. Its heading reads "Instructions to Learners (Version 2)".</w:t>
            </w:r>
          </w:p>
        </w:tc>
      </w:tr>
    </w:tbl>
    <w:p>
      <w:pPr>
        <w:spacing w:after="80"/>
      </w:pPr>
    </w:p>
    <w:p>
      <w:pPr>
        <w:spacing w:after="140"/>
      </w:pPr>
      <w:r>
        <w:rPr>
          <w:rFonts w:ascii="Inter" w:hAnsi="Inter"/>
          <w:b w:val="0"/>
          <w:color w:val="1A1A1A"/>
          <w:sz w:val="21"/>
        </w:rPr>
        <w:t>Version 1 is named correctly. Please confirm Version 2 is simply named the wrong way round, so the files can be renamed. As they stand, a learner handed the file called "V2" would receive the marking memorandum.</w:t>
      </w:r>
    </w:p>
    <w:p>
      <w:pPr>
        <w:keepNext/>
        <w:spacing w:before="280" w:after="60"/>
        <w:pBdr>
          <w:bottom w:val="single" w:sz="4" w:space="8" w:color="B9975B"/>
        </w:pBdr>
      </w:pPr>
      <w:r>
        <w:rPr>
          <w:rFonts w:ascii="Montserrat" w:hAnsi="Montserrat"/>
          <w:b/>
          <w:color w:val="0D1E32"/>
          <w:sz w:val="28"/>
        </w:rPr>
        <w:t>2. Version 2 asks learners to answer a Section D that is not there</w:t>
      </w:r>
    </w:p>
    <w:p>
      <w:pPr>
        <w:spacing w:after="140"/>
      </w:pPr>
      <w:r>
        <w:rPr>
          <w:rFonts w:ascii="Inter" w:hAnsi="Inter"/>
          <w:b w:val="0"/>
          <w:color w:val="1A1A1A"/>
          <w:sz w:val="21"/>
        </w:rPr>
        <w:t>The first instruction in the Version 2 learner's script says:</w:t>
      </w:r>
    </w:p>
    <w:p>
      <w:pPr>
        <w:spacing w:before="120" w:after="180"/>
        <w:ind w:left="340"/>
        <w:pBdr>
          <w:left w:val="single" w:sz="18" w:space="8" w:color="B9975B"/>
        </w:pBdr>
      </w:pPr>
      <w:r>
        <w:rPr>
          <w:rFonts w:ascii="Inter" w:hAnsi="Inter"/>
          <w:b w:val="0"/>
          <w:color w:val="0D1E32"/>
          <w:sz w:val="22"/>
        </w:rPr>
        <w:t>Answer ALL questions in Section A, Section B, Section C, and Section D.</w:t>
      </w:r>
    </w:p>
    <w:p>
      <w:pPr>
        <w:spacing w:after="140"/>
      </w:pPr>
      <w:r>
        <w:rPr>
          <w:rFonts w:ascii="Inter" w:hAnsi="Inter"/>
          <w:b w:val="0"/>
          <w:color w:val="1A1A1A"/>
          <w:sz w:val="21"/>
        </w:rPr>
        <w:t>Version 2 has three sections: A (the case study, 65 marks), B (multiple choice, 15 marks) and C (true or false with justification, 20 marks), which make the 100 marks. The instruction appears to have been carried over from Version 1, which does have four sections. Please confirm it should read "Section A, Section B and Section C".</w:t>
      </w:r>
    </w:p>
    <w:p>
      <w:pPr>
        <w:keepNext/>
        <w:spacing w:before="280" w:after="60"/>
        <w:pBdr>
          <w:bottom w:val="single" w:sz="4" w:space="8" w:color="B9975B"/>
        </w:pBdr>
      </w:pPr>
      <w:r>
        <w:rPr>
          <w:rFonts w:ascii="Montserrat" w:hAnsi="Montserrat"/>
          <w:b/>
          <w:color w:val="0D1E32"/>
          <w:sz w:val="28"/>
        </w:rPr>
        <w:t>3. Version 1, multiple-choice question 10</w:t>
      </w:r>
    </w:p>
    <w:p>
      <w:pPr>
        <w:spacing w:before="120" w:after="180"/>
        <w:ind w:left="340"/>
        <w:pBdr>
          <w:left w:val="single" w:sz="18" w:space="8" w:color="B9975B"/>
        </w:pBdr>
      </w:pPr>
      <w:r>
        <w:rPr>
          <w:rFonts w:ascii="Inter" w:hAnsi="Inter"/>
          <w:b w:val="0"/>
          <w:color w:val="0D1E32"/>
          <w:sz w:val="22"/>
        </w:rPr>
        <w:t>Which international standard provides guidelines for Human Resource Management - Quality of Hire metrics (ISO/TS 30411)?</w:t>
      </w:r>
    </w:p>
    <w:p>
      <w:pPr>
        <w:spacing w:after="140"/>
      </w:pPr>
      <w:r>
        <w:rPr>
          <w:rFonts w:ascii="Inter" w:hAnsi="Inter"/>
          <w:b w:val="0"/>
          <w:color w:val="1A1A1A"/>
          <w:sz w:val="21"/>
        </w:rPr>
        <w:t>The options are ISO 9001, ISO 14001, ISO 30400 Series and ISO 45001, and the assessor guide gives "ISO 30400 Series" as correct.</w:t>
      </w:r>
    </w:p>
    <w:p>
      <w:pPr>
        <w:spacing w:after="140"/>
      </w:pPr>
      <w:r>
        <w:rPr>
          <w:rFonts w:ascii="Inter" w:hAnsi="Inter"/>
          <w:b w:val="0"/>
          <w:color w:val="1A1A1A"/>
          <w:sz w:val="21"/>
        </w:rPr>
        <w:t>The question names ISO/TS 30411 itself, which is part of the ISO 30400 series, so the answer may be given away in the question, or a learner may look for "30411" among the options and not find it. Please decide whether the wording should change.</w:t>
      </w:r>
    </w:p>
    <w:p>
      <w:pPr>
        <w:spacing w:after="140"/>
      </w:pPr>
      <w:r>
        <w:rPr>
          <w:rFonts w:ascii="Inter" w:hAnsi="Inter"/>
          <w:b w:val="0"/>
          <w:color w:val="1A1A1A"/>
          <w:sz w:val="21"/>
        </w:rPr>
        <w:t>A small related point in the same assessor guide: questions 10 and 14 are numbered "10" and "14" in the answer table, where every other question is "Q1", "Q2" and so on. It makes no difference to a reader, but it would be tidy to make them match.</w:t>
      </w:r>
    </w:p>
    <w:p>
      <w:pPr>
        <w:keepNext/>
        <w:spacing w:before="280" w:after="60"/>
        <w:pBdr>
          <w:bottom w:val="single" w:sz="4" w:space="8" w:color="B9975B"/>
        </w:pBdr>
      </w:pPr>
      <w:r>
        <w:rPr>
          <w:rFonts w:ascii="Montserrat" w:hAnsi="Montserrat"/>
          <w:b/>
          <w:color w:val="0D1E32"/>
          <w:sz w:val="28"/>
        </w:rPr>
        <w:t>What happens next</w:t>
      </w:r>
    </w:p>
    <w:p>
      <w:pPr>
        <w:spacing w:after="140"/>
      </w:pPr>
      <w:r>
        <w:rPr>
          <w:rFonts w:ascii="Inter" w:hAnsi="Inter"/>
          <w:b w:val="0"/>
          <w:color w:val="1A1A1A"/>
          <w:sz w:val="21"/>
        </w:rPr>
        <w:t>Once you have looked at these, I will load the corrected files. The rest of Study Unit 5, and the other study units, are being checked the same way; I will only come back to you with anything that is genuinely in the material.</w:t>
      </w:r>
    </w:p>
    <w:p>
      <w:pPr>
        <w:spacing w:after="140"/>
      </w:pPr>
      <w:r>
        <w:rPr>
          <w:rFonts w:ascii="Inter" w:hAnsi="Inter"/>
          <w:b w:val="0"/>
          <w:color w:val="1A1A1A"/>
          <w:sz w:val="21"/>
        </w:rPr>
        <w:t>Thank you.</w:t>
      </w:r>
    </w:p>
    <w:p>
      <w:pPr>
        <w:spacing w:after="140"/>
      </w:pPr>
      <w:r>
        <w:rPr>
          <w:rFonts w:ascii="Inter" w:hAnsi="Inter"/>
          <w:b w:val="0"/>
          <w:color w:val="1A1A1A"/>
          <w:sz w:val="21"/>
        </w:rPr>
        <w:t>Roland</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