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into isiZulu, 2026-10-02</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Other</w:t>
      </w:r>
    </w:p>
    <w:p>
      <w:pPr>
        <w:spacing w:after="60"/>
      </w:pPr>
      <w:r>
        <w:rPr>
          <w:sz w:val="22"/>
        </w:rPr>
        <w:t xml:space="preserve">[4530] SCORM 2004 package “{1}” unpacked, {2} files. Learners play it in this lesson, and it completes the lesson when they finish.</w:t>
      </w:r>
    </w:p>
    <w:p>
      <w:pPr>
        <w:spacing w:before="240" w:after="80"/>
      </w:pPr>
      <w:r>
        <w:rPr>
          <w:b/>
          <w:sz w:val="26"/>
        </w:rPr>
        <w:t xml:space="preserve">Messages the platform writes: errors, confirmations, notifications</w:t>
      </w:r>
    </w:p>
    <w:p>
      <w:pPr>
        <w:spacing w:after="60"/>
      </w:pPr>
      <w:r>
        <w:rPr>
          <w:sz w:val="22"/>
        </w:rPr>
        <w:t xml:space="preserve">[4531] The manifest says it is "{1}", which is neither SCORM 1.2 nor SCORM 2004.</w:t>
      </w:r>
    </w:p>
    <w:p>
      <w:pPr>
        <w:spacing w:after="60"/>
      </w:pPr>
      <w:r>
        <w:rPr>
          <w:sz w:val="22"/>
        </w:rPr>
        <w:t xml:space="preserve">[4532] This is a cmi5 package. The platform plays SCORM 1.2 and SCORM 2004 packages; most authoring tools can publish as either.</w:t>
      </w:r>
    </w:p>
    <w:p>
      <w:pPr>
        <w:spacing w:before="240" w:after="80"/>
      </w:pPr>
      <w:r>
        <w:rPr>
          <w:b/>
          <w:sz w:val="26"/>
        </w:rPr>
        <w:t xml:space="preserve">Your account</w:t>
      </w:r>
    </w:p>
    <w:p>
      <w:pPr>
        <w:spacing w:after="60"/>
      </w:pPr>
      <w:r>
        <w:rPr>
          <w:sz w:val="22"/>
        </w:rPr>
        <w:t xml:space="preserve">[4533] English is the main language of this platform. The other languages are offered to help anyone who finds English difficult. Their translations were made by machine and have not been checked by a translator, so they will not always read fluently or say things exactly. Where the meaning matters, such as an assessment instruction or a decision about your work, the English is what counts.</w:t>
      </w:r>
    </w:p>
    <w:sectPr>
      <w:pgSz w:w="11906" w:h="16838"/>
      <w:pgMar w:top="1134" w:right="1134" w:bottom="1134" w:left="1134" w:header="0" w:footer="0" w:gutter="0"/>
    </w:sectPr>
  </w:body>
</w:document>
</file>