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4A148C"/>
            <w:tcMar>
              <w:top w:w="80" w:type="dxa"/>
              <w:bottom w:w="80" w:type="dxa"/>
              <w:left w:w="120" w:type="dxa"/>
              <w:right w:w="120" w:type="dxa"/>
            </w:tcMar>
          </w:tcPr>
          <w:p>
            <w:pPr>
              <w:spacing w:after="0"/>
            </w:pPr>
            <w:r>
              <w:rPr>
                <w:rFonts w:ascii="Arial" w:hAnsi="Arial"/>
                <w:b/>
                <w:color w:val="FFFFFF"/>
                <w:sz w:val="19"/>
              </w:rPr>
              <w:t>INSTITUTION:</w:t>
            </w:r>
          </w:p>
        </w:tc>
        <w:tc>
          <w:tcPr>
            <w:tcW w:type="dxa" w:w="6192"/>
            <w:shd w:fill="F3E5F5"/>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MODULES COVERED:</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t>KM-02 (Making Talent Management &amp; Workforce Plans Work, 7 Credits)</w:t>
              <w:br/>
              <w:t>PM-02 (Facilitating Effective Talent Management, 8 Credits)</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DOCUMENT TYPE:</w:t>
            </w:r>
          </w:p>
        </w:tc>
        <w:tc>
          <w:tcPr>
            <w:tcW w:type="dxa" w:w="6192"/>
            <w:shd w:fill="F3E5F5"/>
            <w:tcMar>
              <w:top w:w="80" w:type="dxa"/>
              <w:bottom w:w="80" w:type="dxa"/>
              <w:left w:w="120" w:type="dxa"/>
              <w:right w:w="120" w:type="dxa"/>
            </w:tcMar>
          </w:tcPr>
          <w:p>
            <w:pPr>
              <w:spacing w:after="0"/>
            </w:pPr>
            <w:r>
              <w:rPr>
                <w:rFonts w:ascii="Calibri" w:hAnsi="Calibri"/>
                <w:b/>
                <w:color w:val="222222"/>
                <w:sz w:val="20"/>
              </w:rPr>
              <w:t>ASSESSOR GUIDE &amp; COMPREHENSIVE MARKING MEMORANDUM</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ASSESSMENT METHOD:</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t>Internal Summative Assessment (Script SU 2) | Total: 100 Marks | Pass: 75%</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ASSESSOR NAME &amp; REG #:</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t>__________________________________________________</w:t>
            </w:r>
          </w:p>
        </w:tc>
      </w:tr>
    </w:tbl>
    <w:p>
      <w:pPr>
        <w:spacing w:after="200"/>
      </w:pPr>
    </w:p>
    <w:p>
      <w:pPr>
        <w:keepNext/>
        <w:spacing w:before="320" w:after="120"/>
      </w:pPr>
      <w:r>
        <w:rPr>
          <w:rFonts w:ascii="Arial" w:hAnsi="Arial"/>
          <w:b/>
          <w:color w:val="4A148C"/>
          <w:sz w:val="32"/>
        </w:rPr>
        <w:t>SECTION 1: ASSESSOR GUIDANCE &amp; ASSESSMENT PRINCIPLES</w:t>
      </w:r>
    </w:p>
    <w:p>
      <w:pPr>
        <w:spacing w:after="80" w:line="276" w:lineRule="auto"/>
      </w:pPr>
      <w:r>
        <w:rPr>
          <w:rFonts w:ascii="Calibri" w:hAnsi="Calibri"/>
          <w:b w:val="0"/>
          <w:i w:val="0"/>
          <w:color w:val="222222"/>
          <w:sz w:val="22"/>
        </w:rPr>
        <w:t>1. Purpose of the Assessor Guide: This guide provides standardized evaluation criteria, comprehensive model answers, and a detailed 4-tier rubric for marking the Internal Summative Assessment for KM-02 and PM-02 under Qualification 121151.</w:t>
      </w:r>
    </w:p>
    <w:p>
      <w:pPr>
        <w:spacing w:after="80" w:line="276" w:lineRule="auto"/>
      </w:pPr>
      <w:r>
        <w:rPr>
          <w:rFonts w:ascii="Calibri" w:hAnsi="Calibri"/>
          <w:b w:val="0"/>
          <w:i w:val="0"/>
          <w:color w:val="222222"/>
          <w:sz w:val="22"/>
        </w:rPr>
        <w:t>2. Assessment Standard &amp; Benchmark: Learners must demonstrate detailed theoretical knowledge (NQF Level 6) and practical application capabilities aligned with the SABPP National People Practices and Governance Standard (Element 2: Talent Management), POPIA, EEA, and LRA statutory frameworks.</w:t>
      </w:r>
    </w:p>
    <w:p>
      <w:pPr>
        <w:spacing w:after="80" w:line="276" w:lineRule="auto"/>
      </w:pPr>
      <w:r>
        <w:rPr>
          <w:rFonts w:ascii="Calibri" w:hAnsi="Calibri"/>
          <w:b w:val="0"/>
          <w:i w:val="0"/>
          <w:color w:val="222222"/>
          <w:sz w:val="22"/>
        </w:rPr>
        <w:t>3. Pass Mark Threshold: The pass mark is strictly 75% (75/100 Marks). Candidates scoring below 75% must be awarded a 'Not Yet Competent' (NYC) result and scheduled for a targeted reassessment.</w:t>
      </w:r>
    </w:p>
    <w:p>
      <w:pPr>
        <w:spacing w:after="80" w:line="276" w:lineRule="auto"/>
      </w:pPr>
      <w:r>
        <w:rPr>
          <w:rFonts w:ascii="Calibri" w:hAnsi="Calibri"/>
          <w:b w:val="0"/>
          <w:i w:val="0"/>
          <w:color w:val="222222"/>
          <w:sz w:val="22"/>
        </w:rPr>
        <w:t>4. Principles of Assessment: Ensure Fairness, Validity, Reliability, and Practicability. All subjective evaluations (especially in Section D long responses) must be justified using the standardized analytic rubric provided in Section 5.</w:t>
      </w:r>
    </w:p>
    <w:p>
      <w:pPr>
        <w:spacing w:after="80" w:line="276" w:lineRule="auto"/>
      </w:pPr>
      <w:r>
        <w:rPr>
          <w:rFonts w:ascii="Calibri" w:hAnsi="Calibri"/>
          <w:b w:val="0"/>
          <w:i w:val="0"/>
          <w:color w:val="222222"/>
          <w:sz w:val="22"/>
        </w:rPr>
        <w:t>5. Evidence Collection &amp; Recording: Assessors must record individual section scores, detailed constructive feedback, and moderation notes on the final Assessor Result Summary Form included at the end of this guide.</w:t>
      </w:r>
    </w:p>
    <w:p>
      <w:pPr>
        <w:spacing w:after="200"/>
      </w:pPr>
    </w:p>
    <w:p>
      <w:pPr>
        <w:keepNext/>
        <w:spacing w:before="320" w:after="120"/>
      </w:pPr>
      <w:r>
        <w:rPr>
          <w:rFonts w:ascii="Arial" w:hAnsi="Arial"/>
          <w:b/>
          <w:color w:val="4A148C"/>
          <w:sz w:val="32"/>
        </w:rPr>
        <w:t>SECTION 2: SECTION A - MULTIPLE CHOICE MARKING KEY (15 MARKS)</w:t>
      </w:r>
    </w:p>
    <w:p>
      <w:pPr>
        <w:spacing w:after="120" w:line="276" w:lineRule="auto"/>
      </w:pPr>
      <w:r>
        <w:rPr>
          <w:rFonts w:ascii="Calibri" w:hAnsi="Calibri"/>
          <w:b w:val="0"/>
          <w:i/>
          <w:color w:val="222222"/>
          <w:sz w:val="22"/>
        </w:rPr>
        <w:t>Award 1 Mark for each correct answer. Total Section A = 15 Marks.</w:t>
      </w:r>
    </w:p>
    <w:tbl>
      <w:tblPr>
        <w:tblW w:type="auto" w:w="0"/>
        <w:jc w:val="center"/>
        <w:tblLook w:firstColumn="1" w:firstRow="1" w:lastColumn="0" w:lastRow="0" w:noHBand="0" w:noVBand="1" w:val="04A0"/>
      </w:tblPr>
      <w:tblGrid>
        <w:gridCol w:w="2340"/>
        <w:gridCol w:w="2340"/>
        <w:gridCol w:w="2340"/>
        <w:gridCol w:w="2340"/>
      </w:tblGrid>
      <w:tr>
        <w:tc>
          <w:tcPr>
            <w:tcW w:type="dxa" w:w="864"/>
            <w:shd w:fill="4A148C"/>
          </w:tcPr>
          <w:p>
            <w:pPr>
              <w:spacing w:after="0"/>
            </w:pPr>
            <w:r>
              <w:rPr>
                <w:rFonts w:ascii="Arial" w:hAnsi="Arial"/>
                <w:b/>
                <w:color w:val="FFFFFF"/>
                <w:sz w:val="18"/>
              </w:rPr>
              <w:t>Q#</w:t>
            </w:r>
          </w:p>
        </w:tc>
        <w:tc>
          <w:tcPr>
            <w:tcW w:type="dxa" w:w="864"/>
            <w:shd w:fill="4A148C"/>
          </w:tcPr>
          <w:p>
            <w:pPr>
              <w:spacing w:after="0"/>
            </w:pPr>
            <w:r>
              <w:rPr>
                <w:rFonts w:ascii="Arial" w:hAnsi="Arial"/>
                <w:b/>
                <w:color w:val="FFFFFF"/>
                <w:sz w:val="18"/>
              </w:rPr>
              <w:t>Key</w:t>
            </w:r>
          </w:p>
        </w:tc>
        <w:tc>
          <w:tcPr>
            <w:tcW w:type="dxa" w:w="3312"/>
            <w:shd w:fill="4A148C"/>
          </w:tcPr>
          <w:p>
            <w:pPr>
              <w:spacing w:after="0"/>
            </w:pPr>
            <w:r>
              <w:rPr>
                <w:rFonts w:ascii="Arial" w:hAnsi="Arial"/>
                <w:b/>
                <w:color w:val="FFFFFF"/>
                <w:sz w:val="18"/>
              </w:rPr>
              <w:t>Correct Option</w:t>
            </w:r>
          </w:p>
        </w:tc>
        <w:tc>
          <w:tcPr>
            <w:tcW w:type="dxa" w:w="4320"/>
            <w:shd w:fill="4A148C"/>
          </w:tcPr>
          <w:p>
            <w:pPr>
              <w:spacing w:after="0"/>
            </w:pPr>
            <w:r>
              <w:rPr>
                <w:rFonts w:ascii="Arial" w:hAnsi="Arial"/>
                <w:b/>
                <w:color w:val="FFFFFF"/>
                <w:sz w:val="18"/>
              </w:rPr>
              <w:t>Assessor Rationale / Technical Reference</w:t>
            </w:r>
          </w:p>
        </w:tc>
      </w:tr>
      <w:tr>
        <w:tc>
          <w:tcPr>
            <w:tcW w:type="dxa" w:w="864"/>
            <w:tcMar>
              <w:top w:w="60" w:type="dxa"/>
              <w:bottom w:w="60" w:type="dxa"/>
              <w:left w:w="80" w:type="dxa"/>
              <w:right w:w="80" w:type="dxa"/>
            </w:tcMar>
          </w:tcPr>
          <w:p>
            <w:r>
              <w:rPr>
                <w:rFonts w:ascii="Calibri" w:hAnsi="Calibri"/>
              </w:rPr>
              <w:t>Q1</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Aligning talent strategy directly with strategic intent and business goals</w:t>
            </w:r>
          </w:p>
        </w:tc>
        <w:tc>
          <w:tcPr>
            <w:tcW w:type="dxa" w:w="4320"/>
            <w:tcMar>
              <w:top w:w="60" w:type="dxa"/>
              <w:bottom w:w="60" w:type="dxa"/>
              <w:left w:w="80" w:type="dxa"/>
              <w:right w:w="80" w:type="dxa"/>
            </w:tcMar>
          </w:tcPr>
          <w:p>
            <w:r>
              <w:rPr>
                <w:rFonts w:ascii="Calibri" w:hAnsi="Calibri"/>
              </w:rPr>
              <w:t>SABPP National People Practices Standard Element 2 explicitly establishes that talent management must originate from and directly support the organization's strategic intent and employment value proposition (EVP).</w:t>
            </w:r>
          </w:p>
        </w:tc>
      </w:tr>
      <w:tr>
        <w:tc>
          <w:tcPr>
            <w:tcW w:type="dxa" w:w="864"/>
            <w:tcMar>
              <w:top w:w="60" w:type="dxa"/>
              <w:bottom w:w="60" w:type="dxa"/>
              <w:left w:w="80" w:type="dxa"/>
              <w:right w:w="80" w:type="dxa"/>
            </w:tcMar>
          </w:tcPr>
          <w:p>
            <w:r>
              <w:rPr>
                <w:rFonts w:ascii="Calibri" w:hAnsi="Calibri"/>
              </w:rPr>
              <w:t>Q2</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Predicting future number and types of skills/roles needed</w:t>
            </w:r>
          </w:p>
        </w:tc>
        <w:tc>
          <w:tcPr>
            <w:tcW w:type="dxa" w:w="4320"/>
            <w:tcMar>
              <w:top w:w="60" w:type="dxa"/>
              <w:bottom w:w="60" w:type="dxa"/>
              <w:left w:w="80" w:type="dxa"/>
              <w:right w:w="80" w:type="dxa"/>
            </w:tcMar>
          </w:tcPr>
          <w:p>
            <w:r>
              <w:rPr>
                <w:rFonts w:ascii="Calibri" w:hAnsi="Calibri"/>
              </w:rPr>
              <w:t>Demand forecasting involves analyzing business expansion targets and operational plans to project future workforce skills and role requirements, whereas supply forecasting evaluates internal talent availability.</w:t>
            </w:r>
          </w:p>
        </w:tc>
      </w:tr>
      <w:tr>
        <w:tc>
          <w:tcPr>
            <w:tcW w:type="dxa" w:w="864"/>
            <w:tcMar>
              <w:top w:w="60" w:type="dxa"/>
              <w:bottom w:w="60" w:type="dxa"/>
              <w:left w:w="80" w:type="dxa"/>
              <w:right w:w="80" w:type="dxa"/>
            </w:tcMar>
          </w:tcPr>
          <w:p>
            <w:r>
              <w:rPr>
                <w:rFonts w:ascii="Calibri" w:hAnsi="Calibri"/>
              </w:rPr>
              <w:t>Q3</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Internal staff hours spent screening resumes and interviewing</w:t>
            </w:r>
          </w:p>
        </w:tc>
        <w:tc>
          <w:tcPr>
            <w:tcW w:type="dxa" w:w="4320"/>
            <w:tcMar>
              <w:top w:w="60" w:type="dxa"/>
              <w:bottom w:w="60" w:type="dxa"/>
              <w:left w:w="80" w:type="dxa"/>
              <w:right w:w="80" w:type="dxa"/>
            </w:tcMar>
          </w:tcPr>
          <w:p>
            <w:r>
              <w:rPr>
                <w:rFonts w:ascii="Calibri" w:hAnsi="Calibri"/>
              </w:rPr>
              <w:t>Direct costs include external cash outlays (ads, agency fees, assessment licenses). Indirect costs represent internal operational time and opportunity cost spent by HR and line managers during recruitment.</w:t>
            </w:r>
          </w:p>
        </w:tc>
      </w:tr>
      <w:tr>
        <w:tc>
          <w:tcPr>
            <w:tcW w:type="dxa" w:w="864"/>
            <w:tcMar>
              <w:top w:w="60" w:type="dxa"/>
              <w:bottom w:w="60" w:type="dxa"/>
              <w:left w:w="80" w:type="dxa"/>
              <w:right w:w="80" w:type="dxa"/>
            </w:tcMar>
          </w:tcPr>
          <w:p>
            <w:r>
              <w:rPr>
                <w:rFonts w:ascii="Calibri" w:hAnsi="Calibri"/>
              </w:rPr>
              <w:t>Q4</w:t>
            </w:r>
          </w:p>
        </w:tc>
        <w:tc>
          <w:tcPr>
            <w:tcW w:type="dxa" w:w="864"/>
            <w:tcMar>
              <w:top w:w="60" w:type="dxa"/>
              <w:bottom w:w="60" w:type="dxa"/>
              <w:left w:w="80" w:type="dxa"/>
              <w:right w:w="80" w:type="dxa"/>
            </w:tcMar>
          </w:tcPr>
          <w:p>
            <w:r>
              <w:rPr>
                <w:rFonts w:ascii="Calibri" w:hAnsi="Calibri"/>
                <w:b/>
              </w:rPr>
              <w:t>A</w:t>
            </w:r>
          </w:p>
        </w:tc>
        <w:tc>
          <w:tcPr>
            <w:tcW w:type="dxa" w:w="3312"/>
            <w:tcMar>
              <w:top w:w="60" w:type="dxa"/>
              <w:bottom w:w="60" w:type="dxa"/>
              <w:left w:w="80" w:type="dxa"/>
              <w:right w:w="80" w:type="dxa"/>
            </w:tcMar>
          </w:tcPr>
          <w:p>
            <w:r>
              <w:rPr>
                <w:rFonts w:ascii="Calibri" w:hAnsi="Calibri"/>
              </w:rPr>
              <w:t>Comparing demand forecasts against supply forecasts to pinpoint talent deficits</w:t>
            </w:r>
          </w:p>
        </w:tc>
        <w:tc>
          <w:tcPr>
            <w:tcW w:type="dxa" w:w="4320"/>
            <w:tcMar>
              <w:top w:w="60" w:type="dxa"/>
              <w:bottom w:w="60" w:type="dxa"/>
              <w:left w:w="80" w:type="dxa"/>
              <w:right w:w="80" w:type="dxa"/>
            </w:tcMar>
          </w:tcPr>
          <w:p>
            <w:r>
              <w:rPr>
                <w:rFonts w:ascii="Calibri" w:hAnsi="Calibri"/>
              </w:rPr>
              <w:t>Gap analysis bridges demand and supply projections, allowing HR Officers to determine whether to buy, build, borrow, or bounce talent to meet strategic goals.</w:t>
            </w:r>
          </w:p>
        </w:tc>
      </w:tr>
      <w:tr>
        <w:tc>
          <w:tcPr>
            <w:tcW w:type="dxa" w:w="864"/>
            <w:tcMar>
              <w:top w:w="60" w:type="dxa"/>
              <w:bottom w:w="60" w:type="dxa"/>
              <w:left w:w="80" w:type="dxa"/>
              <w:right w:w="80" w:type="dxa"/>
            </w:tcMar>
          </w:tcPr>
          <w:p>
            <w:r>
              <w:rPr>
                <w:rFonts w:ascii="Calibri" w:hAnsi="Calibri"/>
              </w:rPr>
              <w:t>Q5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Scientifically valid, reliable, fair, and non-discriminatory</w:t>
            </w:r>
          </w:p>
        </w:tc>
        <w:tc>
          <w:tcPr>
            <w:tcW w:type="dxa" w:w="4320"/>
            <w:tcMar>
              <w:top w:w="60" w:type="dxa"/>
              <w:bottom w:w="60" w:type="dxa"/>
              <w:left w:w="80" w:type="dxa"/>
              <w:right w:w="80" w:type="dxa"/>
            </w:tcMar>
          </w:tcPr>
          <w:p>
            <w:r>
              <w:rPr>
                <w:rFonts w:ascii="Calibri" w:hAnsi="Calibri"/>
              </w:rPr>
              <w:t>Section 8 of the Employment Equity Act (EEA) strictly prohibits psychometric testing unless it is scientifically validated, reliable, applied fairly across all candidates, and unbiased against any group.</w:t>
            </w:r>
          </w:p>
        </w:tc>
      </w:tr>
      <w:tr>
        <w:tc>
          <w:tcPr>
            <w:tcW w:type="dxa" w:w="864"/>
            <w:tcMar>
              <w:top w:w="60" w:type="dxa"/>
              <w:bottom w:w="60" w:type="dxa"/>
              <w:left w:w="80" w:type="dxa"/>
              <w:right w:w="80" w:type="dxa"/>
            </w:tcMar>
          </w:tcPr>
          <w:p>
            <w:r>
              <w:rPr>
                <w:rFonts w:ascii="Calibri" w:hAnsi="Calibri"/>
              </w:rPr>
              <w:t>Q6</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Identifying and developing internal high-potential employees to fill key roles</w:t>
            </w:r>
          </w:p>
        </w:tc>
        <w:tc>
          <w:tcPr>
            <w:tcW w:type="dxa" w:w="4320"/>
            <w:tcMar>
              <w:top w:w="60" w:type="dxa"/>
              <w:bottom w:w="60" w:type="dxa"/>
              <w:left w:w="80" w:type="dxa"/>
              <w:right w:w="80" w:type="dxa"/>
            </w:tcMar>
          </w:tcPr>
          <w:p>
            <w:r>
              <w:rPr>
                <w:rFonts w:ascii="Calibri" w:hAnsi="Calibri"/>
              </w:rPr>
              <w:t>Succession planning focuses on continuity risk management by preparing high-potential employees (HiPos) through targeted development to step into critical roles seamlessly.</w:t>
            </w:r>
          </w:p>
        </w:tc>
      </w:tr>
      <w:tr>
        <w:tc>
          <w:tcPr>
            <w:tcW w:type="dxa" w:w="864"/>
            <w:tcMar>
              <w:top w:w="60" w:type="dxa"/>
              <w:bottom w:w="60" w:type="dxa"/>
              <w:left w:w="80" w:type="dxa"/>
              <w:right w:w="80" w:type="dxa"/>
            </w:tcMar>
          </w:tcPr>
          <w:p>
            <w:r>
              <w:rPr>
                <w:rFonts w:ascii="Calibri" w:hAnsi="Calibri"/>
              </w:rPr>
              <w:t>Q7</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HR Business Partner (HRBP)</w:t>
            </w:r>
          </w:p>
        </w:tc>
        <w:tc>
          <w:tcPr>
            <w:tcW w:type="dxa" w:w="4320"/>
            <w:tcMar>
              <w:top w:w="60" w:type="dxa"/>
              <w:bottom w:w="60" w:type="dxa"/>
              <w:left w:w="80" w:type="dxa"/>
              <w:right w:w="80" w:type="dxa"/>
            </w:tcMar>
          </w:tcPr>
          <w:p>
            <w:r>
              <w:rPr>
                <w:rFonts w:ascii="Calibri" w:hAnsi="Calibri"/>
              </w:rPr>
              <w:t>HRBPs act as strategic liaisons who interface directly with business unit leadership to translate operational strategy into localized workforce plans.</w:t>
            </w:r>
          </w:p>
        </w:tc>
      </w:tr>
      <w:tr>
        <w:tc>
          <w:tcPr>
            <w:tcW w:type="dxa" w:w="864"/>
            <w:tcMar>
              <w:top w:w="60" w:type="dxa"/>
              <w:bottom w:w="60" w:type="dxa"/>
              <w:left w:w="80" w:type="dxa"/>
              <w:right w:w="80" w:type="dxa"/>
            </w:tcMar>
          </w:tcPr>
          <w:p>
            <w:r>
              <w:rPr>
                <w:rFonts w:ascii="Calibri" w:hAnsi="Calibri"/>
              </w:rPr>
              <w:t>Q8</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Current and projected internal skills, capabilities, demographics, and mobility</w:t>
            </w:r>
          </w:p>
        </w:tc>
        <w:tc>
          <w:tcPr>
            <w:tcW w:type="dxa" w:w="4320"/>
            <w:tcMar>
              <w:top w:w="60" w:type="dxa"/>
              <w:bottom w:w="60" w:type="dxa"/>
              <w:left w:w="80" w:type="dxa"/>
              <w:right w:w="80" w:type="dxa"/>
            </w:tcMar>
          </w:tcPr>
          <w:p>
            <w:r>
              <w:rPr>
                <w:rFonts w:ascii="Calibri" w:hAnsi="Calibri"/>
              </w:rPr>
              <w:t>Supply forecasting analyzes existing human capital capabilities, turnover rates, retirement profiles, and internal talent mobility vectors.</w:t>
            </w:r>
          </w:p>
        </w:tc>
      </w:tr>
      <w:tr>
        <w:tc>
          <w:tcPr>
            <w:tcW w:type="dxa" w:w="864"/>
            <w:tcMar>
              <w:top w:w="60" w:type="dxa"/>
              <w:bottom w:w="60" w:type="dxa"/>
              <w:left w:w="80" w:type="dxa"/>
              <w:right w:w="80" w:type="dxa"/>
            </w:tcMar>
          </w:tcPr>
          <w:p>
            <w:r>
              <w:rPr>
                <w:rFonts w:ascii="Calibri" w:hAnsi="Calibri"/>
              </w:rPr>
              <w:t>Q9</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HR Talent Management Information System (HR-TMIS)</w:t>
            </w:r>
          </w:p>
        </w:tc>
        <w:tc>
          <w:tcPr>
            <w:tcW w:type="dxa" w:w="4320"/>
            <w:tcMar>
              <w:top w:w="60" w:type="dxa"/>
              <w:bottom w:w="60" w:type="dxa"/>
              <w:left w:w="80" w:type="dxa"/>
              <w:right w:w="80" w:type="dxa"/>
            </w:tcMar>
          </w:tcPr>
          <w:p>
            <w:r>
              <w:rPr>
                <w:rFonts w:ascii="Calibri" w:hAnsi="Calibri"/>
              </w:rPr>
              <w:t>An HR-TMIS serves as the centralized digital repository for employee profiles, competencies, learning management (LMS), performance evaluations, and succession tracking.</w:t>
            </w:r>
          </w:p>
        </w:tc>
      </w:tr>
      <w:tr>
        <w:tc>
          <w:tcPr>
            <w:tcW w:type="dxa" w:w="864"/>
            <w:tcMar>
              <w:top w:w="60" w:type="dxa"/>
              <w:bottom w:w="60" w:type="dxa"/>
              <w:left w:w="80" w:type="dxa"/>
              <w:right w:w="80" w:type="dxa"/>
            </w:tcMar>
          </w:tcPr>
          <w:p>
            <w:r>
              <w:rPr>
                <w:rFonts w:ascii="Calibri" w:hAnsi="Calibri"/>
              </w:rPr>
              <w:t>Q10</w:t>
            </w:r>
          </w:p>
        </w:tc>
        <w:tc>
          <w:tcPr>
            <w:tcW w:type="dxa" w:w="864"/>
            <w:tcMar>
              <w:top w:w="60" w:type="dxa"/>
              <w:bottom w:w="60" w:type="dxa"/>
              <w:left w:w="80" w:type="dxa"/>
              <w:right w:w="80" w:type="dxa"/>
            </w:tcMar>
          </w:tcPr>
          <w:p>
            <w:r>
              <w:rPr>
                <w:rFonts w:ascii="Calibri" w:hAnsi="Calibri"/>
                <w:b/>
              </w:rPr>
              <w:t>A</w:t>
            </w:r>
          </w:p>
        </w:tc>
        <w:tc>
          <w:tcPr>
            <w:tcW w:type="dxa" w:w="3312"/>
            <w:tcMar>
              <w:top w:w="60" w:type="dxa"/>
              <w:bottom w:w="60" w:type="dxa"/>
              <w:left w:w="80" w:type="dxa"/>
              <w:right w:w="80" w:type="dxa"/>
            </w:tcMar>
          </w:tcPr>
          <w:p>
            <w:r>
              <w:rPr>
                <w:rFonts w:ascii="Calibri" w:hAnsi="Calibri"/>
              </w:rPr>
              <w:t>Marketing the organization as an attractive employer of choice</w:t>
            </w:r>
          </w:p>
        </w:tc>
        <w:tc>
          <w:tcPr>
            <w:tcW w:type="dxa" w:w="4320"/>
            <w:tcMar>
              <w:top w:w="60" w:type="dxa"/>
              <w:bottom w:w="60" w:type="dxa"/>
              <w:left w:w="80" w:type="dxa"/>
              <w:right w:w="80" w:type="dxa"/>
            </w:tcMar>
          </w:tcPr>
          <w:p>
            <w:r>
              <w:rPr>
                <w:rFonts w:ascii="Calibri" w:hAnsi="Calibri"/>
              </w:rPr>
              <w:t>Employer Branding communicates the Employment Value Proposition (EVP) to differentiate the organization in the labor market and attract target candidate pools.</w:t>
            </w:r>
          </w:p>
        </w:tc>
      </w:tr>
      <w:tr>
        <w:tc>
          <w:tcPr>
            <w:tcW w:type="dxa" w:w="864"/>
            <w:tcMar>
              <w:top w:w="60" w:type="dxa"/>
              <w:bottom w:w="60" w:type="dxa"/>
              <w:left w:w="80" w:type="dxa"/>
              <w:right w:w="80" w:type="dxa"/>
            </w:tcMar>
          </w:tcPr>
          <w:p>
            <w:r>
              <w:rPr>
                <w:rFonts w:ascii="Calibri" w:hAnsi="Calibri"/>
              </w:rPr>
              <w:t>Q11</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Protection of Personal Information Act (POPIA)</w:t>
            </w:r>
          </w:p>
        </w:tc>
        <w:tc>
          <w:tcPr>
            <w:tcW w:type="dxa" w:w="4320"/>
            <w:tcMar>
              <w:top w:w="60" w:type="dxa"/>
              <w:bottom w:w="60" w:type="dxa"/>
              <w:left w:w="80" w:type="dxa"/>
              <w:right w:w="80" w:type="dxa"/>
            </w:tcMar>
          </w:tcPr>
          <w:p>
            <w:r>
              <w:rPr>
                <w:rFonts w:ascii="Calibri" w:hAnsi="Calibri"/>
              </w:rPr>
              <w:t>POPIA regulates the lawful processing, consent, storage, and destruction of candidate personal information during third-party background screening (e.g., via MIE).</w:t>
            </w:r>
          </w:p>
        </w:tc>
      </w:tr>
      <w:tr>
        <w:tc>
          <w:tcPr>
            <w:tcW w:type="dxa" w:w="864"/>
            <w:tcMar>
              <w:top w:w="60" w:type="dxa"/>
              <w:bottom w:w="60" w:type="dxa"/>
              <w:left w:w="80" w:type="dxa"/>
              <w:right w:w="80" w:type="dxa"/>
            </w:tcMar>
          </w:tcPr>
          <w:p>
            <w:r>
              <w:rPr>
                <w:rFonts w:ascii="Calibri" w:hAnsi="Calibri"/>
              </w:rPr>
              <w:t>Q12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Job Analysis and Competency Modelling</w:t>
            </w:r>
          </w:p>
        </w:tc>
        <w:tc>
          <w:tcPr>
            <w:tcW w:type="dxa" w:w="4320"/>
            <w:tcMar>
              <w:top w:w="60" w:type="dxa"/>
              <w:bottom w:w="60" w:type="dxa"/>
              <w:left w:w="80" w:type="dxa"/>
              <w:right w:w="80" w:type="dxa"/>
            </w:tcMar>
          </w:tcPr>
          <w:p>
            <w:r>
              <w:rPr>
                <w:rFonts w:ascii="Calibri" w:hAnsi="Calibri"/>
              </w:rPr>
              <w:t>Job analysis gathers detailed information on job duties, while competency modeling identifies the knowledge, skills, and abilities (KSAs) required for effective performance.</w:t>
            </w:r>
          </w:p>
        </w:tc>
      </w:tr>
      <w:tr>
        <w:tc>
          <w:tcPr>
            <w:tcW w:type="dxa" w:w="864"/>
            <w:tcMar>
              <w:top w:w="60" w:type="dxa"/>
              <w:bottom w:w="60" w:type="dxa"/>
              <w:left w:w="80" w:type="dxa"/>
              <w:right w:w="80" w:type="dxa"/>
            </w:tcMar>
          </w:tcPr>
          <w:p>
            <w:r>
              <w:rPr>
                <w:rFonts w:ascii="Calibri" w:hAnsi="Calibri"/>
              </w:rPr>
              <w:t>Q13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Making data-driven talent decisions regarding retention, skills gaps, and ROI</w:t>
            </w:r>
          </w:p>
        </w:tc>
        <w:tc>
          <w:tcPr>
            <w:tcW w:type="dxa" w:w="4320"/>
            <w:tcMar>
              <w:top w:w="60" w:type="dxa"/>
              <w:bottom w:w="60" w:type="dxa"/>
              <w:left w:w="80" w:type="dxa"/>
              <w:right w:w="80" w:type="dxa"/>
            </w:tcMar>
          </w:tcPr>
          <w:p>
            <w:r>
              <w:rPr>
                <w:rFonts w:ascii="Calibri" w:hAnsi="Calibri"/>
              </w:rPr>
              <w:t>People analytics leverages HR-TMIS data to extract actionable insights, optimize talent acquisition channels, reduce turnover, and measure L&amp;D intervention ROI.</w:t>
            </w:r>
          </w:p>
        </w:tc>
      </w:tr>
      <w:tr>
        <w:tc>
          <w:tcPr>
            <w:tcW w:type="dxa" w:w="864"/>
            <w:tcMar>
              <w:top w:w="60" w:type="dxa"/>
              <w:bottom w:w="60" w:type="dxa"/>
              <w:left w:w="80" w:type="dxa"/>
              <w:right w:w="80" w:type="dxa"/>
            </w:tcMar>
          </w:tcPr>
          <w:p>
            <w:r>
              <w:rPr>
                <w:rFonts w:ascii="Calibri" w:hAnsi="Calibri"/>
              </w:rPr>
              <w:t>Q14</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Gap Analysis</w:t>
            </w:r>
          </w:p>
        </w:tc>
        <w:tc>
          <w:tcPr>
            <w:tcW w:type="dxa" w:w="4320"/>
            <w:tcMar>
              <w:top w:w="60" w:type="dxa"/>
              <w:bottom w:w="60" w:type="dxa"/>
              <w:left w:w="80" w:type="dxa"/>
              <w:right w:w="80" w:type="dxa"/>
            </w:tcMar>
          </w:tcPr>
          <w:p>
            <w:r>
              <w:rPr>
                <w:rFonts w:ascii="Calibri" w:hAnsi="Calibri"/>
              </w:rPr>
              <w:t>In the SABPP Strategic Talent Management Process map, the Talent Review (evaluating current and pipeline talent) directly informs the Gap Analysis stage.</w:t>
            </w:r>
          </w:p>
        </w:tc>
      </w:tr>
      <w:tr>
        <w:tc>
          <w:tcPr>
            <w:tcW w:type="dxa" w:w="864"/>
            <w:tcMar>
              <w:top w:w="60" w:type="dxa"/>
              <w:bottom w:w="60" w:type="dxa"/>
              <w:left w:w="80" w:type="dxa"/>
              <w:right w:w="80" w:type="dxa"/>
            </w:tcMar>
          </w:tcPr>
          <w:p>
            <w:r>
              <w:rPr>
                <w:rFonts w:ascii="Calibri" w:hAnsi="Calibri"/>
              </w:rPr>
              <w:t>Q15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Welcoming new hires, clarifying role expectations, and ensuring smooth integration</w:t>
            </w:r>
          </w:p>
        </w:tc>
        <w:tc>
          <w:tcPr>
            <w:tcW w:type="dxa" w:w="4320"/>
            <w:tcMar>
              <w:top w:w="60" w:type="dxa"/>
              <w:bottom w:w="60" w:type="dxa"/>
              <w:left w:w="80" w:type="dxa"/>
              <w:right w:w="80" w:type="dxa"/>
            </w:tcMar>
          </w:tcPr>
          <w:p>
            <w:r>
              <w:rPr>
                <w:rFonts w:ascii="Calibri" w:hAnsi="Calibri"/>
              </w:rPr>
              <w:t>Induction facilitates rapid operational readiness and cultural integration, mitigating early-stage employee turnover.</w:t>
            </w:r>
          </w:p>
        </w:tc>
      </w:tr>
    </w:tbl>
    <w:p>
      <w:pPr>
        <w:spacing w:after="240"/>
      </w:pPr>
    </w:p>
    <w:p>
      <w:pPr>
        <w:keepNext/>
        <w:spacing w:before="320" w:after="120"/>
      </w:pPr>
      <w:r>
        <w:rPr>
          <w:rFonts w:ascii="Arial" w:hAnsi="Arial"/>
          <w:b/>
          <w:color w:val="4A148C"/>
          <w:sz w:val="32"/>
        </w:rPr>
        <w:t>SECTION 3: SECTION B - TRUE / FALSE MODEL ANSWERS (20 MARKS)</w:t>
      </w:r>
    </w:p>
    <w:p>
      <w:pPr>
        <w:spacing w:after="160" w:line="276" w:lineRule="auto"/>
      </w:pPr>
      <w:r>
        <w:rPr>
          <w:rFonts w:ascii="Calibri" w:hAnsi="Calibri"/>
          <w:b w:val="0"/>
          <w:i/>
          <w:color w:val="222222"/>
          <w:sz w:val="22"/>
        </w:rPr>
        <w:t>Marking Allocation per Statement: 1 Mark for correct True/False identification + 3 Marks for comprehensive technical justification citing SABPP standards or statutory provisions. Total: 4 Marks each (Total Section B = 20 Marks).</w:t>
      </w:r>
    </w:p>
    <w:p>
      <w:pPr>
        <w:keepNext/>
        <w:spacing w:after="40"/>
      </w:pPr>
      <w:r>
        <w:rPr>
          <w:rFonts w:ascii="Arial" w:hAnsi="Arial"/>
          <w:b/>
          <w:sz w:val="21"/>
        </w:rPr>
        <w:t xml:space="preserve">Statement 1: </w:t>
      </w:r>
      <w:r>
        <w:rPr>
          <w:rFonts w:ascii="Calibri" w:hAnsi="Calibri"/>
          <w:i/>
          <w:sz w:val="20"/>
        </w:rPr>
        <w:t>"Talent Management is a static, one-time HR project that focuses exclusively on hiring senior executive management."</w:t>
      </w:r>
    </w:p>
    <w:p>
      <w:pPr>
        <w:spacing w:after="160"/>
        <w:ind w:left="288"/>
      </w:pPr>
      <w:r>
        <w:rPr>
          <w:rFonts w:ascii="Calibri" w:hAnsi="Calibri"/>
          <w:b/>
          <w:color w:val="4A148C"/>
          <w:sz w:val="20"/>
        </w:rPr>
        <w:t>Official Key: [FALSE]</w:t>
        <w:br/>
      </w:r>
      <w:r>
        <w:rPr>
          <w:rFonts w:ascii="Calibri" w:hAnsi="Calibri"/>
          <w:sz w:val="19"/>
        </w:rPr>
        <w:t>Marking Guide (4 Marks Total):</w:t>
        <w:br/>
        <w:t>• [1 Mark] Correct Status: FALSE.</w:t>
        <w:br/>
        <w:t>• [3 Marks] Comprehensive Justification: Talent Management is an ongoing, integrated, organization-wide process encompassing attracting, deploying, developing, retaining, and optimizing talent at ALL levels across the entire employee lifecycle (SABPP Standard Element 2). It is not restricted to executive hiring nor is it a static, one-off project. It must adapt continuously to changing business strategies and workforce planning dynamics.</w:t>
      </w:r>
    </w:p>
    <w:p>
      <w:pPr>
        <w:keepNext/>
        <w:spacing w:after="40"/>
      </w:pPr>
      <w:r>
        <w:rPr>
          <w:rFonts w:ascii="Arial" w:hAnsi="Arial"/>
          <w:b/>
          <w:sz w:val="21"/>
        </w:rPr>
        <w:t xml:space="preserve">Statement 2: </w:t>
      </w:r>
      <w:r>
        <w:rPr>
          <w:rFonts w:ascii="Calibri" w:hAnsi="Calibri"/>
          <w:i/>
          <w:sz w:val="20"/>
        </w:rPr>
        <w:t>"According to South African labour practice and SABPP standards, line managers should be excluded from talent reviews and workforce planning, leaving it solely as an HR department task."</w:t>
      </w:r>
    </w:p>
    <w:p>
      <w:pPr>
        <w:spacing w:after="160"/>
        <w:ind w:left="288"/>
      </w:pPr>
      <w:r>
        <w:rPr>
          <w:rFonts w:ascii="Calibri" w:hAnsi="Calibri"/>
          <w:b/>
          <w:color w:val="4A148C"/>
          <w:sz w:val="20"/>
        </w:rPr>
        <w:t>Official Key: [FALSE]</w:t>
        <w:br/>
      </w:r>
      <w:r>
        <w:rPr>
          <w:rFonts w:ascii="Calibri" w:hAnsi="Calibri"/>
          <w:sz w:val="19"/>
        </w:rPr>
        <w:t>Marking Guide (4 Marks Total):</w:t>
        <w:br/>
        <w:t>• [1 Mark] Correct Status: FALSE.</w:t>
        <w:br/>
        <w:t>• [3 Marks] Comprehensive Justification: Effective Talent Management requires active strategic partnership with line management. According to SABPP Talent Management Standard Element 2, line managers are primary operational stakeholders responsible for evaluating day-to-day employee performance, segmenting talent, identifying critical skill gaps, participating in talent review panels, and coaching high-potential employees. HR acts as a facilitator and advisor.</w:t>
      </w:r>
    </w:p>
    <w:p>
      <w:pPr>
        <w:keepNext/>
        <w:spacing w:after="40"/>
      </w:pPr>
      <w:r>
        <w:rPr>
          <w:rFonts w:ascii="Arial" w:hAnsi="Arial"/>
          <w:b/>
          <w:sz w:val="21"/>
        </w:rPr>
        <w:t xml:space="preserve">Statement 3: </w:t>
      </w:r>
      <w:r>
        <w:rPr>
          <w:rFonts w:ascii="Calibri" w:hAnsi="Calibri"/>
          <w:i/>
          <w:sz w:val="20"/>
        </w:rPr>
        <w:t>"Psychometric testing during candidate selection is lawful in South Africa even if the test has not been scientifically validated, as long as the candidate verbally consents."</w:t>
      </w:r>
    </w:p>
    <w:p>
      <w:pPr>
        <w:spacing w:after="160"/>
        <w:ind w:left="288"/>
      </w:pPr>
      <w:r>
        <w:rPr>
          <w:rFonts w:ascii="Calibri" w:hAnsi="Calibri"/>
          <w:b/>
          <w:color w:val="4A148C"/>
          <w:sz w:val="20"/>
        </w:rPr>
        <w:t>Official Key: [FALSE]</w:t>
        <w:br/>
      </w:r>
      <w:r>
        <w:rPr>
          <w:rFonts w:ascii="Calibri" w:hAnsi="Calibri"/>
          <w:sz w:val="19"/>
        </w:rPr>
        <w:t>Marking Guide (4 Marks Total):</w:t>
        <w:br/>
        <w:t>• [1 Mark] Correct Status: FALSE.</w:t>
        <w:br/>
        <w:t>• [3 Marks] Comprehensive Justification: Under Section 8 of the Employment Equity Act (EEA 55 of 1998), psychometric testing of an employee or applicant is strictly prohibited unless the test has been scientifically shown to be valid and reliable, can be applied fairly to all employees, and is not biased against any employee or group. Verbal or written consent by a candidate CANNOT override non-compliance with statutory legislation.</w:t>
      </w:r>
    </w:p>
    <w:p>
      <w:pPr>
        <w:keepNext/>
        <w:spacing w:after="40"/>
      </w:pPr>
      <w:r>
        <w:rPr>
          <w:rFonts w:ascii="Arial" w:hAnsi="Arial"/>
          <w:b/>
          <w:sz w:val="21"/>
        </w:rPr>
        <w:t xml:space="preserve">Statement 4: </w:t>
      </w:r>
      <w:r>
        <w:rPr>
          <w:rFonts w:ascii="Calibri" w:hAnsi="Calibri"/>
          <w:i/>
          <w:sz w:val="20"/>
        </w:rPr>
        <w:t>"When aligning recruitment processes with collective bargaining agreements, the provisions of the collective agreement take precedence over informal departmental hiring habits."</w:t>
      </w:r>
    </w:p>
    <w:p>
      <w:pPr>
        <w:spacing w:after="160"/>
        <w:ind w:left="288"/>
      </w:pPr>
      <w:r>
        <w:rPr>
          <w:rFonts w:ascii="Calibri" w:hAnsi="Calibri"/>
          <w:b/>
          <w:color w:val="4A148C"/>
          <w:sz w:val="20"/>
        </w:rPr>
        <w:t>Official Key: [TRUE]</w:t>
        <w:br/>
      </w:r>
      <w:r>
        <w:rPr>
          <w:rFonts w:ascii="Calibri" w:hAnsi="Calibri"/>
          <w:sz w:val="19"/>
        </w:rPr>
        <w:t>Marking Guide (4 Marks Total):</w:t>
        <w:br/>
        <w:t>• [1 Mark] Correct Status: TRUE.</w:t>
        <w:br/>
        <w:t>• [3 Marks] Comprehensive Justification: Under Section 23 of the Labour Relations Act (LRA 66 of 1995), a collective agreement legally binds the employer and all employees covered by its scope. Where a collective agreement stipulates mandatory recruitment procedures, internal posting periods, or wage structures, these provisions legally override informal departmental hiring practices or conflicting internal guidelines.</w:t>
      </w:r>
    </w:p>
    <w:p>
      <w:pPr>
        <w:keepNext/>
        <w:spacing w:after="40"/>
      </w:pPr>
      <w:r>
        <w:rPr>
          <w:rFonts w:ascii="Arial" w:hAnsi="Arial"/>
          <w:b/>
          <w:sz w:val="21"/>
        </w:rPr>
        <w:t xml:space="preserve">Statement 5: </w:t>
      </w:r>
      <w:r>
        <w:rPr>
          <w:rFonts w:ascii="Calibri" w:hAnsi="Calibri"/>
          <w:i/>
          <w:sz w:val="20"/>
        </w:rPr>
        <w:t>"Workforce planning only focuses on headcount numbers and does not consider employee skills auditing or future technological advances like automation."</w:t>
      </w:r>
    </w:p>
    <w:p>
      <w:pPr>
        <w:spacing w:after="160"/>
        <w:ind w:left="288"/>
      </w:pPr>
      <w:r>
        <w:rPr>
          <w:rFonts w:ascii="Calibri" w:hAnsi="Calibri"/>
          <w:b/>
          <w:color w:val="4A148C"/>
          <w:sz w:val="20"/>
        </w:rPr>
        <w:t>Official Key: [FALSE]</w:t>
        <w:br/>
      </w:r>
      <w:r>
        <w:rPr>
          <w:rFonts w:ascii="Calibri" w:hAnsi="Calibri"/>
          <w:sz w:val="19"/>
        </w:rPr>
        <w:t>Marking Guide (4 Marks Total):</w:t>
        <w:br/>
        <w:t>• [1 Mark] Correct Status: FALSE.</w:t>
        <w:br/>
        <w:t>• [3 Marks] Comprehensive Justification: Modern workforce planning goes beyond basic numerical headcount forecasting to embrace skills-based forecasting, skills auditing, competency modeling, and scenario planning. It explicitly evaluates the impact of technological evolution (such as AI, robotics, and process automation) on job re-design and identifies the future human capabilities needed for organizational sustainability.</w:t>
      </w:r>
    </w:p>
    <w:p>
      <w:pPr>
        <w:spacing w:after="200"/>
      </w:pPr>
    </w:p>
    <w:p>
      <w:pPr>
        <w:keepNext/>
        <w:spacing w:before="320" w:after="120"/>
      </w:pPr>
      <w:r>
        <w:rPr>
          <w:rFonts w:ascii="Arial" w:hAnsi="Arial"/>
          <w:b/>
          <w:color w:val="4A148C"/>
          <w:sz w:val="32"/>
        </w:rPr>
        <w:t>SECTION 4: SECTION C - SHORT QUESTIONS MODEL ANSWERS (15 MARKS)</w:t>
      </w:r>
    </w:p>
    <w:p>
      <w:pPr>
        <w:spacing w:after="160" w:line="276" w:lineRule="auto"/>
      </w:pPr>
      <w:r>
        <w:rPr>
          <w:rFonts w:ascii="Calibri" w:hAnsi="Calibri"/>
          <w:b w:val="0"/>
          <w:i/>
          <w:color w:val="222222"/>
          <w:sz w:val="22"/>
        </w:rPr>
        <w:t>Each short question carries 5 Marks. Total Section C = 15 Marks.</w:t>
      </w:r>
    </w:p>
    <w:p>
      <w:pPr>
        <w:keepNext/>
        <w:spacing w:after="40"/>
      </w:pPr>
      <w:r>
        <w:rPr>
          <w:rFonts w:ascii="Arial" w:hAnsi="Arial"/>
          <w:b/>
          <w:color w:val="8E24AA"/>
          <w:sz w:val="21"/>
        </w:rPr>
        <w:t>Question 1: Demand &amp; Supply Forecasting (5 Marks)</w:t>
      </w:r>
    </w:p>
    <w:p>
      <w:pPr>
        <w:spacing w:after="160"/>
        <w:ind w:left="288"/>
      </w:pPr>
      <w:r>
        <w:rPr>
          <w:rFonts w:ascii="Calibri" w:hAnsi="Calibri"/>
          <w:sz w:val="19"/>
        </w:rPr>
        <w:t>Model Answer Criteria:</w:t>
        <w:br/>
        <w:t>1. Definition &amp; Distinction (2 Marks):</w:t>
        <w:br/>
        <w:t xml:space="preserve">   - Demand Forecasting: Predicting future human capital requirements (quantity and skill types) needed to achieve strategic expansion goals (e.g., Baobab Nuts needing 423 staff across 5 provinces).</w:t>
        <w:br/>
        <w:t xml:space="preserve">   - Supply Forecasting: Evaluating current internal talent capabilities/mobility and assessing external regional labor market availability.</w:t>
        <w:br/>
        <w:t>2. Baobab Nuts Data Inputs (3 Marks):</w:t>
        <w:br/>
        <w:t xml:space="preserve">   - Demand Data Inputs: Planned production volume capacity of the 2 new processing plants, sales growth targets in new provinces, machine operator-to-tonnage ratios.</w:t>
        <w:br/>
        <w:t xml:space="preserve">   - Supply Data Inputs: Internal skills audit/inventory of current 750 employees, historical turnover/retirement rates in Limpopo, regional market availability of agricultural technologists in expansion provinces.</w:t>
      </w:r>
    </w:p>
    <w:p>
      <w:pPr>
        <w:keepNext/>
        <w:spacing w:after="40"/>
      </w:pPr>
      <w:r>
        <w:rPr>
          <w:rFonts w:ascii="Arial" w:hAnsi="Arial"/>
          <w:b/>
          <w:color w:val="8E24AA"/>
          <w:sz w:val="21"/>
        </w:rPr>
        <w:t>Question 2: Candidate Screening &amp; Statutory Compliance (5 Marks)</w:t>
      </w:r>
    </w:p>
    <w:p>
      <w:pPr>
        <w:spacing w:after="160"/>
        <w:ind w:left="288"/>
      </w:pPr>
      <w:r>
        <w:rPr>
          <w:rFonts w:ascii="Calibri" w:hAnsi="Calibri"/>
          <w:sz w:val="19"/>
        </w:rPr>
        <w:t>Model Answer Criteria:</w:t>
        <w:br/>
        <w:t>1. Requirement 1 - POPIA Explicit Consent &amp; Purpose Specificity (2 Marks):</w:t>
        <w:br/>
        <w:t xml:space="preserve">   - Baobab Nuts must obtain prior written, signed consent from candidates before transmitting personal data to MIE for qualification, credit, or criminal verification. Data collected must strictly relate to job requirements.</w:t>
        <w:br/>
        <w:t>2. Requirement 2 - EEA Non-Discrimination in Background Vetting (2 Marks):</w:t>
        <w:br/>
        <w:t xml:space="preserve">   - Under EEA Section 6, background checks must be directly relevant to inherent job requirements (e.g., credit checks are legally permissible ONLY for financial handling roles; criminal checks must relate directly to operational security risks).</w:t>
        <w:br/>
        <w:t>3. Requirement 3 - POPIA Data Security &amp; Destruction Protocol (1 Mark):</w:t>
        <w:br/>
        <w:t xml:space="preserve">   - Unsuccessful candidate records must be securely archived or safely destroyed after the recruitment cycle to prevent unlawful disclosure.</w:t>
      </w:r>
    </w:p>
    <w:p>
      <w:pPr>
        <w:keepNext/>
        <w:spacing w:after="40"/>
      </w:pPr>
      <w:r>
        <w:rPr>
          <w:rFonts w:ascii="Arial" w:hAnsi="Arial"/>
          <w:b/>
          <w:color w:val="8E24AA"/>
          <w:sz w:val="21"/>
        </w:rPr>
        <w:t>Question 3: Structured 4-Phase Induction Framework (5 Marks)</w:t>
      </w:r>
    </w:p>
    <w:p>
      <w:pPr>
        <w:spacing w:after="160"/>
        <w:ind w:left="288"/>
      </w:pPr>
      <w:r>
        <w:rPr>
          <w:rFonts w:ascii="Calibri" w:hAnsi="Calibri"/>
          <w:sz w:val="19"/>
        </w:rPr>
        <w:t>Model Answer Criteria (Award 1.25 Marks per phase fully described):</w:t>
        <w:br/>
        <w:t>1. Phase 1: Pre-Onboarding (Before Day 1):</w:t>
        <w:br/>
        <w:t xml:space="preserve">   - Issue formal contract of employment, email welcome pack with plant policies, set up IT/payroll credentials, assign a senior plant mentor/buddy.</w:t>
        <w:br/>
        <w:t>2. Phase 2: Day 1 - Welcome &amp; Statutory Compliance:</w:t>
        <w:br/>
        <w:t xml:space="preserve">   - Site tour of Polokwane/new processing plant, health &amp; safety briefing (OHSA compliance), introduction to plant manager and team, review of company values.</w:t>
        <w:br/>
        <w:t>3. Phase 3: Week 1 - Operational Orientation &amp; Shadowing:</w:t>
        <w:br/>
        <w:t xml:space="preserve">   - Machine operating SOP training, quality assurance protocol walkthroughs, structured job shadowing with assigned buddy.</w:t>
        <w:br/>
        <w:t>4. Phase 4: Month 1 - Review &amp; Integration Check-in:</w:t>
        <w:br/>
        <w:t xml:space="preserve">   - Formal 30-day performance review with line manager, identifying initial skills gaps for L&amp;D, evaluating buddy feedback.</w:t>
      </w:r>
    </w:p>
    <w:p>
      <w:pPr>
        <w:spacing w:after="200"/>
      </w:pPr>
    </w:p>
    <w:p>
      <w:pPr>
        <w:keepNext/>
        <w:spacing w:before="320" w:after="120"/>
      </w:pPr>
      <w:r>
        <w:rPr>
          <w:rFonts w:ascii="Arial" w:hAnsi="Arial"/>
          <w:b/>
          <w:color w:val="4A148C"/>
          <w:sz w:val="32"/>
        </w:rPr>
        <w:t>SECTION 5: SECTION D - COMPREHENSIVE RUBRIC &amp; MODEL ANSWERS (50 MARKS)</w:t>
      </w:r>
    </w:p>
    <w:p>
      <w:pPr>
        <w:spacing w:after="160" w:line="276" w:lineRule="auto"/>
      </w:pPr>
      <w:r>
        <w:rPr>
          <w:rFonts w:ascii="Calibri" w:hAnsi="Calibri"/>
          <w:b w:val="0"/>
          <w:i/>
          <w:color w:val="222222"/>
          <w:sz w:val="22"/>
        </w:rPr>
        <w:t>Assessors must use the analytic rubric matrix below to mark Section D (50 Marks). Detailed model answers and benchmark criteria for each sub-section follow the rubric.</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4A148C"/>
          </w:tcPr>
          <w:p>
            <w:pPr>
              <w:spacing w:after="0"/>
            </w:pPr>
            <w:r>
              <w:rPr>
                <w:rFonts w:ascii="Arial" w:hAnsi="Arial"/>
                <w:b/>
                <w:color w:val="FFFFFF"/>
                <w:sz w:val="17"/>
              </w:rPr>
              <w:t>Sub-Section &amp; Criteria</w:t>
            </w:r>
          </w:p>
        </w:tc>
        <w:tc>
          <w:tcPr>
            <w:tcW w:type="dxa" w:w="1800"/>
            <w:shd w:fill="4A148C"/>
          </w:tcPr>
          <w:p>
            <w:pPr>
              <w:spacing w:after="0"/>
            </w:pPr>
            <w:r>
              <w:rPr>
                <w:rFonts w:ascii="Arial" w:hAnsi="Arial"/>
                <w:b/>
                <w:color w:val="FFFFFF"/>
                <w:sz w:val="17"/>
              </w:rPr>
              <w:t>Exemplary (85-100%)</w:t>
            </w:r>
          </w:p>
        </w:tc>
        <w:tc>
          <w:tcPr>
            <w:tcW w:type="dxa" w:w="1800"/>
            <w:shd w:fill="4A148C"/>
          </w:tcPr>
          <w:p>
            <w:pPr>
              <w:spacing w:after="0"/>
            </w:pPr>
            <w:r>
              <w:rPr>
                <w:rFonts w:ascii="Arial" w:hAnsi="Arial"/>
                <w:b/>
                <w:color w:val="FFFFFF"/>
                <w:sz w:val="17"/>
              </w:rPr>
              <w:t>Competent (75-84%)</w:t>
            </w:r>
          </w:p>
        </w:tc>
        <w:tc>
          <w:tcPr>
            <w:tcW w:type="dxa" w:w="1800"/>
            <w:shd w:fill="4A148C"/>
          </w:tcPr>
          <w:p>
            <w:pPr>
              <w:spacing w:after="0"/>
            </w:pPr>
            <w:r>
              <w:rPr>
                <w:rFonts w:ascii="Arial" w:hAnsi="Arial"/>
                <w:b/>
                <w:color w:val="FFFFFF"/>
                <w:sz w:val="17"/>
              </w:rPr>
              <w:t>Developing (50-74%)</w:t>
            </w:r>
          </w:p>
        </w:tc>
        <w:tc>
          <w:tcPr>
            <w:tcW w:type="dxa" w:w="1800"/>
            <w:shd w:fill="4A148C"/>
          </w:tcPr>
          <w:p>
            <w:pPr>
              <w:spacing w:after="0"/>
            </w:pPr>
            <w:r>
              <w:rPr>
                <w:rFonts w:ascii="Arial" w:hAnsi="Arial"/>
                <w:b/>
                <w:color w:val="FFFFFF"/>
                <w:sz w:val="17"/>
              </w:rPr>
              <w:t>Not Competent (&lt;50%)</w:t>
            </w:r>
          </w:p>
        </w:tc>
      </w:tr>
      <w:tr>
        <w:tc>
          <w:tcPr>
            <w:tcW w:type="dxa" w:w="2160"/>
            <w:tcMar>
              <w:top w:w="60" w:type="dxa"/>
              <w:bottom w:w="60" w:type="dxa"/>
              <w:left w:w="60" w:type="dxa"/>
              <w:right w:w="60" w:type="dxa"/>
            </w:tcMar>
          </w:tcPr>
          <w:p>
            <w:pPr>
              <w:spacing w:after="0" w:line="264" w:lineRule="auto"/>
            </w:pPr>
            <w:r>
              <w:rPr>
                <w:rFonts w:ascii="Calibri" w:hAnsi="Calibri"/>
                <w:sz w:val="17"/>
              </w:rPr>
              <w:t>D1: Workforce Planning Framework</w:t>
              <w:br/>
              <w:t>(12 Marks)</w:t>
            </w:r>
          </w:p>
        </w:tc>
        <w:tc>
          <w:tcPr>
            <w:tcW w:type="dxa" w:w="1800"/>
            <w:tcMar>
              <w:top w:w="60" w:type="dxa"/>
              <w:bottom w:w="60" w:type="dxa"/>
              <w:left w:w="60" w:type="dxa"/>
              <w:right w:w="60" w:type="dxa"/>
            </w:tcMar>
          </w:tcPr>
          <w:p>
            <w:pPr>
              <w:spacing w:after="0" w:line="264" w:lineRule="auto"/>
            </w:pPr>
            <w:r>
              <w:rPr>
                <w:rFonts w:ascii="Calibri" w:hAnsi="Calibri"/>
                <w:sz w:val="17"/>
              </w:rPr>
              <w:t>Comprehensive methodology covering 5 provinces; flawless Gap Analysis; clear direct vs. indirect cost breakdown; proactive risk mitigation.</w:t>
            </w:r>
          </w:p>
        </w:tc>
        <w:tc>
          <w:tcPr>
            <w:tcW w:type="dxa" w:w="1800"/>
            <w:tcMar>
              <w:top w:w="60" w:type="dxa"/>
              <w:bottom w:w="60" w:type="dxa"/>
              <w:left w:w="60" w:type="dxa"/>
              <w:right w:w="60" w:type="dxa"/>
            </w:tcMar>
          </w:tcPr>
          <w:p>
            <w:pPr>
              <w:spacing w:after="0" w:line="264" w:lineRule="auto"/>
            </w:pPr>
            <w:r>
              <w:rPr>
                <w:rFonts w:ascii="Calibri" w:hAnsi="Calibri"/>
                <w:sz w:val="17"/>
              </w:rPr>
              <w:t>Solid demand/supply process; clear Gap Analysis for 423 staff; correct cost identification; practical risk management.</w:t>
            </w:r>
          </w:p>
        </w:tc>
        <w:tc>
          <w:tcPr>
            <w:tcW w:type="dxa" w:w="1800"/>
            <w:tcMar>
              <w:top w:w="60" w:type="dxa"/>
              <w:bottom w:w="60" w:type="dxa"/>
              <w:left w:w="60" w:type="dxa"/>
              <w:right w:w="60" w:type="dxa"/>
            </w:tcMar>
          </w:tcPr>
          <w:p>
            <w:pPr>
              <w:spacing w:after="0" w:line="264" w:lineRule="auto"/>
            </w:pPr>
            <w:r>
              <w:rPr>
                <w:rFonts w:ascii="Calibri" w:hAnsi="Calibri"/>
                <w:sz w:val="17"/>
              </w:rPr>
              <w:t>Basic distinction of demand/supply; incomplete Gap Analysis; vague cost breakdown; generic risk mitigation.</w:t>
            </w:r>
          </w:p>
        </w:tc>
        <w:tc>
          <w:tcPr>
            <w:tcW w:type="dxa" w:w="1800"/>
            <w:tcMar>
              <w:top w:w="60" w:type="dxa"/>
              <w:bottom w:w="60" w:type="dxa"/>
              <w:left w:w="60" w:type="dxa"/>
              <w:right w:w="60" w:type="dxa"/>
            </w:tcMar>
          </w:tcPr>
          <w:p>
            <w:pPr>
              <w:spacing w:after="0" w:line="264" w:lineRule="auto"/>
            </w:pPr>
            <w:r>
              <w:rPr>
                <w:rFonts w:ascii="Calibri" w:hAnsi="Calibri"/>
                <w:sz w:val="17"/>
              </w:rPr>
              <w:t>Superficial or incorrect workforce plan; fails to address 423 staff expansion; missing cost or risk breakdown.</w:t>
            </w:r>
          </w:p>
        </w:tc>
      </w:tr>
      <w:tr>
        <w:tc>
          <w:tcPr>
            <w:tcW w:type="dxa" w:w="2160"/>
            <w:tcMar>
              <w:top w:w="60" w:type="dxa"/>
              <w:bottom w:w="60" w:type="dxa"/>
              <w:left w:w="60" w:type="dxa"/>
              <w:right w:w="60" w:type="dxa"/>
            </w:tcMar>
          </w:tcPr>
          <w:p>
            <w:pPr>
              <w:spacing w:after="0" w:line="264" w:lineRule="auto"/>
            </w:pPr>
            <w:r>
              <w:rPr>
                <w:rFonts w:ascii="Calibri" w:hAnsi="Calibri"/>
                <w:sz w:val="17"/>
              </w:rPr>
              <w:t>D2: SABPP Talent Strategy &amp; Retention</w:t>
              <w:br/>
              <w:t>(13 Marks)</w:t>
            </w:r>
          </w:p>
        </w:tc>
        <w:tc>
          <w:tcPr>
            <w:tcW w:type="dxa" w:w="1800"/>
            <w:tcMar>
              <w:top w:w="60" w:type="dxa"/>
              <w:bottom w:w="60" w:type="dxa"/>
              <w:left w:w="60" w:type="dxa"/>
              <w:right w:w="60" w:type="dxa"/>
            </w:tcMar>
          </w:tcPr>
          <w:p>
            <w:pPr>
              <w:spacing w:after="0" w:line="264" w:lineRule="auto"/>
            </w:pPr>
            <w:r>
              <w:rPr>
                <w:rFonts w:ascii="Calibri" w:hAnsi="Calibri"/>
                <w:sz w:val="17"/>
              </w:rPr>
              <w:t>Mastery of SABPP Element 2 (8 steps); compelling EVP for agricultural tech; robust succession &amp; 9-box grid; highly aligned retention tools.</w:t>
            </w:r>
          </w:p>
        </w:tc>
        <w:tc>
          <w:tcPr>
            <w:tcW w:type="dxa" w:w="1800"/>
            <w:tcMar>
              <w:top w:w="60" w:type="dxa"/>
              <w:bottom w:w="60" w:type="dxa"/>
              <w:left w:w="60" w:type="dxa"/>
              <w:right w:w="60" w:type="dxa"/>
            </w:tcMar>
          </w:tcPr>
          <w:p>
            <w:pPr>
              <w:spacing w:after="0" w:line="264" w:lineRule="auto"/>
            </w:pPr>
            <w:r>
              <w:rPr>
                <w:rFonts w:ascii="Calibri" w:hAnsi="Calibri"/>
                <w:sz w:val="17"/>
              </w:rPr>
              <w:t>Accurate application of SABPP 8 steps; clear EVP; functional succession plan; practical total rewards and career paths.</w:t>
            </w:r>
          </w:p>
        </w:tc>
        <w:tc>
          <w:tcPr>
            <w:tcW w:type="dxa" w:w="1800"/>
            <w:tcMar>
              <w:top w:w="60" w:type="dxa"/>
              <w:bottom w:w="60" w:type="dxa"/>
              <w:left w:w="60" w:type="dxa"/>
              <w:right w:w="60" w:type="dxa"/>
            </w:tcMar>
          </w:tcPr>
          <w:p>
            <w:pPr>
              <w:spacing w:after="0" w:line="264" w:lineRule="auto"/>
            </w:pPr>
            <w:r>
              <w:rPr>
                <w:rFonts w:ascii="Calibri" w:hAnsi="Calibri"/>
                <w:sz w:val="17"/>
              </w:rPr>
              <w:t>Partial SABPP alignment; generic EVP; basic succession planning; loose connection between rewards and retention.</w:t>
            </w:r>
          </w:p>
        </w:tc>
        <w:tc>
          <w:tcPr>
            <w:tcW w:type="dxa" w:w="1800"/>
            <w:tcMar>
              <w:top w:w="60" w:type="dxa"/>
              <w:bottom w:w="60" w:type="dxa"/>
              <w:left w:w="60" w:type="dxa"/>
              <w:right w:w="60" w:type="dxa"/>
            </w:tcMar>
          </w:tcPr>
          <w:p>
            <w:pPr>
              <w:spacing w:after="0" w:line="264" w:lineRule="auto"/>
            </w:pPr>
            <w:r>
              <w:rPr>
                <w:rFonts w:ascii="Calibri" w:hAnsi="Calibri"/>
                <w:sz w:val="17"/>
              </w:rPr>
              <w:t>Fails to reference SABPP standards; missing EVP; no structured succession model; unrealistic retention ideas.</w:t>
            </w:r>
          </w:p>
        </w:tc>
      </w:tr>
      <w:tr>
        <w:tc>
          <w:tcPr>
            <w:tcW w:type="dxa" w:w="2160"/>
            <w:tcMar>
              <w:top w:w="60" w:type="dxa"/>
              <w:bottom w:w="60" w:type="dxa"/>
              <w:left w:w="60" w:type="dxa"/>
              <w:right w:w="60" w:type="dxa"/>
            </w:tcMar>
          </w:tcPr>
          <w:p>
            <w:pPr>
              <w:spacing w:after="0" w:line="264" w:lineRule="auto"/>
            </w:pPr>
            <w:r>
              <w:rPr>
                <w:rFonts w:ascii="Calibri" w:hAnsi="Calibri"/>
                <w:sz w:val="17"/>
              </w:rPr>
              <w:t>D3: Staff Procurement &amp; Selection</w:t>
              <w:br/>
              <w:t>(13 Marks)</w:t>
            </w:r>
          </w:p>
        </w:tc>
        <w:tc>
          <w:tcPr>
            <w:tcW w:type="dxa" w:w="1800"/>
            <w:tcMar>
              <w:top w:w="60" w:type="dxa"/>
              <w:bottom w:w="60" w:type="dxa"/>
              <w:left w:w="60" w:type="dxa"/>
              <w:right w:w="60" w:type="dxa"/>
            </w:tcMar>
          </w:tcPr>
          <w:p>
            <w:pPr>
              <w:spacing w:after="0" w:line="264" w:lineRule="auto"/>
            </w:pPr>
            <w:r>
              <w:rPr>
                <w:rFonts w:ascii="Calibri" w:hAnsi="Calibri"/>
                <w:sz w:val="17"/>
              </w:rPr>
              <w:t>Innovative multi-channel sourcing strategy; structured BEI guide; perfect EEA Sec 8 &amp; POPIA compliance; collective agreement integration.</w:t>
            </w:r>
          </w:p>
        </w:tc>
        <w:tc>
          <w:tcPr>
            <w:tcW w:type="dxa" w:w="1800"/>
            <w:tcMar>
              <w:top w:w="60" w:type="dxa"/>
              <w:bottom w:w="60" w:type="dxa"/>
              <w:left w:w="60" w:type="dxa"/>
              <w:right w:w="60" w:type="dxa"/>
            </w:tcMar>
          </w:tcPr>
          <w:p>
            <w:pPr>
              <w:spacing w:after="0" w:line="264" w:lineRule="auto"/>
            </w:pPr>
            <w:r>
              <w:rPr>
                <w:rFonts w:ascii="Calibri" w:hAnsi="Calibri"/>
                <w:sz w:val="17"/>
              </w:rPr>
              <w:t>Clear multi-channel sourcing; structured BEI framework; compliant psychometric/MIE vetting; aligns with EE targets.</w:t>
            </w:r>
          </w:p>
        </w:tc>
        <w:tc>
          <w:tcPr>
            <w:tcW w:type="dxa" w:w="1800"/>
            <w:tcMar>
              <w:top w:w="60" w:type="dxa"/>
              <w:bottom w:w="60" w:type="dxa"/>
              <w:left w:w="60" w:type="dxa"/>
              <w:right w:w="60" w:type="dxa"/>
            </w:tcMar>
          </w:tcPr>
          <w:p>
            <w:pPr>
              <w:spacing w:after="0" w:line="264" w:lineRule="auto"/>
            </w:pPr>
            <w:r>
              <w:rPr>
                <w:rFonts w:ascii="Calibri" w:hAnsi="Calibri"/>
                <w:sz w:val="17"/>
              </w:rPr>
              <w:t>Standard recruitment channels; unstructured interview questions; minor legal compliance gaps; weak EE focus.</w:t>
            </w:r>
          </w:p>
        </w:tc>
        <w:tc>
          <w:tcPr>
            <w:tcW w:type="dxa" w:w="1800"/>
            <w:tcMar>
              <w:top w:w="60" w:type="dxa"/>
              <w:bottom w:w="60" w:type="dxa"/>
              <w:left w:w="60" w:type="dxa"/>
              <w:right w:w="60" w:type="dxa"/>
            </w:tcMar>
          </w:tcPr>
          <w:p>
            <w:pPr>
              <w:spacing w:after="0" w:line="264" w:lineRule="auto"/>
            </w:pPr>
            <w:r>
              <w:rPr>
                <w:rFonts w:ascii="Calibri" w:hAnsi="Calibri"/>
                <w:sz w:val="17"/>
              </w:rPr>
              <w:t>Flawed sourcing strategy; non-compliant testing/vetting procedures; ignores EEA and collective agreements.</w:t>
            </w:r>
          </w:p>
        </w:tc>
      </w:tr>
      <w:tr>
        <w:tc>
          <w:tcPr>
            <w:tcW w:type="dxa" w:w="2160"/>
            <w:tcMar>
              <w:top w:w="60" w:type="dxa"/>
              <w:bottom w:w="60" w:type="dxa"/>
              <w:left w:w="60" w:type="dxa"/>
              <w:right w:w="60" w:type="dxa"/>
            </w:tcMar>
          </w:tcPr>
          <w:p>
            <w:pPr>
              <w:spacing w:after="0" w:line="264" w:lineRule="auto"/>
            </w:pPr>
            <w:r>
              <w:rPr>
                <w:rFonts w:ascii="Calibri" w:hAnsi="Calibri"/>
                <w:sz w:val="17"/>
              </w:rPr>
              <w:t>D4: HR-TMIS, Analytics &amp; Governance</w:t>
              <w:br/>
              <w:t>(12 Marks)</w:t>
            </w:r>
          </w:p>
        </w:tc>
        <w:tc>
          <w:tcPr>
            <w:tcW w:type="dxa" w:w="1800"/>
            <w:tcMar>
              <w:top w:w="60" w:type="dxa"/>
              <w:bottom w:w="60" w:type="dxa"/>
              <w:left w:w="60" w:type="dxa"/>
              <w:right w:w="60" w:type="dxa"/>
            </w:tcMar>
          </w:tcPr>
          <w:p>
            <w:pPr>
              <w:spacing w:after="0" w:line="264" w:lineRule="auto"/>
            </w:pPr>
            <w:r>
              <w:rPr>
                <w:rFonts w:ascii="Calibri" w:hAnsi="Calibri"/>
                <w:sz w:val="17"/>
              </w:rPr>
              <w:t>Flawless HR-TMIS integration; 5 precise analytics metrics with formulas/targets; robust POPIA governance &amp; audit mechanism.</w:t>
            </w:r>
          </w:p>
        </w:tc>
        <w:tc>
          <w:tcPr>
            <w:tcW w:type="dxa" w:w="1800"/>
            <w:tcMar>
              <w:top w:w="60" w:type="dxa"/>
              <w:bottom w:w="60" w:type="dxa"/>
              <w:left w:w="60" w:type="dxa"/>
              <w:right w:w="60" w:type="dxa"/>
            </w:tcMar>
          </w:tcPr>
          <w:p>
            <w:pPr>
              <w:spacing w:after="0" w:line="264" w:lineRule="auto"/>
            </w:pPr>
            <w:r>
              <w:rPr>
                <w:rFonts w:ascii="Calibri" w:hAnsi="Calibri"/>
                <w:sz w:val="17"/>
              </w:rPr>
              <w:t>Clear HR-TMIS deployment; 5 relevant metrics defined; practical POPIA compliance and audit protocols.</w:t>
            </w:r>
          </w:p>
        </w:tc>
        <w:tc>
          <w:tcPr>
            <w:tcW w:type="dxa" w:w="1800"/>
            <w:tcMar>
              <w:top w:w="60" w:type="dxa"/>
              <w:bottom w:w="60" w:type="dxa"/>
              <w:left w:w="60" w:type="dxa"/>
              <w:right w:w="60" w:type="dxa"/>
            </w:tcMar>
          </w:tcPr>
          <w:p>
            <w:pPr>
              <w:spacing w:after="0" w:line="264" w:lineRule="auto"/>
            </w:pPr>
            <w:r>
              <w:rPr>
                <w:rFonts w:ascii="Calibri" w:hAnsi="Calibri"/>
                <w:sz w:val="17"/>
              </w:rPr>
              <w:t>Basic HR-TMIS mention; metrics lack formulas/targets; loose governance and compliance monitoring.</w:t>
            </w:r>
          </w:p>
        </w:tc>
        <w:tc>
          <w:tcPr>
            <w:tcW w:type="dxa" w:w="1800"/>
            <w:tcMar>
              <w:top w:w="60" w:type="dxa"/>
              <w:bottom w:w="60" w:type="dxa"/>
              <w:left w:w="60" w:type="dxa"/>
              <w:right w:w="60" w:type="dxa"/>
            </w:tcMar>
          </w:tcPr>
          <w:p>
            <w:pPr>
              <w:spacing w:after="0" w:line="264" w:lineRule="auto"/>
            </w:pPr>
            <w:r>
              <w:rPr>
                <w:rFonts w:ascii="Calibri" w:hAnsi="Calibri"/>
                <w:sz w:val="17"/>
              </w:rPr>
              <w:t>Missing HR-TMIS strategy; vague or absent metrics; no governance or POPIA compliance framework.</w:t>
            </w:r>
          </w:p>
        </w:tc>
      </w:tr>
    </w:tbl>
    <w:p>
      <w:pPr>
        <w:spacing w:after="280"/>
      </w:pPr>
    </w:p>
    <w:p>
      <w:pPr>
        <w:keepNext/>
        <w:spacing w:before="240" w:after="80"/>
      </w:pPr>
      <w:r>
        <w:rPr>
          <w:rFonts w:ascii="Arial" w:hAnsi="Arial"/>
          <w:b/>
          <w:color w:val="8E24AA"/>
          <w:sz w:val="26"/>
        </w:rPr>
        <w:t>SECTION D MODEL ANSWERS &amp; BENCHMARK CRITERIA</w:t>
      </w:r>
    </w:p>
    <w:p>
      <w:pPr>
        <w:keepNext/>
        <w:spacing w:after="40"/>
      </w:pPr>
      <w:r>
        <w:rPr>
          <w:rFonts w:ascii="Arial" w:hAnsi="Arial"/>
          <w:b/>
          <w:color w:val="4A148C"/>
          <w:sz w:val="21"/>
        </w:rPr>
        <w:t>SUB-SECTION D1: WORKFORCE PLANNING &amp; GAP ANALYSIS FRAMEWORK (12 MARKS)</w:t>
      </w:r>
    </w:p>
    <w:p>
      <w:pPr>
        <w:spacing w:after="160"/>
        <w:ind w:left="288"/>
      </w:pPr>
      <w:r>
        <w:rPr>
          <w:rFonts w:ascii="Calibri" w:hAnsi="Calibri"/>
          <w:sz w:val="19"/>
        </w:rPr>
        <w:t>Expectations for Full Marks (12 Marks):</w:t>
        <w:br/>
        <w:t>1. Demand &amp; Supply Methodology (3 Marks): Learner must detail a 4-step forecasting process: (a) Analyzing Baobab Nuts strategic objectives (expansion into 5 provinces, 2 new plants), (b) Determining operational workload ratios (e.g., machine operator requirements per tonnage), (c) Conducting internal skills audit of current 750 staff, (d) Assessing external provincial labor markets.</w:t>
        <w:br/>
        <w:t>2. Gap Analysis Process (3 Marks): Quantifies the net gap across 423 roles categorized into Managerial (regional supervisors), Technical (agricultural quality technologists), and Operational (plant operators). Identifies specific competency deficits in automated macadamia processing.</w:t>
        <w:br/>
        <w:t>3. Direct vs. Indirect Cost Classification (3 Marks):</w:t>
        <w:br/>
        <w:t xml:space="preserve">   - Direct Costs: Job portal advertising fees, recruitment agency placement fees, MIE background check costs, psychometric testing licenses, relocation allowances.</w:t>
        <w:br/>
        <w:t xml:space="preserve">   - Indirect Costs: Internal HR &amp; line manager interviewing hours, onboarding downtime, productivity loss during training, loss of senior staff time spent mentoring.</w:t>
        <w:br/>
        <w:t>4. Risk Mitigation Strategies (3 Marks): Formulates proactive tactics for regional talent shortages, such as partnering with local Limpopo/provincial agricultural FET colleges, offering regional relocation bonuses, and establishing internal fast-track apprenticeship programs.</w:t>
      </w:r>
    </w:p>
    <w:p>
      <w:pPr>
        <w:keepNext/>
        <w:spacing w:after="40"/>
      </w:pPr>
      <w:r>
        <w:rPr>
          <w:rFonts w:ascii="Arial" w:hAnsi="Arial"/>
          <w:b/>
          <w:color w:val="4A148C"/>
          <w:sz w:val="21"/>
        </w:rPr>
        <w:t>SUB-SECTION D2: STRATEGIC TALENT MANAGEMENT &amp; RETENTION STRATEGY (13 MARKS)</w:t>
      </w:r>
    </w:p>
    <w:p>
      <w:pPr>
        <w:spacing w:after="160"/>
        <w:ind w:left="288"/>
      </w:pPr>
      <w:r>
        <w:rPr>
          <w:rFonts w:ascii="Calibri" w:hAnsi="Calibri"/>
          <w:sz w:val="19"/>
        </w:rPr>
        <w:t>Expectations for Full Marks (13 Marks):</w:t>
        <w:br/>
        <w:t>1. Operationalising SABPP Standard Element 2 (4 Marks): Demonstrates systematic alignment with the 8 core SABPP steps: (1) Strategic intent alignment, (2) Talent segmentation, (3) Labor market analysis, (4) Governance setup, (5) Talent review, (6) Gap analysis, (7) L&amp;D intervention design, (8) Continuous evaluation.</w:t>
        <w:br/>
        <w:t>2. Employer Value Proposition (EVP) (3 Marks): Formulates a tailored EVP for Baobab Nuts highlighting competitive market remuneration, green/sustainable agricultural practices, career growth in an expanding firm, and employee wellness benefits.</w:t>
        <w:br/>
        <w:t>3. Succession Planning &amp; 9-Box Grid (3 Marks): Designs a 9-Box Performance vs. Potential Matrix to identify High-Potentials (HiPos) for plant leadership, incorporating job shadowing and mentoring to ensure business continuity.</w:t>
        <w:br/>
        <w:t>4. Retention &amp; Total Rewards Alignment (3 Marks): Integrates total rewards (base pay, performance bonuses, medical aid, EAP) with career pathing and performance management to minimize turnover during expansion.</w:t>
      </w:r>
    </w:p>
    <w:p>
      <w:pPr>
        <w:keepNext/>
        <w:spacing w:after="40"/>
      </w:pPr>
      <w:r>
        <w:rPr>
          <w:rFonts w:ascii="Arial" w:hAnsi="Arial"/>
          <w:b/>
          <w:color w:val="4A148C"/>
          <w:sz w:val="21"/>
        </w:rPr>
        <w:t>SUB-SECTION D3: STAFF PROCUREMENT, INTERVIEWING &amp; SELECTION (13 MARKS)</w:t>
      </w:r>
    </w:p>
    <w:p>
      <w:pPr>
        <w:spacing w:after="160"/>
        <w:ind w:left="288"/>
      </w:pPr>
      <w:r>
        <w:rPr>
          <w:rFonts w:ascii="Calibri" w:hAnsi="Calibri"/>
          <w:sz w:val="19"/>
        </w:rPr>
        <w:t>Expectations for Full Marks (13 Marks):</w:t>
        <w:br/>
        <w:t>1. Multi-Channel Recruitment Strategy (3 Marks):</w:t>
        <w:br/>
        <w:t xml:space="preserve">   - Entry-level/Plant Staff: Local provincial community drives, regional radio, local job boards.</w:t>
        <w:br/>
        <w:t xml:space="preserve">   - Technical Roles: Specialized agricultural networks, LinkedIn, university partnerships.</w:t>
        <w:br/>
        <w:t xml:space="preserve">   - Executive/Managerial: Executive headhunting search firms.</w:t>
        <w:br/>
        <w:t>2. Behavioral Event Interviewing (BEI) Framework (3 Marks): Develops STAR-format questions (Situation, Task, Action, Result) mapped to core competencies (e.g., machine troubleshooting, quality control, leadership under pressure).</w:t>
        <w:br/>
        <w:t>3. Statutory Vetting &amp; Testing Compliance (3 Marks): Enforces Section 8 EEA compliance for psychometric assessments (scientific validity, fairness) and POPIA written consent protocols for MIE background vetting.</w:t>
        <w:br/>
        <w:t>4. Collective Bargaining &amp; EEA Target Alignment (4 Marks): Incorporates Employment Equity target codes of good practice (designated groups, disability inclusion) and aligns recruitment channels with existing trade union collective agreements.</w:t>
      </w:r>
    </w:p>
    <w:p>
      <w:pPr>
        <w:keepNext/>
        <w:spacing w:after="40"/>
      </w:pPr>
      <w:r>
        <w:rPr>
          <w:rFonts w:ascii="Arial" w:hAnsi="Arial"/>
          <w:b/>
          <w:color w:val="4A148C"/>
          <w:sz w:val="21"/>
        </w:rPr>
        <w:t>SUB-SECTION D4: DIGITAL HR INTEGRATION (HR-TMIS), ANALYTICS &amp; GOVERNANCE (12 MARKS)</w:t>
      </w:r>
    </w:p>
    <w:p>
      <w:pPr>
        <w:spacing w:after="160"/>
        <w:ind w:left="288"/>
      </w:pPr>
      <w:r>
        <w:rPr>
          <w:rFonts w:ascii="Calibri" w:hAnsi="Calibri"/>
          <w:sz w:val="19"/>
        </w:rPr>
        <w:t>Expectations for Full Marks (12 Marks):</w:t>
        <w:br/>
        <w:t>1. HR-TMIS Deployment (3 Marks): Explains how centralized HR-TMIS software automates applicant tracking (ATS), digital onboarding, LMS module tracking, and performance reviews across all 5 provincial plants.</w:t>
        <w:br/>
        <w:t>2. Core People Analytics Metrics (4 Marks): Defines 5 precise metrics with calculation formulas and target benchmarks:</w:t>
        <w:br/>
        <w:t xml:space="preserve">   - Time-to-Fill (Target: &lt;30 days)</w:t>
        <w:br/>
        <w:t xml:space="preserve">   - Cost-per-Hire (Target: Within budget allocation)</w:t>
        <w:br/>
        <w:t xml:space="preserve">   - Early Retention Rate (Target: &gt;90% retention at 6 months)</w:t>
        <w:br/>
        <w:t xml:space="preserve">   - Training ROI / Skills Gap Closure Index (Target: 85% competency mastery post-induction)</w:t>
        <w:br/>
        <w:t xml:space="preserve">   - Employment Equity Progress Ratio (Target: Alignment with EE provincial demographics)</w:t>
        <w:br/>
        <w:t>3. Governance &amp; Audit Framework (5 Marks): Establishes quarterly HR compliance audits, POPIA data security protocols (encryption, access controls), and continuous quality feedback loops with executive leadership.</w:t>
      </w:r>
    </w:p>
    <w:p>
      <w:pPr>
        <w:spacing w:after="280"/>
      </w:pPr>
    </w:p>
    <w:p>
      <w:pPr>
        <w:keepNext/>
        <w:spacing w:before="320" w:after="120"/>
      </w:pPr>
      <w:r>
        <w:rPr>
          <w:rFonts w:ascii="Arial" w:hAnsi="Arial"/>
          <w:b/>
          <w:color w:val="4A148C"/>
          <w:sz w:val="32"/>
        </w:rPr>
        <w:t>SECTION 6: ASSESSOR RESULT SUMMARY &amp; RECORDING FORM</w:t>
      </w:r>
    </w:p>
    <w:p>
      <w:pPr>
        <w:spacing w:after="160" w:line="276" w:lineRule="auto"/>
      </w:pPr>
      <w:r>
        <w:rPr>
          <w:rFonts w:ascii="Calibri" w:hAnsi="Calibri"/>
          <w:b w:val="0"/>
          <w:i/>
          <w:color w:val="222222"/>
          <w:sz w:val="22"/>
        </w:rPr>
        <w:t>Assessors must complete this section upon marking the learner script. Retain a copy in the learner portfolio of evidence (POE).</w:t>
      </w:r>
    </w:p>
    <w:tbl>
      <w:tblPr>
        <w:tblW w:type="auto" w:w="0"/>
        <w:jc w:val="center"/>
        <w:tblLook w:firstColumn="1" w:firstRow="1" w:lastColumn="0" w:lastRow="0" w:noHBand="0" w:noVBand="1" w:val="04A0"/>
      </w:tblPr>
      <w:tblGrid>
        <w:gridCol w:w="2340"/>
        <w:gridCol w:w="2340"/>
        <w:gridCol w:w="2340"/>
        <w:gridCol w:w="2340"/>
      </w:tblGrid>
      <w:tr>
        <w:tc>
          <w:tcPr>
            <w:tcW w:type="dxa" w:w="3600"/>
            <w:shd w:fill="4A148C"/>
          </w:tcPr>
          <w:p>
            <w:pPr>
              <w:spacing w:after="0"/>
            </w:pPr>
            <w:r>
              <w:rPr>
                <w:rFonts w:ascii="Arial" w:hAnsi="Arial"/>
                <w:b/>
                <w:color w:val="FFFFFF"/>
                <w:sz w:val="18"/>
              </w:rPr>
              <w:t>Assessment Section</w:t>
            </w:r>
          </w:p>
        </w:tc>
        <w:tc>
          <w:tcPr>
            <w:tcW w:type="dxa" w:w="1728"/>
            <w:shd w:fill="4A148C"/>
          </w:tcPr>
          <w:p>
            <w:pPr>
              <w:spacing w:after="0"/>
            </w:pPr>
            <w:r>
              <w:rPr>
                <w:rFonts w:ascii="Arial" w:hAnsi="Arial"/>
                <w:b/>
                <w:color w:val="FFFFFF"/>
                <w:sz w:val="18"/>
              </w:rPr>
              <w:t>Total Marks</w:t>
            </w:r>
          </w:p>
        </w:tc>
        <w:tc>
          <w:tcPr>
            <w:tcW w:type="dxa" w:w="1728"/>
            <w:shd w:fill="4A148C"/>
          </w:tcPr>
          <w:p>
            <w:pPr>
              <w:spacing w:after="0"/>
            </w:pPr>
            <w:r>
              <w:rPr>
                <w:rFonts w:ascii="Arial" w:hAnsi="Arial"/>
                <w:b/>
                <w:color w:val="FFFFFF"/>
                <w:sz w:val="18"/>
              </w:rPr>
              <w:t>Learner Score</w:t>
            </w:r>
          </w:p>
        </w:tc>
        <w:tc>
          <w:tcPr>
            <w:tcW w:type="dxa" w:w="2304"/>
            <w:shd w:fill="4A148C"/>
          </w:tcPr>
          <w:p>
            <w:pPr>
              <w:spacing w:after="0"/>
            </w:pPr>
            <w:r>
              <w:rPr>
                <w:rFonts w:ascii="Arial" w:hAnsi="Arial"/>
                <w:b/>
                <w:color w:val="FFFFFF"/>
                <w:sz w:val="18"/>
              </w:rPr>
              <w:t>Result (C / NYC)</w:t>
            </w:r>
          </w:p>
        </w:tc>
      </w:tr>
      <w:tr>
        <w:tc>
          <w:tcPr>
            <w:tcW w:type="dxa" w:w="3600"/>
            <w:tcMar>
              <w:top w:w="60" w:type="dxa"/>
              <w:bottom w:w="60" w:type="dxa"/>
              <w:left w:w="80" w:type="dxa"/>
              <w:right w:w="80" w:type="dxa"/>
            </w:tcMar>
          </w:tcPr>
          <w:p>
            <w:r>
              <w:rPr>
                <w:rFonts w:ascii="Calibri" w:hAnsi="Calibri"/>
                <w:b w:val="0"/>
              </w:rPr>
              <w:t>Section A: Multiple Choice Questions</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B: True / False with Justification</w:t>
            </w:r>
          </w:p>
        </w:tc>
        <w:tc>
          <w:tcPr>
            <w:tcW w:type="dxa" w:w="1728"/>
            <w:tcMar>
              <w:top w:w="60" w:type="dxa"/>
              <w:bottom w:w="60" w:type="dxa"/>
              <w:left w:w="80" w:type="dxa"/>
              <w:right w:w="80" w:type="dxa"/>
            </w:tcMar>
          </w:tcPr>
          <w:p>
            <w:r>
              <w:rPr>
                <w:rFonts w:ascii="Calibri" w:hAnsi="Calibri"/>
                <w:b w:val="0"/>
              </w:rPr>
              <w:t>20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C: Scenario Short Questions</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D: Strategic Long Question</w:t>
            </w:r>
          </w:p>
        </w:tc>
        <w:tc>
          <w:tcPr>
            <w:tcW w:type="dxa" w:w="1728"/>
            <w:tcMar>
              <w:top w:w="60" w:type="dxa"/>
              <w:bottom w:w="60" w:type="dxa"/>
              <w:left w:w="80" w:type="dxa"/>
              <w:right w:w="80" w:type="dxa"/>
            </w:tcMar>
          </w:tcPr>
          <w:p>
            <w:r>
              <w:rPr>
                <w:rFonts w:ascii="Calibri" w:hAnsi="Calibri"/>
                <w:b w:val="0"/>
              </w:rPr>
              <w:t>50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TOTAL OVERALL SCORE</w:t>
            </w:r>
          </w:p>
        </w:tc>
        <w:tc>
          <w:tcPr>
            <w:tcW w:type="dxa" w:w="1728"/>
            <w:tcMar>
              <w:top w:w="60" w:type="dxa"/>
              <w:bottom w:w="60" w:type="dxa"/>
              <w:left w:w="80" w:type="dxa"/>
              <w:right w:w="80" w:type="dxa"/>
            </w:tcMar>
          </w:tcPr>
          <w:p>
            <w:r>
              <w:rPr>
                <w:rFonts w:ascii="Calibri" w:hAnsi="Calibri"/>
                <w:b/>
              </w:rPr>
              <w:t>100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bl>
    <w:p>
      <w:pPr>
        <w:spacing w:after="200"/>
      </w:pPr>
    </w:p>
    <w:p>
      <w:pPr>
        <w:keepNext/>
        <w:spacing w:before="160" w:after="40"/>
      </w:pPr>
      <w:r>
        <w:rPr>
          <w:rFonts w:ascii="Arial" w:hAnsi="Arial"/>
          <w:b/>
          <w:color w:val="333333"/>
          <w:sz w:val="22"/>
        </w:rPr>
        <w:t>CONSTRUCTIVE ASSESSOR FEEDBACK &amp; MODERATION NOTES:</w:t>
      </w:r>
    </w:p>
    <w:p>
      <w:pPr>
        <w:spacing w:after="240"/>
      </w:pPr>
      <w:r>
        <w:rPr>
          <w:rFonts w:ascii="Calibri" w:hAnsi="Calibri"/>
          <w:color w:val="969696"/>
          <w:sz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r>
              <w:rPr>
                <w:rFonts w:ascii="Calibri" w:hAnsi="Calibri"/>
              </w:rPr>
              <w:t>Assessor Signature: ______________________</w:t>
            </w:r>
          </w:p>
        </w:tc>
        <w:tc>
          <w:tcPr>
            <w:tcW w:type="dxa" w:w="4680"/>
            <w:tcMar>
              <w:top w:w="60" w:type="dxa"/>
              <w:bottom w:w="60" w:type="dxa"/>
              <w:left w:w="80" w:type="dxa"/>
              <w:right w:w="80" w:type="dxa"/>
            </w:tcMar>
          </w:tcPr>
          <w:p>
            <w:r>
              <w:rPr>
                <w:rFonts w:ascii="Calibri" w:hAnsi="Calibri"/>
              </w:rPr>
              <w:t>Date: ________________________</w:t>
            </w:r>
          </w:p>
        </w:tc>
      </w:tr>
      <w:tr>
        <w:tc>
          <w:tcPr>
            <w:tcW w:type="dxa" w:w="4680"/>
            <w:tcMar>
              <w:top w:w="60" w:type="dxa"/>
              <w:bottom w:w="60" w:type="dxa"/>
              <w:left w:w="80" w:type="dxa"/>
              <w:right w:w="80" w:type="dxa"/>
            </w:tcMar>
          </w:tcPr>
          <w:p>
            <w:r>
              <w:rPr>
                <w:rFonts w:ascii="Calibri" w:hAnsi="Calibri"/>
              </w:rPr>
              <w:t>Moderator Signature: ____________________</w:t>
            </w:r>
          </w:p>
        </w:tc>
        <w:tc>
          <w:tcPr>
            <w:tcW w:type="dxa" w:w="4680"/>
            <w:tcMar>
              <w:top w:w="60" w:type="dxa"/>
              <w:bottom w:w="60" w:type="dxa"/>
              <w:left w:w="80" w:type="dxa"/>
              <w:right w:w="80" w:type="dxa"/>
            </w:tcMar>
          </w:tcPr>
          <w:p>
            <w:r>
              <w:rPr>
                <w:rFonts w:ascii="Calibri" w:hAnsi="Calibri"/>
              </w:rPr>
              <w:t>Date: 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