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4A148C"/>
            <w:tcMar>
              <w:top w:w="80" w:type="dxa"/>
              <w:bottom w:w="80" w:type="dxa"/>
              <w:left w:w="120" w:type="dxa"/>
              <w:right w:w="120" w:type="dxa"/>
            </w:tcMar>
          </w:tcPr>
          <w:p>
            <w:pPr>
              <w:spacing w:after="0"/>
            </w:pPr>
            <w:r>
              <w:rPr>
                <w:rFonts w:ascii="Arial" w:hAnsi="Arial"/>
                <w:b/>
                <w:color w:val="FFFFFF"/>
                <w:sz w:val="19"/>
              </w:rPr>
              <w:t>INSTITUTION:</w:t>
            </w:r>
          </w:p>
        </w:tc>
        <w:tc>
          <w:tcPr>
            <w:tcW w:type="dxa" w:w="6192"/>
            <w:shd w:fill="F3E5F5"/>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F3E5F5"/>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F3E5F5"/>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MODULES ASSESSED:</w:t>
            </w:r>
          </w:p>
        </w:tc>
        <w:tc>
          <w:tcPr>
            <w:tcW w:type="dxa" w:w="6192"/>
            <w:shd w:fill="F3E5F5"/>
            <w:tcMar>
              <w:top w:w="80" w:type="dxa"/>
              <w:bottom w:w="80" w:type="dxa"/>
              <w:left w:w="120" w:type="dxa"/>
              <w:right w:w="120" w:type="dxa"/>
            </w:tcMar>
          </w:tcPr>
          <w:p>
            <w:pPr>
              <w:spacing w:after="0"/>
            </w:pPr>
            <w:r>
              <w:rPr>
                <w:rFonts w:ascii="Calibri" w:hAnsi="Calibri"/>
                <w:b w:val="0"/>
                <w:color w:val="222222"/>
                <w:sz w:val="20"/>
              </w:rPr>
              <w:t>KM-02 (Making Talent Management &amp; Workforce Plans Work, 7 Credits)</w:t>
              <w:br/>
              <w:t>PM-02 (Facilitating Effective Talent Management, 8 Credits)</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ASSESSMENT TYPE:</w:t>
            </w:r>
          </w:p>
        </w:tc>
        <w:tc>
          <w:tcPr>
            <w:tcW w:type="dxa" w:w="6192"/>
            <w:shd w:fill="F3E5F5"/>
            <w:tcMar>
              <w:top w:w="80" w:type="dxa"/>
              <w:bottom w:w="80" w:type="dxa"/>
              <w:left w:w="120" w:type="dxa"/>
              <w:right w:w="120" w:type="dxa"/>
            </w:tcMar>
          </w:tcPr>
          <w:p>
            <w:pPr>
              <w:spacing w:after="0"/>
            </w:pPr>
            <w:r>
              <w:rPr>
                <w:rFonts w:ascii="Calibri" w:hAnsi="Calibri"/>
                <w:b w:val="0"/>
                <w:color w:val="222222"/>
                <w:sz w:val="20"/>
              </w:rPr>
              <w:t>Internal Summative Assessment Script (SU 2)</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TOTAL MARKS &amp; TIME:</w:t>
            </w:r>
          </w:p>
        </w:tc>
        <w:tc>
          <w:tcPr>
            <w:tcW w:type="dxa" w:w="6192"/>
            <w:shd w:fill="F3E5F5"/>
            <w:tcMar>
              <w:top w:w="80" w:type="dxa"/>
              <w:bottom w:w="80" w:type="dxa"/>
              <w:left w:w="120" w:type="dxa"/>
              <w:right w:w="120" w:type="dxa"/>
            </w:tcMar>
          </w:tcPr>
          <w:p>
            <w:pPr>
              <w:spacing w:after="0"/>
            </w:pPr>
            <w:r>
              <w:rPr>
                <w:rFonts w:ascii="Calibri" w:hAnsi="Calibri"/>
                <w:b/>
                <w:color w:val="222222"/>
                <w:sz w:val="20"/>
              </w:rPr>
              <w:t>100 Marks | Pass Mark: 75% (75 Marks) | Duration: 2.5 Hours</w:t>
            </w:r>
          </w:p>
        </w:tc>
      </w:tr>
      <w:tr>
        <w:tc>
          <w:tcPr>
            <w:tcW w:type="dxa" w:w="3168"/>
            <w:shd w:fill="4A148C"/>
            <w:tcMar>
              <w:top w:w="80" w:type="dxa"/>
              <w:bottom w:w="80" w:type="dxa"/>
              <w:left w:w="120" w:type="dxa"/>
              <w:right w:w="120" w:type="dxa"/>
            </w:tcMar>
          </w:tcPr>
          <w:p>
            <w:pPr>
              <w:spacing w:after="0"/>
            </w:pPr>
            <w:r>
              <w:rPr>
                <w:rFonts w:ascii="Arial" w:hAnsi="Arial"/>
                <w:b/>
                <w:color w:val="FFFFFF"/>
                <w:sz w:val="19"/>
              </w:rPr>
              <w:t>LEARNER NAME &amp; ID:</w:t>
            </w:r>
          </w:p>
        </w:tc>
        <w:tc>
          <w:tcPr>
            <w:tcW w:type="dxa" w:w="6192"/>
            <w:shd w:fill="F3E5F5"/>
            <w:tcMar>
              <w:top w:w="80" w:type="dxa"/>
              <w:bottom w:w="80" w:type="dxa"/>
              <w:left w:w="120" w:type="dxa"/>
              <w:right w:w="120" w:type="dxa"/>
            </w:tcMar>
          </w:tcPr>
          <w:p>
            <w:pPr>
              <w:spacing w:after="0"/>
            </w:pPr>
            <w:r>
              <w:rPr>
                <w:rFonts w:ascii="Calibri" w:hAnsi="Calibri"/>
                <w:b w:val="0"/>
                <w:color w:val="222222"/>
                <w:sz w:val="20"/>
              </w:rPr>
            </w:r>
          </w:p>
        </w:tc>
      </w:tr>
    </w:tbl>
    <w:p>
      <w:pPr>
        <w:spacing w:after="200"/>
      </w:pPr>
    </w:p>
    <w:p>
      <w:pPr>
        <w:keepNext/>
        <w:spacing w:before="280" w:after="120"/>
      </w:pPr>
      <w:r>
        <w:rPr>
          <w:rFonts w:ascii="Arial" w:hAnsi="Arial"/>
          <w:b/>
          <w:color w:val="4A148C"/>
          <w:sz w:val="32"/>
        </w:rPr>
        <w:t>INSTRUCTIONS TO LEARNERS</w:t>
      </w:r>
    </w:p>
    <w:p>
      <w:pPr>
        <w:spacing w:after="60" w:line="276" w:lineRule="auto"/>
      </w:pPr>
      <w:r>
        <w:rPr>
          <w:rFonts w:ascii="Calibri" w:hAnsi="Calibri"/>
          <w:b w:val="0"/>
          <w:i w:val="0"/>
          <w:color w:val="222222"/>
          <w:sz w:val="22"/>
        </w:rPr>
        <w:t>1. Answer ALL questions in Section A, Section B, Section C, and Section D.</w:t>
      </w:r>
    </w:p>
    <w:p>
      <w:pPr>
        <w:spacing w:after="60" w:line="276" w:lineRule="auto"/>
      </w:pPr>
      <w:r>
        <w:rPr>
          <w:rFonts w:ascii="Calibri" w:hAnsi="Calibri"/>
          <w:b w:val="0"/>
          <w:i w:val="0"/>
          <w:color w:val="222222"/>
          <w:sz w:val="22"/>
        </w:rPr>
        <w:t>2. Read the scenario in Section C &amp; D carefully before answering the short and long questions.</w:t>
      </w:r>
    </w:p>
    <w:p>
      <w:pPr>
        <w:spacing w:after="60" w:line="276" w:lineRule="auto"/>
      </w:pPr>
      <w:r>
        <w:rPr>
          <w:rFonts w:ascii="Calibri" w:hAnsi="Calibri"/>
          <w:b w:val="0"/>
          <w:i w:val="0"/>
          <w:color w:val="222222"/>
          <w:sz w:val="22"/>
        </w:rPr>
        <w:t>3. Pay attention to the mark allocations for each question to guide the depth of your responses.</w:t>
      </w:r>
    </w:p>
    <w:p>
      <w:pPr>
        <w:spacing w:after="60" w:line="276" w:lineRule="auto"/>
      </w:pPr>
      <w:r>
        <w:rPr>
          <w:rFonts w:ascii="Calibri" w:hAnsi="Calibri"/>
          <w:b w:val="0"/>
          <w:i w:val="0"/>
          <w:color w:val="222222"/>
          <w:sz w:val="22"/>
        </w:rPr>
        <w:t>4. Highlighting professional standards (such as SABPP National People Practices Standard Element 2) and legal/ethical compliance (POPIA, EEA, LRA) will be essential for full marks in long responses.</w:t>
      </w:r>
    </w:p>
    <w:p>
      <w:pPr>
        <w:spacing w:after="60" w:line="276" w:lineRule="auto"/>
      </w:pPr>
      <w:r>
        <w:rPr>
          <w:rFonts w:ascii="Calibri" w:hAnsi="Calibri"/>
          <w:b w:val="0"/>
          <w:i w:val="0"/>
          <w:color w:val="222222"/>
          <w:sz w:val="22"/>
        </w:rPr>
        <w:t>5. The pass mark for this internal summative assessment script is strictly 75% (75/100).</w:t>
      </w:r>
    </w:p>
    <w:p>
      <w:pPr>
        <w:spacing w:after="60" w:line="276" w:lineRule="auto"/>
      </w:pPr>
      <w:r>
        <w:rPr>
          <w:rFonts w:ascii="Calibri" w:hAnsi="Calibri"/>
          <w:b w:val="0"/>
          <w:i w:val="0"/>
          <w:color w:val="222222"/>
          <w:sz w:val="22"/>
        </w:rPr>
        <w:t>6. Write legibly and present your answers in a structured, professional business format.</w:t>
      </w:r>
    </w:p>
    <w:p>
      <w:pPr>
        <w:spacing w:after="200"/>
      </w:pPr>
    </w:p>
    <w:p>
      <w:pPr>
        <w:keepNext/>
        <w:spacing w:before="280" w:after="120"/>
      </w:pPr>
      <w:r>
        <w:rPr>
          <w:rFonts w:ascii="Arial" w:hAnsi="Arial"/>
          <w:b/>
          <w:color w:val="4A148C"/>
          <w:sz w:val="32"/>
        </w:rPr>
        <w:t>SECTION A: MULTIPLE CHOICE QUESTIONS (15 MARKS)</w:t>
      </w:r>
    </w:p>
    <w:p>
      <w:pPr>
        <w:spacing w:after="160" w:line="276" w:lineRule="auto"/>
      </w:pPr>
      <w:r>
        <w:rPr>
          <w:rFonts w:ascii="Calibri" w:hAnsi="Calibri"/>
          <w:b w:val="0"/>
          <w:i/>
          <w:color w:val="222222"/>
          <w:sz w:val="22"/>
        </w:rPr>
        <w:t>Instructions: Select the SINGLE best answer for each question. Each question carries 1 mark.</w:t>
      </w:r>
    </w:p>
    <w:p>
      <w:pPr>
        <w:keepNext/>
        <w:spacing w:after="60"/>
      </w:pPr>
      <w:r>
        <w:rPr>
          <w:rFonts w:ascii="Calibri" w:hAnsi="Calibri"/>
          <w:b/>
          <w:sz w:val="21"/>
        </w:rPr>
        <w:t>1. According to SABPP National People Practices Standard Element 2, what is the primary starting point for alignment in strategic talent management?</w:t>
      </w:r>
    </w:p>
    <w:p>
      <w:pPr>
        <w:spacing w:after="40"/>
        <w:ind w:left="360"/>
      </w:pPr>
      <w:r>
        <w:rPr>
          <w:rFonts w:ascii="Calibri" w:hAnsi="Calibri"/>
          <w:sz w:val="20"/>
        </w:rPr>
        <w:t>A. Conducting background checks through agencies like MIE</w:t>
      </w:r>
    </w:p>
    <w:p>
      <w:pPr>
        <w:spacing w:after="40"/>
        <w:ind w:left="360"/>
      </w:pPr>
      <w:r>
        <w:rPr>
          <w:rFonts w:ascii="Calibri" w:hAnsi="Calibri"/>
          <w:sz w:val="20"/>
        </w:rPr>
        <w:t>B. Aligning the talent strategy directly with the organisation's overall strategic intent and business goals</w:t>
      </w:r>
    </w:p>
    <w:p>
      <w:pPr>
        <w:spacing w:after="40"/>
        <w:ind w:left="360"/>
      </w:pPr>
      <w:r>
        <w:rPr>
          <w:rFonts w:ascii="Calibri" w:hAnsi="Calibri"/>
          <w:sz w:val="20"/>
        </w:rPr>
        <w:t>C. Purchasing automated HR technology software</w:t>
      </w:r>
    </w:p>
    <w:p>
      <w:pPr>
        <w:spacing w:after="40"/>
        <w:ind w:left="360"/>
      </w:pPr>
      <w:r>
        <w:rPr>
          <w:rFonts w:ascii="Calibri" w:hAnsi="Calibri"/>
          <w:sz w:val="20"/>
        </w:rPr>
        <w:t>D. Drafting exit interview questionnaires</w:t>
      </w:r>
    </w:p>
    <w:p>
      <w:pPr>
        <w:keepNext/>
        <w:spacing w:after="60"/>
      </w:pPr>
      <w:r>
        <w:rPr>
          <w:rFonts w:ascii="Calibri" w:hAnsi="Calibri"/>
          <w:b/>
          <w:sz w:val="21"/>
        </w:rPr>
        <w:t>2. Which of the following best describes 'Demand Forecasting' in workforce planning?</w:t>
      </w:r>
    </w:p>
    <w:p>
      <w:pPr>
        <w:spacing w:after="40"/>
        <w:ind w:left="360"/>
      </w:pPr>
      <w:r>
        <w:rPr>
          <w:rFonts w:ascii="Calibri" w:hAnsi="Calibri"/>
          <w:sz w:val="20"/>
        </w:rPr>
        <w:t>A. Evaluating past employee attendance and leave balances</w:t>
      </w:r>
    </w:p>
    <w:p>
      <w:pPr>
        <w:spacing w:after="40"/>
        <w:ind w:left="360"/>
      </w:pPr>
      <w:r>
        <w:rPr>
          <w:rFonts w:ascii="Calibri" w:hAnsi="Calibri"/>
          <w:sz w:val="20"/>
        </w:rPr>
        <w:t>B. Assessing current employee skills gap against present performance</w:t>
      </w:r>
    </w:p>
    <w:p>
      <w:pPr>
        <w:spacing w:after="40"/>
        <w:ind w:left="360"/>
      </w:pPr>
      <w:r>
        <w:rPr>
          <w:rFonts w:ascii="Calibri" w:hAnsi="Calibri"/>
          <w:sz w:val="20"/>
        </w:rPr>
        <w:t>C. Predicting the future number and types of skills/roles needed to achieve strategic objectives</w:t>
      </w:r>
    </w:p>
    <w:p>
      <w:pPr>
        <w:spacing w:after="40"/>
        <w:ind w:left="360"/>
      </w:pPr>
      <w:r>
        <w:rPr>
          <w:rFonts w:ascii="Calibri" w:hAnsi="Calibri"/>
          <w:sz w:val="20"/>
        </w:rPr>
        <w:t>D. Calculating the total monetary cost of external recruitment channels</w:t>
      </w:r>
    </w:p>
    <w:p>
      <w:pPr>
        <w:keepNext/>
        <w:spacing w:after="60"/>
      </w:pPr>
      <w:r>
        <w:rPr>
          <w:rFonts w:ascii="Calibri" w:hAnsi="Calibri"/>
          <w:b/>
          <w:sz w:val="21"/>
        </w:rPr>
        <w:t>3. In the context of Baobab Nuts' expansion into five provinces, what represents an 'indirect' cost of recruitment?</w:t>
      </w:r>
    </w:p>
    <w:p>
      <w:pPr>
        <w:spacing w:after="40"/>
        <w:ind w:left="360"/>
      </w:pPr>
      <w:r>
        <w:rPr>
          <w:rFonts w:ascii="Calibri" w:hAnsi="Calibri"/>
          <w:sz w:val="20"/>
        </w:rPr>
        <w:t>A. Advertising costs on online job portals</w:t>
      </w:r>
    </w:p>
    <w:p>
      <w:pPr>
        <w:spacing w:after="40"/>
        <w:ind w:left="360"/>
      </w:pPr>
      <w:r>
        <w:rPr>
          <w:rFonts w:ascii="Calibri" w:hAnsi="Calibri"/>
          <w:sz w:val="20"/>
        </w:rPr>
        <w:t>B. Fees paid to recruitment agencies</w:t>
      </w:r>
    </w:p>
    <w:p>
      <w:pPr>
        <w:spacing w:after="40"/>
        <w:ind w:left="360"/>
      </w:pPr>
      <w:r>
        <w:rPr>
          <w:rFonts w:ascii="Calibri" w:hAnsi="Calibri"/>
          <w:sz w:val="20"/>
        </w:rPr>
        <w:t>C. Internal staff hours spent screening resumes and interviewing candidates</w:t>
      </w:r>
    </w:p>
    <w:p>
      <w:pPr>
        <w:spacing w:after="40"/>
        <w:ind w:left="360"/>
      </w:pPr>
      <w:r>
        <w:rPr>
          <w:rFonts w:ascii="Calibri" w:hAnsi="Calibri"/>
          <w:sz w:val="20"/>
        </w:rPr>
        <w:t>D. Psychometric assessment licensing fees per candidate</w:t>
      </w:r>
    </w:p>
    <w:p>
      <w:pPr>
        <w:keepNext/>
        <w:spacing w:after="60"/>
      </w:pPr>
      <w:r>
        <w:rPr>
          <w:rFonts w:ascii="Calibri" w:hAnsi="Calibri"/>
          <w:b/>
          <w:sz w:val="21"/>
        </w:rPr>
        <w:t>4. What is the primary purpose of conducting a 'Gap Analysis' within workforce planning?</w:t>
      </w:r>
    </w:p>
    <w:p>
      <w:pPr>
        <w:spacing w:after="40"/>
        <w:ind w:left="360"/>
      </w:pPr>
      <w:r>
        <w:rPr>
          <w:rFonts w:ascii="Calibri" w:hAnsi="Calibri"/>
          <w:sz w:val="20"/>
        </w:rPr>
        <w:t>A. To compare workforce demand forecasts against supply forecasts to pinpoint talent/skills deficits</w:t>
      </w:r>
    </w:p>
    <w:p>
      <w:pPr>
        <w:spacing w:after="40"/>
        <w:ind w:left="360"/>
      </w:pPr>
      <w:r>
        <w:rPr>
          <w:rFonts w:ascii="Calibri" w:hAnsi="Calibri"/>
          <w:sz w:val="20"/>
        </w:rPr>
        <w:t>B. To discipline low-performing employees during performance reviews</w:t>
      </w:r>
    </w:p>
    <w:p>
      <w:pPr>
        <w:spacing w:after="40"/>
        <w:ind w:left="360"/>
      </w:pPr>
      <w:r>
        <w:rPr>
          <w:rFonts w:ascii="Calibri" w:hAnsi="Calibri"/>
          <w:sz w:val="20"/>
        </w:rPr>
        <w:t>C. To determine the exact tax compliance percentage for SARS</w:t>
      </w:r>
    </w:p>
    <w:p>
      <w:pPr>
        <w:spacing w:after="40"/>
        <w:ind w:left="360"/>
      </w:pPr>
      <w:r>
        <w:rPr>
          <w:rFonts w:ascii="Calibri" w:hAnsi="Calibri"/>
          <w:sz w:val="20"/>
        </w:rPr>
        <w:t>D. To negotiate wage increases with organised labour representatives</w:t>
      </w:r>
    </w:p>
    <w:p>
      <w:pPr>
        <w:keepNext/>
        <w:spacing w:after="60"/>
      </w:pPr>
      <w:r>
        <w:rPr>
          <w:rFonts w:ascii="Calibri" w:hAnsi="Calibri"/>
          <w:b/>
          <w:sz w:val="21"/>
        </w:rPr>
        <w:t>5. Under South African law and SABPP guidelines, psychometric testing during staff selection is strictly regulated to ensure:</w:t>
      </w:r>
    </w:p>
    <w:p>
      <w:pPr>
        <w:spacing w:after="40"/>
        <w:ind w:left="360"/>
      </w:pPr>
      <w:r>
        <w:rPr>
          <w:rFonts w:ascii="Calibri" w:hAnsi="Calibri"/>
          <w:sz w:val="20"/>
        </w:rPr>
        <w:t>A. It replaces face-to-face interviews completely</w:t>
      </w:r>
    </w:p>
    <w:p>
      <w:pPr>
        <w:spacing w:after="40"/>
        <w:ind w:left="360"/>
      </w:pPr>
      <w:r>
        <w:rPr>
          <w:rFonts w:ascii="Calibri" w:hAnsi="Calibri"/>
          <w:sz w:val="20"/>
        </w:rPr>
        <w:t>B. It is scientifically valid, reliable, fair, and non-discriminatory against any employee or group</w:t>
      </w:r>
    </w:p>
    <w:p>
      <w:pPr>
        <w:spacing w:after="40"/>
        <w:ind w:left="360"/>
      </w:pPr>
      <w:r>
        <w:rPr>
          <w:rFonts w:ascii="Calibri" w:hAnsi="Calibri"/>
          <w:sz w:val="20"/>
        </w:rPr>
        <w:t>C. It is only administered to senior executive candidates</w:t>
      </w:r>
    </w:p>
    <w:p>
      <w:pPr>
        <w:spacing w:after="40"/>
        <w:ind w:left="360"/>
      </w:pPr>
      <w:r>
        <w:rPr>
          <w:rFonts w:ascii="Calibri" w:hAnsi="Calibri"/>
          <w:sz w:val="20"/>
        </w:rPr>
        <w:t>D. It automatically disqualifies candidates with low academic marks</w:t>
      </w:r>
    </w:p>
    <w:p>
      <w:pPr>
        <w:keepNext/>
        <w:spacing w:after="60"/>
      </w:pPr>
      <w:r>
        <w:rPr>
          <w:rFonts w:ascii="Calibri" w:hAnsi="Calibri"/>
          <w:b/>
          <w:sz w:val="21"/>
        </w:rPr>
        <w:t>6. What is the main objective of establishing a formal 'Succession Plan' for critical roles?</w:t>
      </w:r>
    </w:p>
    <w:p>
      <w:pPr>
        <w:spacing w:after="40"/>
        <w:ind w:left="360"/>
      </w:pPr>
      <w:r>
        <w:rPr>
          <w:rFonts w:ascii="Calibri" w:hAnsi="Calibri"/>
          <w:sz w:val="20"/>
        </w:rPr>
        <w:t>A. To immediately replace all current line managers within 6 months</w:t>
      </w:r>
    </w:p>
    <w:p>
      <w:pPr>
        <w:spacing w:after="40"/>
        <w:ind w:left="360"/>
      </w:pPr>
      <w:r>
        <w:rPr>
          <w:rFonts w:ascii="Calibri" w:hAnsi="Calibri"/>
          <w:sz w:val="20"/>
        </w:rPr>
        <w:t>B. To identify and develop internal high-potential employees to fill key roles seamlessly upon vacancy</w:t>
      </w:r>
    </w:p>
    <w:p>
      <w:pPr>
        <w:spacing w:after="40"/>
        <w:ind w:left="360"/>
      </w:pPr>
      <w:r>
        <w:rPr>
          <w:rFonts w:ascii="Calibri" w:hAnsi="Calibri"/>
          <w:sz w:val="20"/>
        </w:rPr>
        <w:t>C. To reduce the salary package of incoming managers</w:t>
      </w:r>
    </w:p>
    <w:p>
      <w:pPr>
        <w:spacing w:after="40"/>
        <w:ind w:left="360"/>
      </w:pPr>
      <w:r>
        <w:rPr>
          <w:rFonts w:ascii="Calibri" w:hAnsi="Calibri"/>
          <w:sz w:val="20"/>
        </w:rPr>
        <w:t>D. To eliminate the need for employee induction programs</w:t>
      </w:r>
    </w:p>
    <w:p>
      <w:pPr>
        <w:keepNext/>
        <w:spacing w:after="60"/>
      </w:pPr>
      <w:r>
        <w:rPr>
          <w:rFonts w:ascii="Calibri" w:hAnsi="Calibri"/>
          <w:b/>
          <w:sz w:val="21"/>
        </w:rPr>
        <w:t>7. Which HR stakeholder acts as a strategic liaison to translate business unit needs into departmental workforce plans?</w:t>
      </w:r>
    </w:p>
    <w:p>
      <w:pPr>
        <w:spacing w:after="40"/>
        <w:ind w:left="360"/>
      </w:pPr>
      <w:r>
        <w:rPr>
          <w:rFonts w:ascii="Calibri" w:hAnsi="Calibri"/>
          <w:sz w:val="20"/>
        </w:rPr>
        <w:t>A. Payroll Administrator</w:t>
      </w:r>
    </w:p>
    <w:p>
      <w:pPr>
        <w:spacing w:after="40"/>
        <w:ind w:left="360"/>
      </w:pPr>
      <w:r>
        <w:rPr>
          <w:rFonts w:ascii="Calibri" w:hAnsi="Calibri"/>
          <w:sz w:val="20"/>
        </w:rPr>
        <w:t>B. HR Business Partner (HRBP)</w:t>
      </w:r>
    </w:p>
    <w:p>
      <w:pPr>
        <w:spacing w:after="40"/>
        <w:ind w:left="360"/>
      </w:pPr>
      <w:r>
        <w:rPr>
          <w:rFonts w:ascii="Calibri" w:hAnsi="Calibri"/>
          <w:sz w:val="20"/>
        </w:rPr>
        <w:t>C. External Recruitment Sourcer</w:t>
      </w:r>
    </w:p>
    <w:p>
      <w:pPr>
        <w:spacing w:after="40"/>
        <w:ind w:left="360"/>
      </w:pPr>
      <w:r>
        <w:rPr>
          <w:rFonts w:ascii="Calibri" w:hAnsi="Calibri"/>
          <w:sz w:val="20"/>
        </w:rPr>
        <w:t>D. Workplace Health &amp; Safety Representative</w:t>
      </w:r>
    </w:p>
    <w:p>
      <w:pPr>
        <w:keepNext/>
        <w:spacing w:after="60"/>
      </w:pPr>
      <w:r>
        <w:rPr>
          <w:rFonts w:ascii="Calibri" w:hAnsi="Calibri"/>
          <w:b/>
          <w:sz w:val="21"/>
        </w:rPr>
        <w:t>8. In workforce planning, 'Supply Forecasting' primarily focuses on evaluating:</w:t>
      </w:r>
    </w:p>
    <w:p>
      <w:pPr>
        <w:spacing w:after="40"/>
        <w:ind w:left="360"/>
      </w:pPr>
      <w:r>
        <w:rPr>
          <w:rFonts w:ascii="Calibri" w:hAnsi="Calibri"/>
          <w:sz w:val="20"/>
        </w:rPr>
        <w:t>A. The external availability of raw materials and machinery</w:t>
      </w:r>
    </w:p>
    <w:p>
      <w:pPr>
        <w:spacing w:after="40"/>
        <w:ind w:left="360"/>
      </w:pPr>
      <w:r>
        <w:rPr>
          <w:rFonts w:ascii="Calibri" w:hAnsi="Calibri"/>
          <w:sz w:val="20"/>
        </w:rPr>
        <w:t>B. Future economic market expansion in neighbouring countries</w:t>
      </w:r>
    </w:p>
    <w:p>
      <w:pPr>
        <w:spacing w:after="40"/>
        <w:ind w:left="360"/>
      </w:pPr>
      <w:r>
        <w:rPr>
          <w:rFonts w:ascii="Calibri" w:hAnsi="Calibri"/>
          <w:sz w:val="20"/>
        </w:rPr>
        <w:t>C. The current and projected internal skills, capabilities, demographics, and mobility of existing staff</w:t>
      </w:r>
    </w:p>
    <w:p>
      <w:pPr>
        <w:spacing w:after="40"/>
        <w:ind w:left="360"/>
      </w:pPr>
      <w:r>
        <w:rPr>
          <w:rFonts w:ascii="Calibri" w:hAnsi="Calibri"/>
          <w:sz w:val="20"/>
        </w:rPr>
        <w:t>D. Competitor advertising strategies</w:t>
      </w:r>
    </w:p>
    <w:p>
      <w:pPr>
        <w:keepNext/>
        <w:spacing w:after="60"/>
      </w:pPr>
      <w:r>
        <w:rPr>
          <w:rFonts w:ascii="Calibri" w:hAnsi="Calibri"/>
          <w:b/>
          <w:sz w:val="21"/>
        </w:rPr>
        <w:t>9. Which tool provides a digital hub for centralising employee records, tracking training, and facilitating performance reviews?</w:t>
      </w:r>
    </w:p>
    <w:p>
      <w:pPr>
        <w:spacing w:after="40"/>
        <w:ind w:left="360"/>
      </w:pPr>
      <w:r>
        <w:rPr>
          <w:rFonts w:ascii="Calibri" w:hAnsi="Calibri"/>
          <w:sz w:val="20"/>
        </w:rPr>
        <w:t>A. Learning Management System (LMS) only</w:t>
      </w:r>
    </w:p>
    <w:p>
      <w:pPr>
        <w:spacing w:after="40"/>
        <w:ind w:left="360"/>
      </w:pPr>
      <w:r>
        <w:rPr>
          <w:rFonts w:ascii="Calibri" w:hAnsi="Calibri"/>
          <w:sz w:val="20"/>
        </w:rPr>
        <w:t>B. HR Talent Management Information System (HR-TMIS)</w:t>
      </w:r>
    </w:p>
    <w:p>
      <w:pPr>
        <w:spacing w:after="40"/>
        <w:ind w:left="360"/>
      </w:pPr>
      <w:r>
        <w:rPr>
          <w:rFonts w:ascii="Calibri" w:hAnsi="Calibri"/>
          <w:sz w:val="20"/>
        </w:rPr>
        <w:t>C. Enterprise Procurement System</w:t>
      </w:r>
    </w:p>
    <w:p>
      <w:pPr>
        <w:spacing w:after="40"/>
        <w:ind w:left="360"/>
      </w:pPr>
      <w:r>
        <w:rPr>
          <w:rFonts w:ascii="Calibri" w:hAnsi="Calibri"/>
          <w:sz w:val="20"/>
        </w:rPr>
        <w:t>D. Financial General Ledger</w:t>
      </w:r>
    </w:p>
    <w:p>
      <w:pPr>
        <w:keepNext/>
        <w:spacing w:after="60"/>
      </w:pPr>
      <w:r>
        <w:rPr>
          <w:rFonts w:ascii="Calibri" w:hAnsi="Calibri"/>
          <w:b/>
          <w:sz w:val="21"/>
        </w:rPr>
        <w:t>10. What role does 'Employer Branding' play in a Talent Acquisition strategy?</w:t>
      </w:r>
    </w:p>
    <w:p>
      <w:pPr>
        <w:spacing w:after="40"/>
        <w:ind w:left="360"/>
      </w:pPr>
      <w:r>
        <w:rPr>
          <w:rFonts w:ascii="Calibri" w:hAnsi="Calibri"/>
          <w:sz w:val="20"/>
        </w:rPr>
        <w:t>A. Marketing the organisation as an attractive employer of choice to draw high-quality candidates</w:t>
      </w:r>
    </w:p>
    <w:p>
      <w:pPr>
        <w:spacing w:after="40"/>
        <w:ind w:left="360"/>
      </w:pPr>
      <w:r>
        <w:rPr>
          <w:rFonts w:ascii="Calibri" w:hAnsi="Calibri"/>
          <w:sz w:val="20"/>
        </w:rPr>
        <w:t>B. Designing the corporate logo for product packaging</w:t>
      </w:r>
    </w:p>
    <w:p>
      <w:pPr>
        <w:spacing w:after="40"/>
        <w:ind w:left="360"/>
      </w:pPr>
      <w:r>
        <w:rPr>
          <w:rFonts w:ascii="Calibri" w:hAnsi="Calibri"/>
          <w:sz w:val="20"/>
        </w:rPr>
        <w:t>C. Auditing financial statements for annual reports</w:t>
      </w:r>
    </w:p>
    <w:p>
      <w:pPr>
        <w:spacing w:after="40"/>
        <w:ind w:left="360"/>
      </w:pPr>
      <w:r>
        <w:rPr>
          <w:rFonts w:ascii="Calibri" w:hAnsi="Calibri"/>
          <w:sz w:val="20"/>
        </w:rPr>
        <w:t>D. Calculating minimum wage thresholds under the BCEA</w:t>
      </w:r>
    </w:p>
    <w:p>
      <w:pPr>
        <w:keepNext/>
        <w:spacing w:after="60"/>
      </w:pPr>
      <w:r>
        <w:rPr>
          <w:rFonts w:ascii="Calibri" w:hAnsi="Calibri"/>
          <w:b/>
          <w:sz w:val="21"/>
        </w:rPr>
        <w:t>11. When conducting background checks through third parties like MIE, which legislative act must be strictly complied with regarding candidate data privacy in South Africa?</w:t>
      </w:r>
    </w:p>
    <w:p>
      <w:pPr>
        <w:spacing w:after="40"/>
        <w:ind w:left="360"/>
      </w:pPr>
      <w:r>
        <w:rPr>
          <w:rFonts w:ascii="Calibri" w:hAnsi="Calibri"/>
          <w:sz w:val="20"/>
        </w:rPr>
        <w:t>A. Basic Conditions of Employment Act (BCEA)</w:t>
      </w:r>
    </w:p>
    <w:p>
      <w:pPr>
        <w:spacing w:after="40"/>
        <w:ind w:left="360"/>
      </w:pPr>
      <w:r>
        <w:rPr>
          <w:rFonts w:ascii="Calibri" w:hAnsi="Calibri"/>
          <w:sz w:val="20"/>
        </w:rPr>
        <w:t>B. Protection of Personal Information Act (POPIA)</w:t>
      </w:r>
    </w:p>
    <w:p>
      <w:pPr>
        <w:spacing w:after="40"/>
        <w:ind w:left="360"/>
      </w:pPr>
      <w:r>
        <w:rPr>
          <w:rFonts w:ascii="Calibri" w:hAnsi="Calibri"/>
          <w:sz w:val="20"/>
        </w:rPr>
        <w:t>C. Skills Development Levies Act (SDLA)</w:t>
      </w:r>
    </w:p>
    <w:p>
      <w:pPr>
        <w:spacing w:after="40"/>
        <w:ind w:left="360"/>
      </w:pPr>
      <w:r>
        <w:rPr>
          <w:rFonts w:ascii="Calibri" w:hAnsi="Calibri"/>
          <w:sz w:val="20"/>
        </w:rPr>
        <w:t>D. Occupational Health and Safety Act (OHSA)</w:t>
      </w:r>
    </w:p>
    <w:p>
      <w:pPr>
        <w:keepNext/>
        <w:spacing w:after="60"/>
      </w:pPr>
      <w:r>
        <w:rPr>
          <w:rFonts w:ascii="Calibri" w:hAnsi="Calibri"/>
          <w:b/>
          <w:sz w:val="21"/>
        </w:rPr>
        <w:t>12. Which technique is used to break down a job into constituent tasks and define required Knowledge, Skills, and Abilities (KSAs)?</w:t>
      </w:r>
    </w:p>
    <w:p>
      <w:pPr>
        <w:spacing w:after="40"/>
        <w:ind w:left="360"/>
      </w:pPr>
      <w:r>
        <w:rPr>
          <w:rFonts w:ascii="Calibri" w:hAnsi="Calibri"/>
          <w:sz w:val="20"/>
        </w:rPr>
        <w:t>A. Behavioral Event Interviewing (BEI)</w:t>
      </w:r>
    </w:p>
    <w:p>
      <w:pPr>
        <w:spacing w:after="40"/>
        <w:ind w:left="360"/>
      </w:pPr>
      <w:r>
        <w:rPr>
          <w:rFonts w:ascii="Calibri" w:hAnsi="Calibri"/>
          <w:sz w:val="20"/>
        </w:rPr>
        <w:t>B. Job Analysis and Competency Modelling</w:t>
      </w:r>
    </w:p>
    <w:p>
      <w:pPr>
        <w:spacing w:after="40"/>
        <w:ind w:left="360"/>
      </w:pPr>
      <w:r>
        <w:rPr>
          <w:rFonts w:ascii="Calibri" w:hAnsi="Calibri"/>
          <w:sz w:val="20"/>
        </w:rPr>
        <w:t>C. Balanced Scorecard Evaluation</w:t>
      </w:r>
    </w:p>
    <w:p>
      <w:pPr>
        <w:spacing w:after="40"/>
        <w:ind w:left="360"/>
      </w:pPr>
      <w:r>
        <w:rPr>
          <w:rFonts w:ascii="Calibri" w:hAnsi="Calibri"/>
          <w:sz w:val="20"/>
        </w:rPr>
        <w:t>D. Outplacement Services</w:t>
      </w:r>
    </w:p>
    <w:p>
      <w:pPr>
        <w:keepNext/>
        <w:spacing w:after="60"/>
      </w:pPr>
      <w:r>
        <w:rPr>
          <w:rFonts w:ascii="Calibri" w:hAnsi="Calibri"/>
          <w:b/>
          <w:sz w:val="21"/>
        </w:rPr>
        <w:t>13. What is a key benefit of leveraging 'People Analytics' in Talent Management?</w:t>
      </w:r>
    </w:p>
    <w:p>
      <w:pPr>
        <w:spacing w:after="40"/>
        <w:ind w:left="360"/>
      </w:pPr>
      <w:r>
        <w:rPr>
          <w:rFonts w:ascii="Calibri" w:hAnsi="Calibri"/>
          <w:sz w:val="20"/>
        </w:rPr>
        <w:t>A. Replacing human decision-making with automated bot hiring</w:t>
      </w:r>
    </w:p>
    <w:p>
      <w:pPr>
        <w:spacing w:after="40"/>
        <w:ind w:left="360"/>
      </w:pPr>
      <w:r>
        <w:rPr>
          <w:rFonts w:ascii="Calibri" w:hAnsi="Calibri"/>
          <w:sz w:val="20"/>
        </w:rPr>
        <w:t>B. Making data-driven talent decisions regarding retention, skills gaps, and recruitment ROI</w:t>
      </w:r>
    </w:p>
    <w:p>
      <w:pPr>
        <w:spacing w:after="40"/>
        <w:ind w:left="360"/>
      </w:pPr>
      <w:r>
        <w:rPr>
          <w:rFonts w:ascii="Calibri" w:hAnsi="Calibri"/>
          <w:sz w:val="20"/>
        </w:rPr>
        <w:t>C. Guaranteeing zero employee turnover</w:t>
      </w:r>
    </w:p>
    <w:p>
      <w:pPr>
        <w:spacing w:after="40"/>
        <w:ind w:left="360"/>
      </w:pPr>
      <w:r>
        <w:rPr>
          <w:rFonts w:ascii="Calibri" w:hAnsi="Calibri"/>
          <w:sz w:val="20"/>
        </w:rPr>
        <w:t>D. Bypassing statutory compliance with Employment Equity legislation</w:t>
      </w:r>
    </w:p>
    <w:p>
      <w:pPr>
        <w:keepNext/>
        <w:spacing w:after="60"/>
      </w:pPr>
      <w:r>
        <w:rPr>
          <w:rFonts w:ascii="Calibri" w:hAnsi="Calibri"/>
          <w:b/>
          <w:sz w:val="21"/>
        </w:rPr>
        <w:t>14. In the SABPP Strategic Talent Management Framework, what follows immediately after conducting a Talent Review?</w:t>
      </w:r>
    </w:p>
    <w:p>
      <w:pPr>
        <w:spacing w:after="40"/>
        <w:ind w:left="360"/>
      </w:pPr>
      <w:r>
        <w:rPr>
          <w:rFonts w:ascii="Calibri" w:hAnsi="Calibri"/>
          <w:sz w:val="20"/>
        </w:rPr>
        <w:t>A. Drafting employment contracts</w:t>
      </w:r>
    </w:p>
    <w:p>
      <w:pPr>
        <w:spacing w:after="40"/>
        <w:ind w:left="360"/>
      </w:pPr>
      <w:r>
        <w:rPr>
          <w:rFonts w:ascii="Calibri" w:hAnsi="Calibri"/>
          <w:sz w:val="20"/>
        </w:rPr>
        <w:t>B. Gap Analysis</w:t>
      </w:r>
    </w:p>
    <w:p>
      <w:pPr>
        <w:spacing w:after="40"/>
        <w:ind w:left="360"/>
      </w:pPr>
      <w:r>
        <w:rPr>
          <w:rFonts w:ascii="Calibri" w:hAnsi="Calibri"/>
          <w:sz w:val="20"/>
        </w:rPr>
        <w:t>C. Advertising vacancies</w:t>
      </w:r>
    </w:p>
    <w:p>
      <w:pPr>
        <w:spacing w:after="40"/>
        <w:ind w:left="360"/>
      </w:pPr>
      <w:r>
        <w:rPr>
          <w:rFonts w:ascii="Calibri" w:hAnsi="Calibri"/>
          <w:sz w:val="20"/>
        </w:rPr>
        <w:t>D. Exit interviews</w:t>
      </w:r>
    </w:p>
    <w:p>
      <w:pPr>
        <w:keepNext/>
        <w:spacing w:after="60"/>
      </w:pPr>
      <w:r>
        <w:rPr>
          <w:rFonts w:ascii="Calibri" w:hAnsi="Calibri"/>
          <w:b/>
          <w:sz w:val="21"/>
        </w:rPr>
        <w:t>15. A structured induction program for newly placed employees primarily aims to:</w:t>
      </w:r>
    </w:p>
    <w:p>
      <w:pPr>
        <w:spacing w:after="40"/>
        <w:ind w:left="360"/>
      </w:pPr>
      <w:r>
        <w:rPr>
          <w:rFonts w:ascii="Calibri" w:hAnsi="Calibri"/>
          <w:sz w:val="20"/>
        </w:rPr>
        <w:t>A. Test if the candidate lied on their resume during probation</w:t>
      </w:r>
    </w:p>
    <w:p>
      <w:pPr>
        <w:spacing w:after="40"/>
        <w:ind w:left="360"/>
      </w:pPr>
      <w:r>
        <w:rPr>
          <w:rFonts w:ascii="Calibri" w:hAnsi="Calibri"/>
          <w:sz w:val="20"/>
        </w:rPr>
        <w:t>B. Welcoming new hires, clarifying role expectations, and ensuring smooth social and operational integration</w:t>
      </w:r>
    </w:p>
    <w:p>
      <w:pPr>
        <w:spacing w:after="40"/>
        <w:ind w:left="360"/>
      </w:pPr>
      <w:r>
        <w:rPr>
          <w:rFonts w:ascii="Calibri" w:hAnsi="Calibri"/>
          <w:sz w:val="20"/>
        </w:rPr>
        <w:t>C. Reduce the probation salary by 20%</w:t>
      </w:r>
    </w:p>
    <w:p>
      <w:pPr>
        <w:spacing w:after="40"/>
        <w:ind w:left="360"/>
      </w:pPr>
      <w:r>
        <w:rPr>
          <w:rFonts w:ascii="Calibri" w:hAnsi="Calibri"/>
          <w:sz w:val="20"/>
        </w:rPr>
        <w:t>D. Re-evaluate job descriptions for the whole department</w:t>
      </w:r>
    </w:p>
    <w:p>
      <w:pPr>
        <w:spacing w:after="200"/>
      </w:pPr>
    </w:p>
    <w:p>
      <w:pPr>
        <w:keepNext/>
        <w:spacing w:before="280" w:after="120"/>
      </w:pPr>
      <w:r>
        <w:rPr>
          <w:rFonts w:ascii="Arial" w:hAnsi="Arial"/>
          <w:b/>
          <w:color w:val="4A148C"/>
          <w:sz w:val="32"/>
        </w:rPr>
        <w:t>SECTION B: TRUE / FALSE WITH JUSTIFICATION (20 MARKS)</w:t>
      </w:r>
    </w:p>
    <w:p>
      <w:pPr>
        <w:spacing w:after="160" w:line="276" w:lineRule="auto"/>
      </w:pPr>
      <w:r>
        <w:rPr>
          <w:rFonts w:ascii="Calibri" w:hAnsi="Calibri"/>
          <w:b w:val="0"/>
          <w:i/>
          <w:color w:val="222222"/>
          <w:sz w:val="22"/>
        </w:rPr>
        <w:t>Instructions: State whether each statement is TRUE or FALSE, and provide a detailed technical justification citing relevant principles, policies, or standards (e.g., SABPP, POPIA, LRA, EEA). Allocation: 1 mark for correct True/False identification + 3 marks for comprehensive justification. Total: 4 marks each.</w:t>
      </w:r>
    </w:p>
    <w:p>
      <w:pPr>
        <w:keepNext/>
        <w:spacing w:after="40"/>
      </w:pPr>
      <w:r>
        <w:rPr>
          <w:rFonts w:ascii="Calibri" w:hAnsi="Calibri"/>
          <w:b/>
          <w:sz w:val="21"/>
        </w:rPr>
        <w:t xml:space="preserve">Statement 1: </w:t>
      </w:r>
      <w:r>
        <w:rPr>
          <w:rFonts w:ascii="Calibri" w:hAnsi="Calibri"/>
          <w:i/>
          <w:sz w:val="21"/>
        </w:rPr>
        <w:t>"Talent Management is a static, one-time HR project that focuses exclusively on hiring senior executive management."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2: </w:t>
      </w:r>
      <w:r>
        <w:rPr>
          <w:rFonts w:ascii="Calibri" w:hAnsi="Calibri"/>
          <w:i/>
          <w:sz w:val="21"/>
        </w:rPr>
        <w:t>"According to South African labour practice and SABPP standards, line managers should be excluded from talent reviews and workforce planning, leaving it solely as an HR department task."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3: </w:t>
      </w:r>
      <w:r>
        <w:rPr>
          <w:rFonts w:ascii="Calibri" w:hAnsi="Calibri"/>
          <w:i/>
          <w:sz w:val="21"/>
        </w:rPr>
        <w:t>"Psychometric testing during candidate selection is lawful in South Africa even if the test has not been scientifically validated, as long as the candidate verbally consents."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4: </w:t>
      </w:r>
      <w:r>
        <w:rPr>
          <w:rFonts w:ascii="Calibri" w:hAnsi="Calibri"/>
          <w:i/>
          <w:sz w:val="21"/>
        </w:rPr>
        <w:t>"When aligning recruitment processes with collective bargaining agreements, the provisions of the collective agreement take precedence over informal departmental hiring habits."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5: </w:t>
      </w:r>
      <w:r>
        <w:rPr>
          <w:rFonts w:ascii="Calibri" w:hAnsi="Calibri"/>
          <w:i/>
          <w:sz w:val="21"/>
        </w:rPr>
        <w:t>"Workforce planning only focuses on headcount numbers and does not consider employee skills auditing or future technological advances like automation."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after="200"/>
      </w:pPr>
    </w:p>
    <w:p>
      <w:pPr>
        <w:keepNext/>
        <w:spacing w:before="280" w:after="120"/>
      </w:pPr>
      <w:r>
        <w:rPr>
          <w:rFonts w:ascii="Arial" w:hAnsi="Arial"/>
          <w:b/>
          <w:color w:val="4A148C"/>
          <w:sz w:val="32"/>
        </w:rPr>
        <w:t>CASE STUDY SCENARIO: BAOBAB NUTS EXPANSION</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Pr>
          <w:p>
            <w:pPr>
              <w:spacing w:after="80"/>
            </w:pPr>
            <w:r>
              <w:rPr>
                <w:rFonts w:ascii="Arial" w:hAnsi="Arial"/>
                <w:b/>
                <w:color w:val="4A148C"/>
                <w:sz w:val="22"/>
              </w:rPr>
              <w:t>ORGANISATIONAL CONTEXT: BAOBAB NUTS (POLOKWANE, LIMPOPO)</w:t>
              <w:br/>
            </w:r>
          </w:p>
          <w:p>
            <w:pPr>
              <w:spacing w:after="0" w:line="276" w:lineRule="auto"/>
            </w:pPr>
            <w:r>
              <w:rPr>
                <w:rFonts w:ascii="Calibri" w:hAnsi="Calibri"/>
                <w:sz w:val="20"/>
              </w:rPr>
              <w:t>Background: Baobab Nuts is a long-established macadamia nut farming and processing enterprise based in Polokwane, Limpopo. Led by CEO Blessing Baloyi and COO Lesedi Baloyi, the company currently employs 750 permanent and seasonal staff across HR, Finance, Logistics, Supply Chain, and Sales.</w:t>
              <w:br/>
              <w:br/>
              <w:t>Strategic Expansion Intent: To capitalise on growing global and local demand, Baobab Nuts is executing a major strategic expansion into FIVE additional South African provinces. This project involves acquiring 2 new processing plants and procuring 423 new employees across various operational, technical, and managerial levels.</w:t>
              <w:br/>
              <w:br/>
              <w:t>Current Challenges &amp; Constraints:</w:t>
              <w:br/>
              <w:t>1. Critical Skills Deficits: The expansion requires specialized processing machine operators, agricultural quality technologists, and regional supply chain supervisors.</w:t>
              <w:br/>
              <w:t>2. Procurement Scale: Recruiting, interviewing, screening, and placing 423 staff across multiple geographical sites within tight timeframes.</w:t>
              <w:br/>
              <w:t>3. Policy &amp; Legislative Compliance: Adhering to Baobab Nuts' Recruitment &amp; Selection Policy, SABPP Talent Management Standards, POPIA (for applicant data), and Employment Equity Act (EEA) targets.</w:t>
              <w:br/>
              <w:t>4. Retention &amp; Engagement: Ensuring new hires are successfully integrated through induction and onboarding to prevent high early-stage turnover.</w:t>
            </w:r>
          </w:p>
        </w:tc>
      </w:tr>
    </w:tbl>
    <w:p>
      <w:pPr>
        <w:spacing w:after="200"/>
      </w:pPr>
    </w:p>
    <w:p>
      <w:pPr>
        <w:keepNext/>
        <w:spacing w:before="280" w:after="120"/>
      </w:pPr>
      <w:r>
        <w:rPr>
          <w:rFonts w:ascii="Arial" w:hAnsi="Arial"/>
          <w:b/>
          <w:color w:val="4A148C"/>
          <w:sz w:val="32"/>
        </w:rPr>
        <w:t>SECTION C: SCENARIO-BASED SHORT QUESTIONS (15 MARKS)</w:t>
      </w:r>
    </w:p>
    <w:p>
      <w:pPr>
        <w:spacing w:after="160" w:line="276" w:lineRule="auto"/>
      </w:pPr>
      <w:r>
        <w:rPr>
          <w:rFonts w:ascii="Calibri" w:hAnsi="Calibri"/>
          <w:b w:val="0"/>
          <w:i/>
          <w:color w:val="222222"/>
          <w:sz w:val="22"/>
        </w:rPr>
        <w:t>Instructions: Answer the following practical short questions based on the Baobab Nuts scenario.</w:t>
      </w:r>
    </w:p>
    <w:p>
      <w:pPr>
        <w:keepNext/>
        <w:spacing w:after="40"/>
      </w:pPr>
      <w:r>
        <w:rPr>
          <w:rFonts w:ascii="Arial" w:hAnsi="Arial"/>
          <w:b/>
          <w:sz w:val="21"/>
        </w:rPr>
        <w:t xml:space="preserve">Question 1: Demand &amp; Supply Forecasting </w:t>
      </w:r>
      <w:r>
        <w:rPr>
          <w:b/>
          <w:color w:val="8E24AA"/>
        </w:rPr>
        <w:t>[5 Marks]</w:t>
      </w:r>
    </w:p>
    <w:p>
      <w:pPr>
        <w:spacing w:after="120"/>
      </w:pPr>
      <w:r>
        <w:rPr>
          <w:rFonts w:ascii="Calibri" w:hAnsi="Calibri"/>
          <w:sz w:val="20"/>
        </w:rPr>
        <w:t>Differentiate between Demand Forecasting and Supply Forecasting in the context of Baobab Nuts' expansion project. Provide two practical examples of data inputs required for each forecast at Baobab Nuts.</w:t>
      </w:r>
    </w:p>
    <w:p>
      <w:pPr>
        <w:keepNext/>
        <w:spacing w:after="40"/>
      </w:pPr>
      <w:r>
        <w:rPr>
          <w:rFonts w:ascii="Arial" w:hAnsi="Arial"/>
          <w:b/>
          <w:sz w:val="21"/>
        </w:rPr>
        <w:t xml:space="preserve">Question 2: Candidate Screening &amp; POPIA Compliance </w:t>
      </w:r>
      <w:r>
        <w:rPr>
          <w:b/>
          <w:color w:val="8E24AA"/>
        </w:rPr>
        <w:t>[5 Marks]</w:t>
      </w:r>
    </w:p>
    <w:p>
      <w:pPr>
        <w:spacing w:after="120"/>
      </w:pPr>
      <w:r>
        <w:rPr>
          <w:rFonts w:ascii="Calibri" w:hAnsi="Calibri"/>
          <w:sz w:val="20"/>
        </w:rPr>
        <w:t>Baobab Nuts plans to utilise external agencies (e.g., MIE) for background checks and qualification verification for the 423 new positions. Outline THREE statutory requirements under POPIA and the Employment Equity Act that HR Officer must enforce during candidate screening.</w:t>
      </w:r>
    </w:p>
    <w:p>
      <w:pPr>
        <w:keepNext/>
        <w:spacing w:after="40"/>
      </w:pPr>
      <w:r>
        <w:rPr>
          <w:rFonts w:ascii="Arial" w:hAnsi="Arial"/>
          <w:b/>
          <w:sz w:val="21"/>
        </w:rPr>
        <w:t xml:space="preserve">Question 3: Structured Onboarding &amp; Induction </w:t>
      </w:r>
      <w:r>
        <w:rPr>
          <w:b/>
          <w:color w:val="8E24AA"/>
        </w:rPr>
        <w:t>[5 Marks]</w:t>
      </w:r>
    </w:p>
    <w:p>
      <w:pPr>
        <w:spacing w:after="120"/>
      </w:pPr>
      <w:r>
        <w:rPr>
          <w:rFonts w:ascii="Calibri" w:hAnsi="Calibri"/>
          <w:sz w:val="20"/>
        </w:rPr>
        <w:t>To prevent early turnover among the 423 new hires, design a 4-phase structured induction framework (Pre-onboarding, Day 1, Week 1, Month 1) specifically tailored for new plant employees.</w:t>
      </w:r>
    </w:p>
    <w:p>
      <w:pPr>
        <w:spacing w:after="200"/>
      </w:pPr>
    </w:p>
    <w:p>
      <w:pPr>
        <w:keepNext/>
        <w:spacing w:before="280" w:after="120"/>
      </w:pPr>
      <w:r>
        <w:rPr>
          <w:rFonts w:ascii="Arial" w:hAnsi="Arial"/>
          <w:b/>
          <w:color w:val="4A148C"/>
          <w:sz w:val="32"/>
        </w:rPr>
        <w:t>SECTION D: COMPREHENSIVE STRATEGIC LONG QUESTION (50 MARKS)</w:t>
      </w:r>
    </w:p>
    <w:p>
      <w:pPr>
        <w:spacing w:after="160" w:line="276" w:lineRule="auto"/>
      </w:pPr>
      <w:r>
        <w:rPr>
          <w:rFonts w:ascii="Calibri" w:hAnsi="Calibri"/>
          <w:b w:val="0"/>
          <w:i/>
          <w:color w:val="222222"/>
          <w:sz w:val="22"/>
        </w:rPr>
        <w:t>Instructions: Develop a comprehensive, professional HR Strategic Implementation Report for CEO Blessing Baloyi and COO Lesedi Baloyi. Your response must address all four core sub-sections thoroughly, aligning recommendations with SABPP Standards, South African Labour Legislation, and sound HRM theory.</w:t>
      </w:r>
    </w:p>
    <w:p>
      <w:pPr>
        <w:keepNext/>
        <w:spacing w:before="160" w:after="40"/>
      </w:pPr>
      <w:r>
        <w:rPr>
          <w:rFonts w:ascii="Arial" w:hAnsi="Arial"/>
          <w:b/>
          <w:sz w:val="22"/>
        </w:rPr>
        <w:t xml:space="preserve">SUB-SECTION D1: END-TO-END WORKFORCE PLANNING &amp; GAP ANALYSIS FRAMEWORK </w:t>
      </w:r>
      <w:r>
        <w:rPr>
          <w:b/>
          <w:color w:val="8E24AA"/>
        </w:rPr>
        <w:t>[12 Marks]</w:t>
      </w:r>
    </w:p>
    <w:p>
      <w:pPr>
        <w:spacing w:after="160"/>
      </w:pPr>
      <w:r>
        <w:rPr>
          <w:rFonts w:ascii="Calibri" w:hAnsi="Calibri"/>
          <w:sz w:val="20"/>
        </w:rPr>
        <w:t>Formulate a detailed workforce planning framework to address the procurement of 423 new employees across 5 provinces.</w:t>
        <w:br/>
        <w:t>• Step-by-step Demand &amp; Supply analysis methodology.</w:t>
        <w:br/>
        <w:t>• Gap Analysis process to identify technical, operational, and managerial deficits.</w:t>
        <w:br/>
        <w:t>• Identification of direct vs. indirect recruitment costs and budgeting control measures.</w:t>
        <w:br/>
        <w:t>• Risk mitigation strategies for labor market shortages in regional processing locations.</w:t>
      </w:r>
    </w:p>
    <w:p>
      <w:pPr>
        <w:keepNext/>
        <w:spacing w:before="160" w:after="40"/>
      </w:pPr>
      <w:r>
        <w:rPr>
          <w:rFonts w:ascii="Arial" w:hAnsi="Arial"/>
          <w:b/>
          <w:sz w:val="22"/>
        </w:rPr>
        <w:t xml:space="preserve">SUB-SECTION D2: STRATEGIC TALENT MANAGEMENT &amp; RETENTION STRATEGY (SABPP ALIGNED) </w:t>
      </w:r>
      <w:r>
        <w:rPr>
          <w:b/>
          <w:color w:val="8E24AA"/>
        </w:rPr>
        <w:t>[13 Marks]</w:t>
      </w:r>
    </w:p>
    <w:p>
      <w:pPr>
        <w:spacing w:after="160"/>
      </w:pPr>
      <w:r>
        <w:rPr>
          <w:rFonts w:ascii="Calibri" w:hAnsi="Calibri"/>
          <w:sz w:val="20"/>
        </w:rPr>
        <w:t>Develop an integrated Talent Management Strategy based on SABPP National People Practices Standard Element 2.</w:t>
        <w:br/>
        <w:t>• Operationalising the 8 core SABPP Talent Management elements for Baobab Nuts.</w:t>
        <w:br/>
        <w:t>• Formulating an Employer Value Proposition (EVP) tailored to attract skilled agricultural technologists and plant operators.</w:t>
        <w:br/>
        <w:t>• Designing a Succession Planning &amp; High-Potential (HiPo) Identification model for key leadership roles across the new plants.</w:t>
        <w:br/>
        <w:t>• Retention initiatives including career pathing, performance management alignment, and total rewards structure.</w:t>
      </w:r>
    </w:p>
    <w:p>
      <w:pPr>
        <w:keepNext/>
        <w:spacing w:before="160" w:after="40"/>
      </w:pPr>
      <w:r>
        <w:rPr>
          <w:rFonts w:ascii="Arial" w:hAnsi="Arial"/>
          <w:b/>
          <w:sz w:val="22"/>
        </w:rPr>
        <w:t xml:space="preserve">SUB-SECTION D3: STAFF PROCUREMENT, INTERVIEWING &amp; SELECTION POLICY OPERATIONALISATION </w:t>
      </w:r>
      <w:r>
        <w:rPr>
          <w:b/>
          <w:color w:val="8E24AA"/>
        </w:rPr>
        <w:t>[13 Marks]</w:t>
      </w:r>
    </w:p>
    <w:p>
      <w:pPr>
        <w:spacing w:after="160"/>
      </w:pPr>
      <w:r>
        <w:rPr>
          <w:rFonts w:ascii="Calibri" w:hAnsi="Calibri"/>
          <w:sz w:val="20"/>
        </w:rPr>
        <w:t>Detail the end-to-end procurement process for recruiting, evaluating, and appointing staff in compliance with Baobab Nuts policy.</w:t>
        <w:br/>
        <w:t>• Multi-channel recruitment strategy for entry-level, technical, and executive roles.</w:t>
        <w:br/>
        <w:t>• Structured Behavioral Event Interviewing (BEI) framework and competency modeling.</w:t>
        <w:br/>
        <w:t>• Ethical and legal guidelines for psychometric testing, background verification (MIE), and reference checking.</w:t>
        <w:br/>
        <w:t>• Alignment with Collective Agreements and Employment Equity (EE) target codes of good practice.</w:t>
      </w:r>
    </w:p>
    <w:p>
      <w:pPr>
        <w:keepNext/>
        <w:spacing w:before="160" w:after="40"/>
      </w:pPr>
      <w:r>
        <w:rPr>
          <w:rFonts w:ascii="Arial" w:hAnsi="Arial"/>
          <w:b/>
          <w:sz w:val="22"/>
        </w:rPr>
        <w:t xml:space="preserve">SUB-SECTION D4: DIGITAL HR INTEGRATION (HR-TMIS), PEOPLE ANALYTICS &amp; GOVERNANCE </w:t>
      </w:r>
      <w:r>
        <w:rPr>
          <w:b/>
          <w:color w:val="8E24AA"/>
        </w:rPr>
        <w:t>[12 Marks]</w:t>
      </w:r>
    </w:p>
    <w:p>
      <w:pPr>
        <w:spacing w:after="160"/>
      </w:pPr>
      <w:r>
        <w:rPr>
          <w:rFonts w:ascii="Calibri" w:hAnsi="Calibri"/>
          <w:sz w:val="20"/>
        </w:rPr>
        <w:t>Establish a technology-driven monitoring and analytics framework to oversee talent management and workforce planning.</w:t>
        <w:br/>
        <w:t>• Utilization of HR Talent Management Information Systems (HR-TMIS) for onboarding, LMS, and performance tracking.</w:t>
        <w:br/>
        <w:t>• Core People Analytics metrics (e.g., Time-to-Fill, Early Retention Rate, Cost-per-Hire, Training ROI, Skills Gap Closure Index).</w:t>
        <w:br/>
        <w:t>• Governance framework for auditing policy compliance, POPIA data protection, and continuous quality improvement.</w:t>
      </w:r>
    </w:p>
    <w:p>
      <w:pPr>
        <w:spacing w:after="400"/>
      </w:pPr>
    </w:p>
    <w:p>
      <w:r>
        <w:br w:type="page"/>
      </w:r>
    </w:p>
    <w:p>
      <w:pPr>
        <w:keepNext/>
        <w:spacing w:before="280" w:after="120"/>
      </w:pPr>
      <w:r>
        <w:rPr>
          <w:rFonts w:ascii="Arial" w:hAnsi="Arial"/>
          <w:b/>
          <w:color w:val="4A148C"/>
          <w:sz w:val="32"/>
        </w:rPr>
        <w:t>MEMORANDUM &amp; MARKING GUIDE (ASSESSOR USE ONLY)</w:t>
      </w:r>
    </w:p>
    <w:p>
      <w:pPr>
        <w:spacing w:after="200" w:line="276" w:lineRule="auto"/>
      </w:pPr>
      <w:r>
        <w:rPr>
          <w:rFonts w:ascii="Calibri" w:hAnsi="Calibri"/>
          <w:b w:val="0"/>
          <w:i/>
          <w:color w:val="222222"/>
          <w:sz w:val="22"/>
        </w:rPr>
        <w:t>This section contains complete model answers, marking keys, and evaluation criteria for assessing learner scripts.</w:t>
      </w:r>
    </w:p>
    <w:p>
      <w:pPr>
        <w:keepNext/>
        <w:spacing w:before="240" w:after="80"/>
      </w:pPr>
      <w:r>
        <w:rPr>
          <w:rFonts w:ascii="Arial" w:hAnsi="Arial"/>
          <w:b/>
          <w:color w:val="8E24AA"/>
          <w:sz w:val="26"/>
        </w:rPr>
        <w:t>SECTION A: MULTIPLE CHOICE ANSWERS</w:t>
      </w:r>
    </w:p>
    <w:tbl>
      <w:tblPr>
        <w:tblW w:type="auto" w:w="0"/>
        <w:jc w:val="center"/>
        <w:tblLook w:firstColumn="1" w:firstRow="1" w:lastColumn="0" w:lastRow="0" w:noHBand="0" w:noVBand="1" w:val="04A0"/>
      </w:tblPr>
      <w:tblGrid>
        <w:gridCol w:w="3120"/>
        <w:gridCol w:w="3120"/>
        <w:gridCol w:w="3120"/>
      </w:tblGrid>
      <w:tr>
        <w:tc>
          <w:tcPr>
            <w:tcW w:type="dxa" w:w="1440"/>
            <w:shd w:fill="4A148C"/>
          </w:tcPr>
          <w:p>
            <w:r>
              <w:rPr>
                <w:color w:val="FFFFFF"/>
              </w:rPr>
              <w:t>Q#</w:t>
            </w:r>
          </w:p>
        </w:tc>
        <w:tc>
          <w:tcPr>
            <w:tcW w:type="dxa" w:w="1440"/>
            <w:shd w:fill="4A148C"/>
          </w:tcPr>
          <w:p>
            <w:r>
              <w:rPr>
                <w:color w:val="FFFFFF"/>
              </w:rPr>
              <w:t>Key</w:t>
            </w:r>
          </w:p>
        </w:tc>
        <w:tc>
          <w:tcPr>
            <w:tcW w:type="dxa" w:w="6480"/>
            <w:shd w:fill="4A148C"/>
          </w:tcPr>
          <w:p>
            <w:r>
              <w:rPr>
                <w:color w:val="FFFFFF"/>
              </w:rPr>
              <w:t>Rationale / Technical Reference</w:t>
            </w:r>
          </w:p>
        </w:tc>
      </w:tr>
      <w:tr>
        <w:tc>
          <w:tcPr>
            <w:tcW w:type="dxa" w:w="1440"/>
          </w:tcPr>
          <w:p>
            <w:r>
              <w:rPr>
                <w:rFonts w:ascii="Calibri" w:hAnsi="Calibri"/>
              </w:rPr>
              <w:t>1</w:t>
            </w:r>
          </w:p>
        </w:tc>
        <w:tc>
          <w:tcPr>
            <w:tcW w:type="dxa" w:w="1440"/>
          </w:tcPr>
          <w:p>
            <w:r>
              <w:rPr>
                <w:rFonts w:ascii="Calibri" w:hAnsi="Calibri"/>
                <w:b/>
              </w:rPr>
              <w:t>B</w:t>
            </w:r>
          </w:p>
        </w:tc>
        <w:tc>
          <w:tcPr>
            <w:tcW w:type="dxa" w:w="6480"/>
          </w:tcPr>
          <w:p>
            <w:r>
              <w:rPr>
                <w:rFonts w:ascii="Calibri" w:hAnsi="Calibri"/>
              </w:rPr>
              <w:t>Aligning talent strategy with strategic intent (SABPP Element 2)</w:t>
            </w:r>
          </w:p>
        </w:tc>
      </w:tr>
      <w:tr>
        <w:tc>
          <w:tcPr>
            <w:tcW w:type="dxa" w:w="1440"/>
          </w:tcPr>
          <w:p>
            <w:r>
              <w:rPr>
                <w:rFonts w:ascii="Calibri" w:hAnsi="Calibri"/>
              </w:rPr>
              <w:t>2</w:t>
            </w:r>
          </w:p>
        </w:tc>
        <w:tc>
          <w:tcPr>
            <w:tcW w:type="dxa" w:w="1440"/>
          </w:tcPr>
          <w:p>
            <w:r>
              <w:rPr>
                <w:rFonts w:ascii="Calibri" w:hAnsi="Calibri"/>
                <w:b/>
              </w:rPr>
              <w:t>C</w:t>
            </w:r>
          </w:p>
        </w:tc>
        <w:tc>
          <w:tcPr>
            <w:tcW w:type="dxa" w:w="6480"/>
          </w:tcPr>
          <w:p>
            <w:r>
              <w:rPr>
                <w:rFonts w:ascii="Calibri" w:hAnsi="Calibri"/>
              </w:rPr>
              <w:t>Predicting future number/types of skills needed</w:t>
            </w:r>
          </w:p>
        </w:tc>
      </w:tr>
      <w:tr>
        <w:tc>
          <w:tcPr>
            <w:tcW w:type="dxa" w:w="1440"/>
          </w:tcPr>
          <w:p>
            <w:r>
              <w:rPr>
                <w:rFonts w:ascii="Calibri" w:hAnsi="Calibri"/>
              </w:rPr>
              <w:t>3</w:t>
            </w:r>
          </w:p>
        </w:tc>
        <w:tc>
          <w:tcPr>
            <w:tcW w:type="dxa" w:w="1440"/>
          </w:tcPr>
          <w:p>
            <w:r>
              <w:rPr>
                <w:rFonts w:ascii="Calibri" w:hAnsi="Calibri"/>
                <w:b/>
              </w:rPr>
              <w:t>C</w:t>
            </w:r>
          </w:p>
        </w:tc>
        <w:tc>
          <w:tcPr>
            <w:tcW w:type="dxa" w:w="6480"/>
          </w:tcPr>
          <w:p>
            <w:r>
              <w:rPr>
                <w:rFonts w:ascii="Calibri" w:hAnsi="Calibri"/>
              </w:rPr>
              <w:t>Internal staff hours spent interviewing (Indirect cost)</w:t>
            </w:r>
          </w:p>
        </w:tc>
      </w:tr>
      <w:tr>
        <w:tc>
          <w:tcPr>
            <w:tcW w:type="dxa" w:w="1440"/>
          </w:tcPr>
          <w:p>
            <w:r>
              <w:rPr>
                <w:rFonts w:ascii="Calibri" w:hAnsi="Calibri"/>
              </w:rPr>
              <w:t>4</w:t>
            </w:r>
          </w:p>
        </w:tc>
        <w:tc>
          <w:tcPr>
            <w:tcW w:type="dxa" w:w="1440"/>
          </w:tcPr>
          <w:p>
            <w:r>
              <w:rPr>
                <w:rFonts w:ascii="Calibri" w:hAnsi="Calibri"/>
                <w:b/>
              </w:rPr>
              <w:t>A</w:t>
            </w:r>
          </w:p>
        </w:tc>
        <w:tc>
          <w:tcPr>
            <w:tcW w:type="dxa" w:w="6480"/>
          </w:tcPr>
          <w:p>
            <w:r>
              <w:rPr>
                <w:rFonts w:ascii="Calibri" w:hAnsi="Calibri"/>
              </w:rPr>
              <w:t>Comparing demand vs. supply to identify talent gaps</w:t>
            </w:r>
          </w:p>
        </w:tc>
      </w:tr>
      <w:tr>
        <w:tc>
          <w:tcPr>
            <w:tcW w:type="dxa" w:w="1440"/>
          </w:tcPr>
          <w:p>
            <w:r>
              <w:rPr>
                <w:rFonts w:ascii="Calibri" w:hAnsi="Calibri"/>
              </w:rPr>
              <w:t>5</w:t>
            </w:r>
          </w:p>
        </w:tc>
        <w:tc>
          <w:tcPr>
            <w:tcW w:type="dxa" w:w="1440"/>
          </w:tcPr>
          <w:p>
            <w:r>
              <w:rPr>
                <w:rFonts w:ascii="Calibri" w:hAnsi="Calibri"/>
                <w:b/>
              </w:rPr>
              <w:t>B</w:t>
            </w:r>
          </w:p>
        </w:tc>
        <w:tc>
          <w:tcPr>
            <w:tcW w:type="dxa" w:w="6480"/>
          </w:tcPr>
          <w:p>
            <w:r>
              <w:rPr>
                <w:rFonts w:ascii="Calibri" w:hAnsi="Calibri"/>
              </w:rPr>
              <w:t>Scientifically valid, reliable, fair, and non-discriminatory</w:t>
            </w:r>
          </w:p>
        </w:tc>
      </w:tr>
      <w:tr>
        <w:tc>
          <w:tcPr>
            <w:tcW w:type="dxa" w:w="1440"/>
          </w:tcPr>
          <w:p>
            <w:r>
              <w:rPr>
                <w:rFonts w:ascii="Calibri" w:hAnsi="Calibri"/>
              </w:rPr>
              <w:t>6</w:t>
            </w:r>
          </w:p>
        </w:tc>
        <w:tc>
          <w:tcPr>
            <w:tcW w:type="dxa" w:w="1440"/>
          </w:tcPr>
          <w:p>
            <w:r>
              <w:rPr>
                <w:rFonts w:ascii="Calibri" w:hAnsi="Calibri"/>
                <w:b/>
              </w:rPr>
              <w:t>B</w:t>
            </w:r>
          </w:p>
        </w:tc>
        <w:tc>
          <w:tcPr>
            <w:tcW w:type="dxa" w:w="6480"/>
          </w:tcPr>
          <w:p>
            <w:r>
              <w:rPr>
                <w:rFonts w:ascii="Calibri" w:hAnsi="Calibri"/>
              </w:rPr>
              <w:t>Identifying and developing internal high-potential successors</w:t>
            </w:r>
          </w:p>
        </w:tc>
      </w:tr>
      <w:tr>
        <w:tc>
          <w:tcPr>
            <w:tcW w:type="dxa" w:w="1440"/>
          </w:tcPr>
          <w:p>
            <w:r>
              <w:rPr>
                <w:rFonts w:ascii="Calibri" w:hAnsi="Calibri"/>
              </w:rPr>
              <w:t>7</w:t>
            </w:r>
          </w:p>
        </w:tc>
        <w:tc>
          <w:tcPr>
            <w:tcW w:type="dxa" w:w="1440"/>
          </w:tcPr>
          <w:p>
            <w:r>
              <w:rPr>
                <w:rFonts w:ascii="Calibri" w:hAnsi="Calibri"/>
                <w:b/>
              </w:rPr>
              <w:t>B</w:t>
            </w:r>
          </w:p>
        </w:tc>
        <w:tc>
          <w:tcPr>
            <w:tcW w:type="dxa" w:w="6480"/>
          </w:tcPr>
          <w:p>
            <w:r>
              <w:rPr>
                <w:rFonts w:ascii="Calibri" w:hAnsi="Calibri"/>
              </w:rPr>
              <w:t>HR Business Partner (HRBP)</w:t>
            </w:r>
          </w:p>
        </w:tc>
      </w:tr>
      <w:tr>
        <w:tc>
          <w:tcPr>
            <w:tcW w:type="dxa" w:w="1440"/>
          </w:tcPr>
          <w:p>
            <w:r>
              <w:rPr>
                <w:rFonts w:ascii="Calibri" w:hAnsi="Calibri"/>
              </w:rPr>
              <w:t>8</w:t>
            </w:r>
          </w:p>
        </w:tc>
        <w:tc>
          <w:tcPr>
            <w:tcW w:type="dxa" w:w="1440"/>
          </w:tcPr>
          <w:p>
            <w:r>
              <w:rPr>
                <w:rFonts w:ascii="Calibri" w:hAnsi="Calibri"/>
                <w:b/>
              </w:rPr>
              <w:t>C</w:t>
            </w:r>
          </w:p>
        </w:tc>
        <w:tc>
          <w:tcPr>
            <w:tcW w:type="dxa" w:w="6480"/>
          </w:tcPr>
          <w:p>
            <w:r>
              <w:rPr>
                <w:rFonts w:ascii="Calibri" w:hAnsi="Calibri"/>
              </w:rPr>
              <w:t>Evaluating current and projected internal workforce capabilities</w:t>
            </w:r>
          </w:p>
        </w:tc>
      </w:tr>
      <w:tr>
        <w:tc>
          <w:tcPr>
            <w:tcW w:type="dxa" w:w="1440"/>
          </w:tcPr>
          <w:p>
            <w:r>
              <w:rPr>
                <w:rFonts w:ascii="Calibri" w:hAnsi="Calibri"/>
              </w:rPr>
              <w:t>9</w:t>
            </w:r>
          </w:p>
        </w:tc>
        <w:tc>
          <w:tcPr>
            <w:tcW w:type="dxa" w:w="1440"/>
          </w:tcPr>
          <w:p>
            <w:r>
              <w:rPr>
                <w:rFonts w:ascii="Calibri" w:hAnsi="Calibri"/>
                <w:b/>
              </w:rPr>
              <w:t>B</w:t>
            </w:r>
          </w:p>
        </w:tc>
        <w:tc>
          <w:tcPr>
            <w:tcW w:type="dxa" w:w="6480"/>
          </w:tcPr>
          <w:p>
            <w:r>
              <w:rPr>
                <w:rFonts w:ascii="Calibri" w:hAnsi="Calibri"/>
              </w:rPr>
              <w:t>HR Talent Management Information System (HR-TMIS)</w:t>
            </w:r>
          </w:p>
        </w:tc>
      </w:tr>
      <w:tr>
        <w:tc>
          <w:tcPr>
            <w:tcW w:type="dxa" w:w="1440"/>
          </w:tcPr>
          <w:p>
            <w:r>
              <w:rPr>
                <w:rFonts w:ascii="Calibri" w:hAnsi="Calibri"/>
              </w:rPr>
              <w:t>10</w:t>
            </w:r>
          </w:p>
        </w:tc>
        <w:tc>
          <w:tcPr>
            <w:tcW w:type="dxa" w:w="1440"/>
          </w:tcPr>
          <w:p>
            <w:r>
              <w:rPr>
                <w:rFonts w:ascii="Calibri" w:hAnsi="Calibri"/>
                <w:b/>
              </w:rPr>
              <w:t>A</w:t>
            </w:r>
          </w:p>
        </w:tc>
        <w:tc>
          <w:tcPr>
            <w:tcW w:type="dxa" w:w="6480"/>
          </w:tcPr>
          <w:p>
            <w:r>
              <w:rPr>
                <w:rFonts w:ascii="Calibri" w:hAnsi="Calibri"/>
              </w:rPr>
              <w:t>Marketing organisation as an attractive employer of choice</w:t>
            </w:r>
          </w:p>
        </w:tc>
      </w:tr>
      <w:tr>
        <w:tc>
          <w:tcPr>
            <w:tcW w:type="dxa" w:w="1440"/>
          </w:tcPr>
          <w:p>
            <w:r>
              <w:rPr>
                <w:rFonts w:ascii="Calibri" w:hAnsi="Calibri"/>
              </w:rPr>
              <w:t>11</w:t>
            </w:r>
          </w:p>
        </w:tc>
        <w:tc>
          <w:tcPr>
            <w:tcW w:type="dxa" w:w="1440"/>
          </w:tcPr>
          <w:p>
            <w:r>
              <w:rPr>
                <w:rFonts w:ascii="Calibri" w:hAnsi="Calibri"/>
                <w:b/>
              </w:rPr>
              <w:t>B</w:t>
            </w:r>
          </w:p>
        </w:tc>
        <w:tc>
          <w:tcPr>
            <w:tcW w:type="dxa" w:w="6480"/>
          </w:tcPr>
          <w:p>
            <w:r>
              <w:rPr>
                <w:rFonts w:ascii="Calibri" w:hAnsi="Calibri"/>
              </w:rPr>
              <w:t>Protection of Personal Information Act (POPIA)</w:t>
            </w:r>
          </w:p>
        </w:tc>
      </w:tr>
      <w:tr>
        <w:tc>
          <w:tcPr>
            <w:tcW w:type="dxa" w:w="1440"/>
          </w:tcPr>
          <w:p>
            <w:r>
              <w:rPr>
                <w:rFonts w:ascii="Calibri" w:hAnsi="Calibri"/>
              </w:rPr>
              <w:t>12</w:t>
            </w:r>
          </w:p>
        </w:tc>
        <w:tc>
          <w:tcPr>
            <w:tcW w:type="dxa" w:w="1440"/>
          </w:tcPr>
          <w:p>
            <w:r>
              <w:rPr>
                <w:rFonts w:ascii="Calibri" w:hAnsi="Calibri"/>
                <w:b/>
              </w:rPr>
              <w:t>B</w:t>
            </w:r>
          </w:p>
        </w:tc>
        <w:tc>
          <w:tcPr>
            <w:tcW w:type="dxa" w:w="6480"/>
          </w:tcPr>
          <w:p>
            <w:r>
              <w:rPr>
                <w:rFonts w:ascii="Calibri" w:hAnsi="Calibri"/>
              </w:rPr>
              <w:t>Job Analysis and Competency Modelling</w:t>
            </w:r>
          </w:p>
        </w:tc>
      </w:tr>
      <w:tr>
        <w:tc>
          <w:tcPr>
            <w:tcW w:type="dxa" w:w="1440"/>
          </w:tcPr>
          <w:p>
            <w:r>
              <w:rPr>
                <w:rFonts w:ascii="Calibri" w:hAnsi="Calibri"/>
              </w:rPr>
              <w:t>13</w:t>
            </w:r>
          </w:p>
        </w:tc>
        <w:tc>
          <w:tcPr>
            <w:tcW w:type="dxa" w:w="1440"/>
          </w:tcPr>
          <w:p>
            <w:r>
              <w:rPr>
                <w:rFonts w:ascii="Calibri" w:hAnsi="Calibri"/>
                <w:b/>
              </w:rPr>
              <w:t>B</w:t>
            </w:r>
          </w:p>
        </w:tc>
        <w:tc>
          <w:tcPr>
            <w:tcW w:type="dxa" w:w="6480"/>
          </w:tcPr>
          <w:p>
            <w:r>
              <w:rPr>
                <w:rFonts w:ascii="Calibri" w:hAnsi="Calibri"/>
              </w:rPr>
              <w:t>Data-driven decisions on retention, skills gaps, and recruitment ROI</w:t>
            </w:r>
          </w:p>
        </w:tc>
      </w:tr>
      <w:tr>
        <w:tc>
          <w:tcPr>
            <w:tcW w:type="dxa" w:w="1440"/>
          </w:tcPr>
          <w:p>
            <w:r>
              <w:rPr>
                <w:rFonts w:ascii="Calibri" w:hAnsi="Calibri"/>
              </w:rPr>
              <w:t>14</w:t>
            </w:r>
          </w:p>
        </w:tc>
        <w:tc>
          <w:tcPr>
            <w:tcW w:type="dxa" w:w="1440"/>
          </w:tcPr>
          <w:p>
            <w:r>
              <w:rPr>
                <w:rFonts w:ascii="Calibri" w:hAnsi="Calibri"/>
                <w:b/>
              </w:rPr>
              <w:t>B</w:t>
            </w:r>
          </w:p>
        </w:tc>
        <w:tc>
          <w:tcPr>
            <w:tcW w:type="dxa" w:w="6480"/>
          </w:tcPr>
          <w:p>
            <w:r>
              <w:rPr>
                <w:rFonts w:ascii="Calibri" w:hAnsi="Calibri"/>
              </w:rPr>
              <w:t>Gap Analysis (SABPP Process Map)</w:t>
            </w:r>
          </w:p>
        </w:tc>
      </w:tr>
      <w:tr>
        <w:tc>
          <w:tcPr>
            <w:tcW w:type="dxa" w:w="1440"/>
          </w:tcPr>
          <w:p>
            <w:r>
              <w:rPr>
                <w:rFonts w:ascii="Calibri" w:hAnsi="Calibri"/>
              </w:rPr>
              <w:t>15</w:t>
            </w:r>
          </w:p>
        </w:tc>
        <w:tc>
          <w:tcPr>
            <w:tcW w:type="dxa" w:w="1440"/>
          </w:tcPr>
          <w:p>
            <w:r>
              <w:rPr>
                <w:rFonts w:ascii="Calibri" w:hAnsi="Calibri"/>
                <w:b/>
              </w:rPr>
              <w:t>B</w:t>
            </w:r>
          </w:p>
        </w:tc>
        <w:tc>
          <w:tcPr>
            <w:tcW w:type="dxa" w:w="6480"/>
          </w:tcPr>
          <w:p>
            <w:r>
              <w:rPr>
                <w:rFonts w:ascii="Calibri" w:hAnsi="Calibri"/>
              </w:rPr>
              <w:t>Welcoming, role clarity, and social/operational integration</w:t>
            </w:r>
          </w:p>
        </w:tc>
      </w:tr>
    </w:tbl>
    <w:p>
      <w:pPr>
        <w:spacing w:after="240"/>
      </w:pPr>
    </w:p>
    <w:p>
      <w:pPr>
        <w:keepNext/>
        <w:spacing w:before="240" w:after="80"/>
      </w:pPr>
      <w:r>
        <w:rPr>
          <w:rFonts w:ascii="Arial" w:hAnsi="Arial"/>
          <w:b/>
          <w:color w:val="8E24AA"/>
          <w:sz w:val="26"/>
        </w:rPr>
        <w:t>SECTION B: TRUE / FALSE MODEL ANSWERS &amp; JUSTIFICATION</w:t>
      </w:r>
    </w:p>
    <w:p>
      <w:pPr>
        <w:keepNext/>
        <w:spacing w:after="40"/>
      </w:pPr>
      <w:r>
        <w:rPr>
          <w:rFonts w:ascii="Calibri" w:hAnsi="Calibri"/>
          <w:b/>
          <w:sz w:val="21"/>
        </w:rPr>
        <w:t>Statement 1: FALSE</w:t>
      </w:r>
    </w:p>
    <w:p>
      <w:pPr>
        <w:spacing w:after="120"/>
        <w:ind w:left="288"/>
      </w:pPr>
      <w:r>
        <w:rPr>
          <w:rFonts w:ascii="Calibri" w:hAnsi="Calibri"/>
          <w:sz w:val="19"/>
        </w:rPr>
        <w:t>Marking Key: 1 Mark for Correct Status + 3 Marks for Justification.</w:t>
        <w:br/>
        <w:t>Model Rationale: Talent Management is an ongoing, continuous process encompassing attracting, developing, retaining, and deploying employees at ALL levels across the entire employee lifecycle (SABPP Standard Element 2), not a static one-off executive hiring project.</w:t>
      </w:r>
    </w:p>
    <w:p>
      <w:pPr>
        <w:keepNext/>
        <w:spacing w:after="40"/>
      </w:pPr>
      <w:r>
        <w:rPr>
          <w:rFonts w:ascii="Calibri" w:hAnsi="Calibri"/>
          <w:b/>
          <w:sz w:val="21"/>
        </w:rPr>
        <w:t>Statement 2: FALSE</w:t>
      </w:r>
    </w:p>
    <w:p>
      <w:pPr>
        <w:spacing w:after="120"/>
        <w:ind w:left="288"/>
      </w:pPr>
      <w:r>
        <w:rPr>
          <w:rFonts w:ascii="Calibri" w:hAnsi="Calibri"/>
          <w:sz w:val="19"/>
        </w:rPr>
        <w:t>Marking Key: 1 Mark for Correct Status + 3 Marks for Justification.</w:t>
        <w:br/>
        <w:t>Model Rationale: Effective talent management requires active partnership with line management. Line managers are key stakeholders who assess day-to-day performance, segment talent, identify skill gaps, and coach high-potential employees alongside HR.</w:t>
      </w:r>
    </w:p>
    <w:p>
      <w:pPr>
        <w:keepNext/>
        <w:spacing w:after="40"/>
      </w:pPr>
      <w:r>
        <w:rPr>
          <w:rFonts w:ascii="Calibri" w:hAnsi="Calibri"/>
          <w:b/>
          <w:sz w:val="21"/>
        </w:rPr>
        <w:t>Statement 3: FALSE</w:t>
      </w:r>
    </w:p>
    <w:p>
      <w:pPr>
        <w:spacing w:after="120"/>
        <w:ind w:left="288"/>
      </w:pPr>
      <w:r>
        <w:rPr>
          <w:rFonts w:ascii="Calibri" w:hAnsi="Calibri"/>
          <w:sz w:val="19"/>
        </w:rPr>
        <w:t>Marking Key: 1 Mark for Correct Status + 3 Marks for Justification.</w:t>
        <w:br/>
        <w:t>Model Rationale: Under Section 8 of the Employment Equity Act (EEA), psychometric testing of an employee or applicant is prohibited unless the test has been scientifically shown to be valid and reliable, can be applied fairly to all employees, and is not biased against any employee or group. Verbal consent cannot override statutory non-compliance.</w:t>
      </w:r>
    </w:p>
    <w:p>
      <w:pPr>
        <w:keepNext/>
        <w:spacing w:after="40"/>
      </w:pPr>
      <w:r>
        <w:rPr>
          <w:rFonts w:ascii="Calibri" w:hAnsi="Calibri"/>
          <w:b/>
          <w:sz w:val="21"/>
        </w:rPr>
        <w:t>Statement 4: TRUE</w:t>
      </w:r>
    </w:p>
    <w:p>
      <w:pPr>
        <w:spacing w:after="120"/>
        <w:ind w:left="288"/>
      </w:pPr>
      <w:r>
        <w:rPr>
          <w:rFonts w:ascii="Calibri" w:hAnsi="Calibri"/>
          <w:sz w:val="19"/>
        </w:rPr>
        <w:t>Marking Key: 1 Mark for Correct Status + 3 Marks for Justification.</w:t>
        <w:br/>
        <w:t>Model Rationale: Collective agreements negotiated with recognized trade unions legally bind the employer and employees within their scope. Recruitment procedures and wage scales specified in collective agreements override informal departmental habits.</w:t>
      </w:r>
    </w:p>
    <w:p>
      <w:pPr>
        <w:keepNext/>
        <w:spacing w:after="40"/>
      </w:pPr>
      <w:r>
        <w:rPr>
          <w:rFonts w:ascii="Calibri" w:hAnsi="Calibri"/>
          <w:b/>
          <w:sz w:val="21"/>
        </w:rPr>
        <w:t>Statement 5: FALSE</w:t>
      </w:r>
    </w:p>
    <w:p>
      <w:pPr>
        <w:spacing w:after="120"/>
        <w:ind w:left="288"/>
      </w:pPr>
      <w:r>
        <w:rPr>
          <w:rFonts w:ascii="Calibri" w:hAnsi="Calibri"/>
          <w:sz w:val="19"/>
        </w:rPr>
        <w:t>Marking Key: 1 Mark for Correct Status + 3 Marks for Justification.</w:t>
        <w:br/>
        <w:t>Model Rationale: Workforce planning involves both quantitative headcount forecasting and qualitative skills analysis (skills audits, gap analysis, competency modeling) while factoring in future dynamics such as automation, AI, and changing work models.</w:t>
      </w:r>
    </w:p>
    <w:p>
      <w:pPr>
        <w:spacing w:after="240"/>
      </w:pPr>
    </w:p>
    <w:p>
      <w:pPr>
        <w:keepNext/>
        <w:spacing w:before="240" w:after="80"/>
      </w:pPr>
      <w:r>
        <w:rPr>
          <w:rFonts w:ascii="Arial" w:hAnsi="Arial"/>
          <w:b/>
          <w:color w:val="8E24AA"/>
          <w:sz w:val="26"/>
        </w:rPr>
        <w:t>SECTION C: SHORT QUESTIONS MODEL ANSWERS</w:t>
      </w:r>
    </w:p>
    <w:p>
      <w:pPr>
        <w:keepNext/>
        <w:spacing w:after="40"/>
      </w:pPr>
      <w:r>
        <w:rPr>
          <w:rFonts w:ascii="Calibri" w:hAnsi="Calibri"/>
          <w:b/>
          <w:sz w:val="21"/>
        </w:rPr>
        <w:t>Q1 Model Answer (Demand vs Supply)</w:t>
      </w:r>
    </w:p>
    <w:p>
      <w:pPr>
        <w:spacing w:after="120"/>
        <w:ind w:left="288"/>
      </w:pPr>
      <w:r>
        <w:rPr>
          <w:rFonts w:ascii="Calibri" w:hAnsi="Calibri"/>
          <w:sz w:val="19"/>
        </w:rPr>
        <w:t>• Demand Forecasting: Predicting future talent and skill requirements needed to achieve strategic goals (e.g., Baobab Nuts needing 423 new staff across 5 provinces). Data inputs: Expansion production targets, new plant machinery capacity, projected market sales volumes.</w:t>
        <w:br/>
        <w:t>• Supply Forecasting: Assessing current internal workforce skills, mobility, and external labor availability. Data inputs: Internal skills inventory/audit, employee retirement/turnover rates, regionalLimpopo/provincial labor market availability.</w:t>
        <w:br/>
        <w:t>Marking: 2 marks for clear distinction; 3 marks for relevant Baobab Nuts data inputs.</w:t>
      </w:r>
    </w:p>
    <w:p>
      <w:pPr>
        <w:keepNext/>
        <w:spacing w:after="40"/>
      </w:pPr>
      <w:r>
        <w:rPr>
          <w:rFonts w:ascii="Calibri" w:hAnsi="Calibri"/>
          <w:b/>
          <w:sz w:val="21"/>
        </w:rPr>
        <w:t>Q2 Model Answer (POPIA &amp; Candidate Screening)</w:t>
      </w:r>
    </w:p>
    <w:p>
      <w:pPr>
        <w:spacing w:after="120"/>
        <w:ind w:left="288"/>
      </w:pPr>
      <w:r>
        <w:rPr>
          <w:rFonts w:ascii="Calibri" w:hAnsi="Calibri"/>
          <w:sz w:val="19"/>
        </w:rPr>
        <w:t>• Requirement 1 (POPIA Consent &amp; Purpose Specificity): Candidates must provide explicit written consent prior to submitting personal details to background vetting agencies (MIE). Data collected must be strictly relevant to job requirements.</w:t>
        <w:br/>
        <w:t>• Requirement 2 (POPIA Data Security &amp; Destruction): Candidate personal information must be securely processed and destroyed/anonymized if the applicant is unsuccessful.</w:t>
        <w:br/>
        <w:t>• Requirement 3 (EEA Non-Discrimination): Background checks (credit, criminal) must be justifiable based on inherent job requirements (e.g., credit check only for financial handling roles) to avoid unfair discrimination under EEA Section 6.</w:t>
        <w:br/>
        <w:t>Marking: 5 marks for 3 fully explained legal compliance requirements.</w:t>
      </w:r>
    </w:p>
    <w:p>
      <w:pPr>
        <w:keepNext/>
        <w:spacing w:after="40"/>
      </w:pPr>
      <w:r>
        <w:rPr>
          <w:rFonts w:ascii="Calibri" w:hAnsi="Calibri"/>
          <w:b/>
          <w:sz w:val="21"/>
        </w:rPr>
        <w:t>Q3 Model Answer (Structured Induction Framework)</w:t>
      </w:r>
    </w:p>
    <w:p>
      <w:pPr>
        <w:spacing w:after="120"/>
        <w:ind w:left="288"/>
      </w:pPr>
      <w:r>
        <w:rPr>
          <w:rFonts w:ascii="Calibri" w:hAnsi="Calibri"/>
          <w:sz w:val="19"/>
        </w:rPr>
        <w:t>• Phase 1 (Pre-Onboarding): Welcome pack emailed, contract terms clarified, buddy/mentor assigned, IT credentials prepared.</w:t>
        <w:br/>
        <w:t>• Phase 2 (Day 1 - Welcome &amp; Compliance): Warm greeting by line manager, site safety tour, overview of Baobab Nuts history/values, employee handbook review.</w:t>
        <w:br/>
        <w:t>• Phase 3 (Week 1 - Operational Orientation): Role-specific training, shadowing senior plant operators, review of standard operating procedures (SOPs).</w:t>
        <w:br/>
        <w:t>• Phase 4 (Month 1 - Integration &amp; Feedback): 30-day check-in review, performance feedback session, identifying initial training needs.</w:t>
        <w:br/>
        <w:t>Marking: 5 marks for comprehensive 4-phase practical breakdown.</w:t>
      </w:r>
    </w:p>
    <w:p>
      <w:pPr>
        <w:spacing w:after="240"/>
      </w:pPr>
    </w:p>
    <w:p>
      <w:pPr>
        <w:keepNext/>
        <w:spacing w:before="240" w:after="80"/>
      </w:pPr>
      <w:r>
        <w:rPr>
          <w:rFonts w:ascii="Arial" w:hAnsi="Arial"/>
          <w:b/>
          <w:color w:val="8E24AA"/>
          <w:sz w:val="26"/>
        </w:rPr>
        <w:t>SECTION D: LONG QUESTION EVALUATION RUBRIC (50 MARKS)</w:t>
      </w:r>
    </w:p>
    <w:tbl>
      <w:tblPr>
        <w:tblW w:type="auto" w:w="0"/>
        <w:jc w:val="center"/>
        <w:tblLook w:firstColumn="1" w:firstRow="1" w:lastColumn="0" w:lastRow="0" w:noHBand="0" w:noVBand="1" w:val="04A0"/>
      </w:tblPr>
      <w:tblGrid>
        <w:gridCol w:w="3120"/>
        <w:gridCol w:w="3120"/>
        <w:gridCol w:w="3120"/>
      </w:tblGrid>
      <w:tr>
        <w:tc>
          <w:tcPr>
            <w:tcW w:type="dxa" w:w="2592"/>
            <w:shd w:fill="4A148C"/>
          </w:tcPr>
          <w:p>
            <w:r>
              <w:rPr>
                <w:color w:val="FFFFFF"/>
              </w:rPr>
              <w:t>Sub-Section &amp; Focus</w:t>
            </w:r>
          </w:p>
        </w:tc>
        <w:tc>
          <w:tcPr>
            <w:tcW w:type="dxa" w:w="1440"/>
            <w:shd w:fill="4A148C"/>
          </w:tcPr>
          <w:p>
            <w:r>
              <w:rPr>
                <w:color w:val="FFFFFF"/>
              </w:rPr>
              <w:t>Marks</w:t>
            </w:r>
          </w:p>
        </w:tc>
        <w:tc>
          <w:tcPr>
            <w:tcW w:type="dxa" w:w="5328"/>
            <w:shd w:fill="4A148C"/>
          </w:tcPr>
          <w:p>
            <w:r>
              <w:rPr>
                <w:color w:val="FFFFFF"/>
              </w:rPr>
              <w:t>Assessment Criteria &amp; Expected Depth</w:t>
            </w:r>
          </w:p>
        </w:tc>
      </w:tr>
      <w:tr>
        <w:tc>
          <w:tcPr>
            <w:tcW w:type="dxa" w:w="2592"/>
          </w:tcPr>
          <w:p>
            <w:r>
              <w:rPr>
                <w:rFonts w:ascii="Calibri" w:hAnsi="Calibri"/>
                <w:b/>
              </w:rPr>
              <w:t>D1: Workforce Planning &amp; Costing Framework</w:t>
            </w:r>
          </w:p>
        </w:tc>
        <w:tc>
          <w:tcPr>
            <w:tcW w:type="dxa" w:w="1440"/>
          </w:tcPr>
          <w:p>
            <w:r>
              <w:rPr>
                <w:rFonts w:ascii="Calibri" w:hAnsi="Calibri"/>
                <w:b/>
              </w:rPr>
              <w:t>12 Marks</w:t>
            </w:r>
          </w:p>
        </w:tc>
        <w:tc>
          <w:tcPr>
            <w:tcW w:type="dxa" w:w="5328"/>
          </w:tcPr>
          <w:p>
            <w:r>
              <w:rPr>
                <w:rFonts w:ascii="Calibri" w:hAnsi="Calibri"/>
              </w:rPr>
              <w:t>• Clear step-by-step demand &amp; supply forecasting methodology (3m)</w:t>
              <w:br/>
              <w:t>• Robust Gap Analysis process for 423 staff across 5 provinces (3m)</w:t>
              <w:br/>
              <w:t>• Accurate classification of direct vs. indirect recruitment costs (3m)</w:t>
              <w:br/>
              <w:t>• Practical risk mitigation strategies for provincial talent shortages (3m)</w:t>
            </w:r>
          </w:p>
        </w:tc>
      </w:tr>
      <w:tr>
        <w:tc>
          <w:tcPr>
            <w:tcW w:type="dxa" w:w="2592"/>
          </w:tcPr>
          <w:p>
            <w:r>
              <w:rPr>
                <w:rFonts w:ascii="Calibri" w:hAnsi="Calibri"/>
                <w:b/>
              </w:rPr>
              <w:t>D2: SABPP Strategic Talent Management &amp; Retention</w:t>
            </w:r>
          </w:p>
        </w:tc>
        <w:tc>
          <w:tcPr>
            <w:tcW w:type="dxa" w:w="1440"/>
          </w:tcPr>
          <w:p>
            <w:r>
              <w:rPr>
                <w:rFonts w:ascii="Calibri" w:hAnsi="Calibri"/>
                <w:b/>
              </w:rPr>
              <w:t>13 Marks</w:t>
            </w:r>
          </w:p>
        </w:tc>
        <w:tc>
          <w:tcPr>
            <w:tcW w:type="dxa" w:w="5328"/>
          </w:tcPr>
          <w:p>
            <w:r>
              <w:rPr>
                <w:rFonts w:ascii="Calibri" w:hAnsi="Calibri"/>
              </w:rPr>
              <w:t>• Systematic alignment with SABPP Standard Element 2 (8-step model) (4m)</w:t>
              <w:br/>
              <w:t>• Compelling Employer Value Proposition (EVP) for Baobab Nuts (3m)</w:t>
              <w:br/>
              <w:t>• Succession planning &amp; 9-box grid HiPo identification model (3m)</w:t>
              <w:br/>
              <w:t>• Total rewards &amp; career pathing retention initiatives (3m)</w:t>
            </w:r>
          </w:p>
        </w:tc>
      </w:tr>
      <w:tr>
        <w:tc>
          <w:tcPr>
            <w:tcW w:type="dxa" w:w="2592"/>
          </w:tcPr>
          <w:p>
            <w:r>
              <w:rPr>
                <w:rFonts w:ascii="Calibri" w:hAnsi="Calibri"/>
                <w:b/>
              </w:rPr>
              <w:t>D3: Procurement, Selection &amp; EEA Compliance</w:t>
            </w:r>
          </w:p>
        </w:tc>
        <w:tc>
          <w:tcPr>
            <w:tcW w:type="dxa" w:w="1440"/>
          </w:tcPr>
          <w:p>
            <w:r>
              <w:rPr>
                <w:rFonts w:ascii="Calibri" w:hAnsi="Calibri"/>
                <w:b/>
              </w:rPr>
              <w:t>13 Marks</w:t>
            </w:r>
          </w:p>
        </w:tc>
        <w:tc>
          <w:tcPr>
            <w:tcW w:type="dxa" w:w="5328"/>
          </w:tcPr>
          <w:p>
            <w:r>
              <w:rPr>
                <w:rFonts w:ascii="Calibri" w:hAnsi="Calibri"/>
              </w:rPr>
              <w:t>• Multi-channel sourcing strategy for 3 employee tiers (3m)</w:t>
              <w:br/>
              <w:t>• Behavioral Event Interviewing (BEI) framework (3m)</w:t>
              <w:br/>
              <w:t>• Compliant psychometric testing &amp; background screening (MIE) (3m)</w:t>
              <w:br/>
              <w:t>• Alignment with Collective Agreements &amp; EEA target codes (4m)</w:t>
            </w:r>
          </w:p>
        </w:tc>
      </w:tr>
      <w:tr>
        <w:tc>
          <w:tcPr>
            <w:tcW w:type="dxa" w:w="2592"/>
          </w:tcPr>
          <w:p>
            <w:r>
              <w:rPr>
                <w:rFonts w:ascii="Calibri" w:hAnsi="Calibri"/>
                <w:b/>
              </w:rPr>
              <w:t>D4: HR-TMIS, People Analytics &amp; Governance</w:t>
            </w:r>
          </w:p>
        </w:tc>
        <w:tc>
          <w:tcPr>
            <w:tcW w:type="dxa" w:w="1440"/>
          </w:tcPr>
          <w:p>
            <w:r>
              <w:rPr>
                <w:rFonts w:ascii="Calibri" w:hAnsi="Calibri"/>
                <w:b/>
              </w:rPr>
              <w:t>12 Marks</w:t>
            </w:r>
          </w:p>
        </w:tc>
        <w:tc>
          <w:tcPr>
            <w:tcW w:type="dxa" w:w="5328"/>
          </w:tcPr>
          <w:p>
            <w:r>
              <w:rPr>
                <w:rFonts w:ascii="Calibri" w:hAnsi="Calibri"/>
              </w:rPr>
              <w:t>• Integration of HR-TMIS across onboarding, LMS, and performance (3m)</w:t>
              <w:br/>
              <w:t>• 5 key People Analytics metrics with formulas/targets (4m)</w:t>
              <w:br/>
              <w:t>• Governance, POPIA compliance, and continuous audit mechanisms (5m)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