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INSTITUTION: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0"/>
              </w:rPr>
              <w:t>CURIOSA ACADEMY</w:t>
            </w:r>
          </w:p>
        </w:tc>
      </w:tr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QUALIFICATION: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Advanced Occupational Certificate: Human Resource Management Officer (NQF Level 6, 134 Credits)</w:t>
            </w:r>
          </w:p>
        </w:tc>
      </w:tr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SAQA ID / CURRICULUM: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SAQA ID: 121151 | Curriculum Code: 242303-001-00-00</w:t>
            </w:r>
          </w:p>
        </w:tc>
      </w:tr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MODULES COVERED: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KM-02 (Making Talent Management &amp; Workforce Plans Work, 7 Credits)</w:t>
              <w:br/>
              <w:t>PM-02 (Facilitating Effective Talent Management, 8 Credits)</w:t>
            </w:r>
          </w:p>
        </w:tc>
      </w:tr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0"/>
              </w:rPr>
              <w:t>ASSESSOR GUIDE &amp; MARKING MEMORANDUM - VERSION 2</w:t>
            </w:r>
          </w:p>
        </w:tc>
      </w:tr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ASSESSMENT METHOD: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Internal Summative Assessment (Script SU 2 - Version 2) | Total: 100 Marks | Pass: 75%</w:t>
            </w:r>
          </w:p>
        </w:tc>
      </w:tr>
      <w:tr>
        <w:tc>
          <w:tcPr>
            <w:tcW w:type="dxa" w:w="3168"/>
            <w:shd w:fill="0033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ASSESSOR NAME &amp; REG #:</w:t>
            </w:r>
          </w:p>
        </w:tc>
        <w:tc>
          <w:tcPr>
            <w:tcW w:type="dxa" w:w="6192"/>
            <w:shd w:fill="E6F0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__________________________________________________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2"/>
        </w:rPr>
        <w:t>SECTION 1: ASSESSOR GUIDANCE &amp; ASSESSMENT PRINCIPLES (VERSION 2)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1. Purpose of Version 2 Assessor Guide: Provides standardized marking criteria, complete answer keys, and rubric parameters for evaluating Version 2 of the SU 2 Assessment Script.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2. Key Adjusted Structure (Version 2):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 • Section A: 15 Multiple Choice Questions @ 1 Mark each = 15 Marks (Scrambled Order).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 • Section B: 8 True/False Questions with Justification @ 4 Marks each = 32 Marks (Includes 3 New Statutory/SABPP Statements).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 • Section C: 3 Scenario Short Questions based on Vita-Health Logistics @ 6 Marks each = 18 Marks.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 • Section D: 3 Strategic Sub-Sections for the Scenario Long Question = 35 Marks.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 • TOTAL MARKS = 100 Marks | PASS MARK = 75% (75 Marks).</w:t>
      </w:r>
    </w:p>
    <w:p>
      <w:pPr>
        <w:spacing w:after="6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3. Assessment Principles: Maintain strict objectivity, validity, and reliability. Evaluate all technical justifications against SABPP Standard Element 2, POPIA, EEA Section 8, and LRA statutory frameworks.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2"/>
        </w:rPr>
        <w:t>SECTION 2: SECTION A - MULTIPLE CHOICE MARKING KEY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Q#</w:t>
            </w:r>
          </w:p>
        </w:tc>
        <w:tc>
          <w:tcPr>
            <w:tcW w:type="dxa" w:w="864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312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Correct Option</w:t>
            </w:r>
          </w:p>
        </w:tc>
        <w:tc>
          <w:tcPr>
            <w:tcW w:type="dxa" w:w="4320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Assessor Rationale / Technical Reference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Q1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Scientifically valid, reliable, fair, and non-discriminatory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EEA Section 8 requirement for psychometric testing.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Q2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HR Business Partner (HRBP)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Strategic liaison translating business goals to workforce plans.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Protection of Personal Information Act (POPIA)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Governs candidate background data privacy and screening.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Aligning talent strategy with strategic intent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SABPP National People Practices Standard Element 2.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Q5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Comparing demand vs. supply forecasts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Gap analysis primary objective.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Q6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Current/projected internal skills and mobility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Supply forecasting core evaluation area.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Q7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Gap Analysis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Immediate next stage following Talent Review in SABPP process map.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Q8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Predicting future number/types of skills needed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Demand forecasting definition.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Q9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Internal staff/manager hours spent interviewing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Indirect recruitment cost.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Marketing organisation as an attractive employer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Employer Value Proposition / Branding role.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Q11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Identifying and developing internal high-potential successors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Succession planning core purpose.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Q12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HR Talent Management Information System (HR-TMIS)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Digital hub for HR data and performance management.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Q13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Job Analysis and Competency Modelling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Technique for defining tasks and required KSAs.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14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Welcoming, role clarity, and social integration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Structured induction primary objective.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Q15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Data-driven decisions on retention, skills gaps, and ROI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People analytics primary business benefit.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2"/>
        </w:rPr>
        <w:t>SECTION 3: SECTION B - EXPANDED TRUE / FALSE MEMORANDUM (32 MARKS)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222222"/>
          <w:sz w:val="22"/>
        </w:rPr>
        <w:t>Marking Breakdown: 1 Mark for status + 3 Marks for detailed justification. Total = 4 Marks each (8 Questions = 32 Marks).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1: </w:t>
      </w:r>
      <w:r>
        <w:rPr>
          <w:rFonts w:ascii="Calibri" w:hAnsi="Calibri"/>
          <w:i/>
          <w:sz w:val="20"/>
        </w:rPr>
        <w:t>"Talent Management is a static, one-time HR project..."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[FALSE]</w:t>
        <w:br/>
      </w:r>
      <w:r>
        <w:rPr>
          <w:rFonts w:ascii="Calibri" w:hAnsi="Calibri"/>
          <w:sz w:val="19"/>
        </w:rPr>
        <w:t>Justification Criteria: Talent Management is an ongoing, continuous process encompassing attracting, developing, retaining, and deploying employees at ALL levels across the entire employee lifecycle (SABPP Standard Element 2), not a static executive hiring project.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2: </w:t>
      </w:r>
      <w:r>
        <w:rPr>
          <w:rFonts w:ascii="Calibri" w:hAnsi="Calibri"/>
          <w:i/>
          <w:sz w:val="20"/>
        </w:rPr>
        <w:t>"Line managers should be excluded from talent reviews..."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[FALSE]</w:t>
        <w:br/>
      </w:r>
      <w:r>
        <w:rPr>
          <w:rFonts w:ascii="Calibri" w:hAnsi="Calibri"/>
          <w:sz w:val="19"/>
        </w:rPr>
        <w:t>Justification Criteria: Effective talent management requires active strategic partnership with line management. Line managers evaluate day-to-day performance, segment talent, identify skill gaps, and coach high-potential employees alongside HR.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3: </w:t>
      </w:r>
      <w:r>
        <w:rPr>
          <w:rFonts w:ascii="Calibri" w:hAnsi="Calibri"/>
          <w:i/>
          <w:sz w:val="20"/>
        </w:rPr>
        <w:t>"Psychometric testing is lawful even if not validated, as long as candidate consents..."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[FALSE]</w:t>
        <w:br/>
      </w:r>
      <w:r>
        <w:rPr>
          <w:rFonts w:ascii="Calibri" w:hAnsi="Calibri"/>
          <w:sz w:val="19"/>
        </w:rPr>
        <w:t>Justification Criteria: Under Section 8 of the Employment Equity Act (EEA), psychometric testing is strictly prohibited unless scientifically validated, reliable, fair, and non-discriminatory. Verbal consent cannot override statutory non-compliance.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4: </w:t>
      </w:r>
      <w:r>
        <w:rPr>
          <w:rFonts w:ascii="Calibri" w:hAnsi="Calibri"/>
          <w:i/>
          <w:sz w:val="20"/>
        </w:rPr>
        <w:t>"Collective agreements take precedence over informal departmental hiring habits..."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[TRUE]</w:t>
        <w:br/>
      </w:r>
      <w:r>
        <w:rPr>
          <w:rFonts w:ascii="Calibri" w:hAnsi="Calibri"/>
          <w:sz w:val="19"/>
        </w:rPr>
        <w:t>Justification Criteria: Under Section 23 of the Labour Relations Act (LRA), collective agreements legally bind the employer and override informal departmental hiring habits or conflicting internal practices.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5: </w:t>
      </w:r>
      <w:r>
        <w:rPr>
          <w:rFonts w:ascii="Calibri" w:hAnsi="Calibri"/>
          <w:i/>
          <w:sz w:val="20"/>
        </w:rPr>
        <w:t>"Workforce planning only focuses on headcount numbers..."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[FALSE]</w:t>
        <w:br/>
      </w:r>
      <w:r>
        <w:rPr>
          <w:rFonts w:ascii="Calibri" w:hAnsi="Calibri"/>
          <w:sz w:val="19"/>
        </w:rPr>
        <w:t>Justification Criteria: Workforce planning involves both headcount numbers and qualitative skills auditing, competency modeling, and factoring in future dynamics such as automation and AI.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6 [NEW]: </w:t>
      </w:r>
      <w:r>
        <w:rPr>
          <w:rFonts w:ascii="Calibri" w:hAnsi="Calibri"/>
          <w:i/>
          <w:sz w:val="20"/>
        </w:rPr>
        <w:t>"Under POPIA, an employer can share an unsuccessful candidate's CV with third parties without consent..."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[FALSE]</w:t>
        <w:br/>
      </w:r>
      <w:r>
        <w:rPr>
          <w:rFonts w:ascii="Calibri" w:hAnsi="Calibri"/>
          <w:sz w:val="19"/>
        </w:rPr>
        <w:t>Justification Criteria: Under POPIA (Protection of Personal Information Act), sharing candidate CVs or screening results with unauthorized third parties without explicit, written candidate consent is an illegal breach of personal privacy regulations.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7 [NEW]: </w:t>
      </w:r>
      <w:r>
        <w:rPr>
          <w:rFonts w:ascii="Calibri" w:hAnsi="Calibri"/>
          <w:i/>
          <w:sz w:val="20"/>
        </w:rPr>
        <w:t>"An EVP strictly consists of financial salary compensation and excludes non-monetary benefits..."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[FALSE]</w:t>
        <w:br/>
      </w:r>
      <w:r>
        <w:rPr>
          <w:rFonts w:ascii="Calibri" w:hAnsi="Calibri"/>
          <w:sz w:val="19"/>
        </w:rPr>
        <w:t>Justification Criteria: A modern Employer Value Proposition (EVP) encompasses total rewards, including non-monetary elements such as career advancement pathways, organizational culture, wellness programs, and flexible working arrangements alongside base salary.</w:t>
      </w:r>
    </w:p>
    <w:p>
      <w:pPr>
        <w:keepNext/>
        <w:spacing w:after="40"/>
      </w:pPr>
      <w:r>
        <w:rPr>
          <w:rFonts w:ascii="Arial" w:hAnsi="Arial"/>
          <w:b/>
          <w:sz w:val="21"/>
        </w:rPr>
        <w:t xml:space="preserve">Statement 8 [NEW]: </w:t>
      </w:r>
      <w:r>
        <w:rPr>
          <w:rFonts w:ascii="Calibri" w:hAnsi="Calibri"/>
          <w:i/>
          <w:sz w:val="20"/>
        </w:rPr>
        <w:t>"In SABPP Standard Element 2, talent segmentation involves classifying employees into categories for targeted development..."</w:t>
      </w:r>
    </w:p>
    <w:p>
      <w:pPr>
        <w:spacing w:after="160"/>
        <w:ind w:left="288"/>
      </w:pPr>
      <w:r>
        <w:rPr>
          <w:rFonts w:ascii="Calibri" w:hAnsi="Calibri"/>
          <w:b/>
          <w:color w:val="003366"/>
          <w:sz w:val="20"/>
        </w:rPr>
        <w:t>Official Key: [TRUE]</w:t>
        <w:br/>
      </w:r>
      <w:r>
        <w:rPr>
          <w:rFonts w:ascii="Calibri" w:hAnsi="Calibri"/>
          <w:sz w:val="19"/>
        </w:rPr>
        <w:t>Justification Criteria: According to SABPP Standard Element 2, talent segmentation involves classifying staff based on performance and potential (e.g., using a 9-box grid) to deliver targeted development and retention interventions.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2"/>
        </w:rPr>
        <w:t>SECTION 4: SECTION C - SHORT QUESTIONS MARKING MEMO (18 MARKS)</w:t>
      </w:r>
    </w:p>
    <w:p>
      <w:pPr>
        <w:keepNext/>
        <w:spacing w:after="40"/>
      </w:pPr>
      <w:r>
        <w:rPr>
          <w:rFonts w:ascii="Arial" w:hAnsi="Arial"/>
          <w:b/>
          <w:color w:val="006699"/>
          <w:sz w:val="21"/>
        </w:rPr>
        <w:t>Q1 Model Answer (Demand vs Supply - Vita-Health Logistics)</w:t>
      </w:r>
    </w:p>
    <w:p>
      <w:pPr>
        <w:spacing w:after="160"/>
        <w:ind w:left="288"/>
      </w:pPr>
      <w:r>
        <w:rPr>
          <w:rFonts w:ascii="Calibri" w:hAnsi="Calibri"/>
          <w:sz w:val="19"/>
        </w:rPr>
        <w:t>• Demand Forecasting (3 Marks): Predicting future pharmaceutical and cold-chain personnel required for the 3 new hubs. Data inputs: (1) Projected vaccine/drug distribution volumes, (2) Cold-storage warehouse square footage capacity, (3) Mandatory Pharmacist-in-Charge regulatory ratios.</w:t>
        <w:br/>
        <w:t>• Supply Forecasting (3 Marks): Assessing internal talent and external labor market availability. Data inputs: (1) Current internal inventory of licensed logistics staff, (2) Regional turnover/retirement trends, (3) External labor availability of certified cold-chain technicians in Western Cape, KZN, and Eastern Cape.</w:t>
      </w:r>
    </w:p>
    <w:p>
      <w:pPr>
        <w:keepNext/>
        <w:spacing w:after="40"/>
      </w:pPr>
      <w:r>
        <w:rPr>
          <w:rFonts w:ascii="Arial" w:hAnsi="Arial"/>
          <w:b/>
          <w:color w:val="006699"/>
          <w:sz w:val="21"/>
        </w:rPr>
        <w:t>Q2 Model Answer (POPIA &amp; EEA Screening Compliance)</w:t>
      </w:r>
    </w:p>
    <w:p>
      <w:pPr>
        <w:spacing w:after="160"/>
        <w:ind w:left="288"/>
      </w:pPr>
      <w:r>
        <w:rPr>
          <w:rFonts w:ascii="Calibri" w:hAnsi="Calibri"/>
          <w:sz w:val="19"/>
        </w:rPr>
        <w:t>• Requirement 1 (POPIA Written Consent) [2 Marks]: Explicit signed consent required before sending candidate data to MIE or SAQA. Data collected must strictly relate to pharmaceutical distribution roles.</w:t>
        <w:br/>
        <w:t>• Requirement 2 (EEA Section 8 Psychometric Validation) [2 Marks]: Psychometric assessments used for warehouse operators must be certified as scientifically valid, reliable, and non-discriminatory.</w:t>
        <w:br/>
        <w:t>• Requirement 3 (EEA Inherent Job Relevance for Credit/Criminal Vetting) [2 Marks]: Credit checks allowed ONLY for roles handling financial assets; criminal checks restricted to security/scheduled drug handling roles to prevent unfair discrimination under EEA Section 6.</w:t>
      </w:r>
    </w:p>
    <w:p>
      <w:pPr>
        <w:keepNext/>
        <w:spacing w:after="40"/>
      </w:pPr>
      <w:r>
        <w:rPr>
          <w:rFonts w:ascii="Arial" w:hAnsi="Arial"/>
          <w:b/>
          <w:color w:val="006699"/>
          <w:sz w:val="21"/>
        </w:rPr>
        <w:t>Q3 Model Answer (Structured 4-Phase Induction Framework)</w:t>
      </w:r>
    </w:p>
    <w:p>
      <w:pPr>
        <w:spacing w:after="160"/>
        <w:ind w:left="288"/>
      </w:pPr>
      <w:r>
        <w:rPr>
          <w:rFonts w:ascii="Calibri" w:hAnsi="Calibri"/>
          <w:sz w:val="19"/>
        </w:rPr>
        <w:t>• Phase 1 (Pre-Onboarding): Issue employment contract, send digital welcome pack, assign senior cold-chain mentor, pre-configure IT/warehouse system credentials.</w:t>
        <w:br/>
        <w:t>• Phase 2 (Day 1 - Welcome &amp; Safety): Site tour of cold-storage hub, mandatory pharmaceutical OHS safety briefing, introduction to Pharmacist-in-Charge and team.</w:t>
        <w:br/>
        <w:t>• Phase 3 (Week 1 - Technical Orientation): Shadowing experienced cold-chain technicians, SOP training on temperature-controlled packaging and automated warehouse systems.</w:t>
        <w:br/>
        <w:t>• Phase 4 (Month 1 - Performance Check-in): 30-day review with hub manager, evaluating initial competency mastery, addressing feedback to curb early turnover.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2"/>
        </w:rPr>
        <w:t>SECTION 5: SECTION D - LONG QUESTION EVALUATION RUBRIC (35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</w:tcPr>
          <w:p>
            <w:r>
              <w:rPr>
                <w:color w:val="FFFFFF"/>
              </w:rPr>
              <w:t>Sub-Section &amp; Focus</w:t>
            </w:r>
          </w:p>
        </w:tc>
        <w:tc>
          <w:tcPr>
            <w:tcW w:type="dxa" w:w="1440"/>
            <w:shd w:fill="003366"/>
          </w:tcPr>
          <w:p>
            <w:r>
              <w:rPr>
                <w:color w:val="FFFFFF"/>
              </w:rPr>
              <w:t>Marks</w:t>
            </w:r>
          </w:p>
        </w:tc>
        <w:tc>
          <w:tcPr>
            <w:tcW w:type="dxa" w:w="5328"/>
            <w:shd w:fill="003366"/>
          </w:tcPr>
          <w:p>
            <w:r>
              <w:rPr>
                <w:color w:val="FFFFFF"/>
              </w:rPr>
              <w:t>Assessment Criteria &amp; Expected Depth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</w:rPr>
              <w:t>D1: Workforce Planning &amp; Costing Framework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</w:rPr>
              <w:t>12 Marks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</w:rPr>
              <w:t>• Clear step-by-step demand &amp; supply forecasting methodology (3m)</w:t>
              <w:br/>
              <w:t>• Robust Gap Analysis process for 280 staff across 3 hubs (3m)</w:t>
              <w:br/>
              <w:t>• Accurate classification of direct vs. indirect recruitment costs (3m)</w:t>
              <w:br/>
              <w:t>• Practical risk mitigation strategies for cold-chain talent shortages (3m)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</w:rPr>
              <w:t>D2: SABPP Strategic Talent Management &amp; Retention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</w:rPr>
              <w:t>12 Marks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</w:rPr>
              <w:t>• Systematic alignment with SABPP Standard Element 2 (8-step model) (3m)</w:t>
              <w:br/>
              <w:t>• Compelling Employer Value Proposition (EVP) for cold-chain specialists (3m)</w:t>
              <w:br/>
              <w:t>• Succession planning &amp; 9-box grid HiPo identification model (3m)</w:t>
              <w:br/>
              <w:t>• Total rewards &amp; career pathing retention initiatives (3m)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</w:rPr>
              <w:t>D3: Recruitment, HR-TMIS Integration &amp; Governance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</w:rPr>
              <w:t>11 Marks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</w:rPr>
              <w:t>• Multi-channel sourcing &amp; Behavioral Event Interviewing (BEI) framework (3m)</w:t>
              <w:br/>
              <w:t>• HR-TMIS deployment for onboarding, LMS, and performance (3m)</w:t>
              <w:br/>
              <w:t>• 4 precise People Analytics metrics with formulas &amp; targets (3m)</w:t>
              <w:br/>
              <w:t>• POPIA data security and statutory compliance audit mechanisms (2m)</w:t>
            </w:r>
          </w:p>
        </w:tc>
      </w:tr>
    </w:tbl>
    <w:p>
      <w:pPr>
        <w:spacing w:after="28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2"/>
        </w:rPr>
        <w:t>SECTION 6: ASSESSOR RESULT SUMMARY &amp; RECORDING FORM (VERSION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Assessment Section</w:t>
            </w:r>
          </w:p>
        </w:tc>
        <w:tc>
          <w:tcPr>
            <w:tcW w:type="dxa" w:w="1728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728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Learner Score</w:t>
            </w:r>
          </w:p>
        </w:tc>
        <w:tc>
          <w:tcPr>
            <w:tcW w:type="dxa" w:w="2304"/>
            <w:shd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Result (C / NYC)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Section A: Scrambled Multiple Choice Questions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15 Marks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Section B: Expanded True / False (8 Questions)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32 Marks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Section C: Scenario Short Questions (Vita-Health)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18 Marks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Section D: Strategic Long Question (3 Sub-sections)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 w:val="0"/>
              </w:rPr>
              <w:t>35 Marks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TOTAL OVERALL SCORE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</w:rPr>
              <w:t>100 Marks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006699"/>
          <w:sz w:val="26"/>
        </w:rPr>
        <w:t>CONSTRUCTIVE ASSESSOR FEEDBACK &amp; MODERATION NOTES:</w:t>
      </w:r>
    </w:p>
    <w:p>
      <w:pPr>
        <w:spacing w:after="240"/>
      </w:pPr>
      <w:r>
        <w:rPr>
          <w:rFonts w:ascii="Calibri" w:hAnsi="Calibri"/>
          <w:color w:val="969696"/>
          <w:sz w:val="19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Assessor Signature: ______________________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Date: ________________________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Moderator Signature: ____________________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</w:rP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