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40"/>
      </w:pPr>
      <w:r>
        <w:rPr>
          <w:b/>
          <w:color w:val="008080"/>
          <w:sz w:val="20"/>
        </w:rPr>
        <w:t>ADVANCED OCCUPATIONAL CERTIFICATE: HUMAN RESOURCE MANAGEMENT OFFICER</w:t>
      </w:r>
    </w:p>
    <w:p>
      <w:pPr>
        <w:spacing w:before="0" w:after="120"/>
      </w:pPr>
      <w:r>
        <w:rPr>
          <w:b/>
          <w:color w:val="1B365D"/>
          <w:sz w:val="40"/>
        </w:rPr>
        <w:t>INTERNAL FORMATIVE ASSESSMENT WORKBOOK</w:t>
      </w:r>
    </w:p>
    <w:p>
      <w:pPr>
        <w:spacing w:after="240"/>
      </w:pPr>
      <w:r>
        <w:rPr>
          <w:i/>
          <w:color w:val="646464"/>
          <w:sz w:val="19"/>
        </w:rPr>
        <w:t>Topic KM0202: Implementation Principles and Practices for Workforce Planning (Weighting: 50% of KM-02)</w:t>
        <w:br/>
        <w:t>Qualification SAQA ID: 121151 | NQF Level 6 | Curriculum Code: 242303-001-00-00 | Total Marks: 50 Marks</w:t>
      </w:r>
    </w:p>
    <w:p>
      <w:pPr>
        <w:keepNext/>
        <w:spacing w:before="160" w:after="40"/>
      </w:pPr>
      <w:r>
        <w:rPr>
          <w:rFonts w:ascii="Arial" w:hAnsi="Arial"/>
          <w:b/>
          <w:color w:val="1B365D"/>
          <w:sz w:val="22"/>
        </w:rPr>
        <w:t>Learner &amp; Assessment Details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cantSplit/>
          <w:tblHeader/>
        </w:trPr>
        <w:tc>
          <w:tcPr>
            <w:tcW w:type="dxa" w:w="360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1B365D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Learner Full Name:</w:t>
            </w:r>
          </w:p>
        </w:tc>
        <w:tc>
          <w:tcPr>
            <w:tcW w:type="dxa" w:w="633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1B365D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left"/>
            </w:pPr>
            <w:r>
              <w:rPr>
                <w:b/>
                <w:color w:val="333333"/>
                <w:sz w:val="18"/>
              </w:rPr>
              <w:t>National ID / Student Number:</w:t>
            </w:r>
          </w:p>
        </w:tc>
        <w:tc>
          <w:tcPr>
            <w:tcW w:type="dxa" w:w="633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left"/>
            </w:pPr>
            <w:r>
              <w:rPr>
                <w:color w:val="333333"/>
                <w:sz w:val="18"/>
              </w:rPr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left"/>
            </w:pPr>
            <w:r>
              <w:rPr>
                <w:b/>
                <w:color w:val="333333"/>
                <w:sz w:val="18"/>
              </w:rPr>
              <w:t>Assessor Name:</w:t>
            </w:r>
          </w:p>
        </w:tc>
        <w:tc>
          <w:tcPr>
            <w:tcW w:type="dxa" w:w="633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left"/>
            </w:pPr>
            <w:r>
              <w:rPr>
                <w:color w:val="333333"/>
                <w:sz w:val="18"/>
              </w:rPr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left"/>
            </w:pPr>
            <w:r>
              <w:rPr>
                <w:b/>
                <w:color w:val="333333"/>
                <w:sz w:val="18"/>
              </w:rPr>
              <w:t>Assessment Date:</w:t>
            </w:r>
          </w:p>
        </w:tc>
        <w:tc>
          <w:tcPr>
            <w:tcW w:type="dxa" w:w="633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left"/>
            </w:pPr>
            <w:r>
              <w:rPr>
                <w:color w:val="333333"/>
                <w:sz w:val="18"/>
              </w:rPr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left"/>
            </w:pPr>
            <w:r>
              <w:rPr>
                <w:b/>
                <w:color w:val="333333"/>
                <w:sz w:val="18"/>
              </w:rPr>
              <w:t>Assessment Result (Competent / Not Yet Competent):</w:t>
            </w:r>
          </w:p>
        </w:tc>
        <w:tc>
          <w:tcPr>
            <w:tcW w:type="dxa" w:w="633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left"/>
            </w:pPr>
            <w:r>
              <w:rPr>
                <w:color w:val="333333"/>
                <w:sz w:val="18"/>
              </w:rPr>
            </w:r>
          </w:p>
        </w:tc>
      </w:tr>
    </w:tbl>
    <w:p>
      <w:pPr>
        <w:spacing w:after="80"/>
      </w:pPr>
    </w:p>
    <w:p>
      <w:pPr>
        <w:keepNext/>
        <w:spacing w:before="160" w:after="40"/>
      </w:pPr>
      <w:r>
        <w:rPr>
          <w:rFonts w:ascii="Arial" w:hAnsi="Arial"/>
          <w:b/>
          <w:color w:val="1B365D"/>
          <w:sz w:val="22"/>
        </w:rPr>
        <w:t>Topic KM0202 Curriculum &amp; Assessment Criteria Alignment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cantSplit/>
          <w:tblHeader/>
        </w:trPr>
        <w:tc>
          <w:tcPr>
            <w:tcW w:type="dxa" w:w="331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1B365D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Knowledge Topic Element (KT)</w:t>
            </w:r>
          </w:p>
        </w:tc>
        <w:tc>
          <w:tcPr>
            <w:tcW w:type="dxa" w:w="403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1B365D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Internal Assessment Criteria (IAC)</w:t>
            </w:r>
          </w:p>
        </w:tc>
        <w:tc>
          <w:tcPr>
            <w:tcW w:type="dxa" w:w="259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1B365D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Workbook Section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left"/>
            </w:pPr>
            <w:r>
              <w:rPr>
                <w:color w:val="333333"/>
                <w:sz w:val="18"/>
              </w:rPr>
              <w:t>KT0201: Definitions, terminology and concepts related to Workforce Planning</w:t>
            </w:r>
          </w:p>
        </w:tc>
        <w:tc>
          <w:tcPr>
            <w:tcW w:type="dxa" w:w="403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left"/>
            </w:pPr>
            <w:r>
              <w:rPr>
                <w:color w:val="333333"/>
                <w:sz w:val="18"/>
              </w:rPr>
              <w:t>IAC0201: Explain and discuss the definitions, terminology and concepts related to Workforce Planning and give practical examples</w:t>
            </w:r>
          </w:p>
        </w:tc>
        <w:tc>
          <w:tcPr>
            <w:tcW w:type="dxa" w:w="259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left"/>
            </w:pPr>
            <w:r>
              <w:rPr>
                <w:color w:val="333333"/>
                <w:sz w:val="18"/>
              </w:rPr>
              <w:t>Part A, Part B, Part D (Q1)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left"/>
            </w:pPr>
            <w:r>
              <w:rPr>
                <w:color w:val="333333"/>
                <w:sz w:val="18"/>
              </w:rPr>
              <w:t>KT0202: Evolving models, processes, and application principles for enhancing the effectiveness of Workforce Planning</w:t>
            </w:r>
          </w:p>
        </w:tc>
        <w:tc>
          <w:tcPr>
            <w:tcW w:type="dxa" w:w="403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left"/>
            </w:pPr>
            <w:r>
              <w:rPr>
                <w:color w:val="333333"/>
                <w:sz w:val="18"/>
              </w:rPr>
              <w:t>IAC0202: Discuss the evolving models, processes, and application principles for enhancing the effectiveness of Workforce Planning</w:t>
            </w:r>
          </w:p>
        </w:tc>
        <w:tc>
          <w:tcPr>
            <w:tcW w:type="dxa" w:w="259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left"/>
            </w:pPr>
            <w:r>
              <w:rPr>
                <w:color w:val="333333"/>
                <w:sz w:val="18"/>
              </w:rPr>
              <w:t>Part A, Part B, Part D (Q2), Part E Task 1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left"/>
            </w:pPr>
            <w:r>
              <w:rPr>
                <w:color w:val="333333"/>
                <w:sz w:val="18"/>
              </w:rPr>
              <w:t>KT0203: Professional practice standards relating to Workforce Planning</w:t>
            </w:r>
          </w:p>
        </w:tc>
        <w:tc>
          <w:tcPr>
            <w:tcW w:type="dxa" w:w="403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left"/>
            </w:pPr>
            <w:r>
              <w:rPr>
                <w:color w:val="333333"/>
                <w:sz w:val="18"/>
              </w:rPr>
              <w:t>IAC0203: Discuss how the professional practice standards relate to Workforce Planning in organisations</w:t>
            </w:r>
          </w:p>
        </w:tc>
        <w:tc>
          <w:tcPr>
            <w:tcW w:type="dxa" w:w="259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left"/>
            </w:pPr>
            <w:r>
              <w:rPr>
                <w:color w:val="333333"/>
                <w:sz w:val="18"/>
              </w:rPr>
              <w:t>Part A, Part C (Q1), Part D (Q3)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left"/>
            </w:pPr>
            <w:r>
              <w:rPr>
                <w:color w:val="333333"/>
                <w:sz w:val="18"/>
              </w:rPr>
              <w:t>KT0204: Monitoring and facilitating compliance with Workforce Planning policies and procedures</w:t>
            </w:r>
          </w:p>
        </w:tc>
        <w:tc>
          <w:tcPr>
            <w:tcW w:type="dxa" w:w="403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left"/>
            </w:pPr>
            <w:r>
              <w:rPr>
                <w:color w:val="333333"/>
                <w:sz w:val="18"/>
              </w:rPr>
              <w:t>IAC0204: Explain how monitoring and facilitating compliance with Workforce Planning policies and procedures must take place and elaborate on the benefits of compliance</w:t>
            </w:r>
          </w:p>
        </w:tc>
        <w:tc>
          <w:tcPr>
            <w:tcW w:type="dxa" w:w="259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left"/>
            </w:pPr>
            <w:r>
              <w:rPr>
                <w:color w:val="333333"/>
                <w:sz w:val="18"/>
              </w:rPr>
              <w:t>Part B, Part D (Q4), Part E Task 2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left"/>
            </w:pPr>
            <w:r>
              <w:rPr>
                <w:color w:val="333333"/>
                <w:sz w:val="18"/>
              </w:rPr>
              <w:t>KT0205: Role of the HRM Officer regarding Workforce Planning</w:t>
            </w:r>
          </w:p>
        </w:tc>
        <w:tc>
          <w:tcPr>
            <w:tcW w:type="dxa" w:w="403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left"/>
            </w:pPr>
            <w:r>
              <w:rPr>
                <w:color w:val="333333"/>
                <w:sz w:val="18"/>
              </w:rPr>
              <w:t>IAC0205: Describe the role of the HRM Officer regarding Workforce Planning</w:t>
            </w:r>
          </w:p>
        </w:tc>
        <w:tc>
          <w:tcPr>
            <w:tcW w:type="dxa" w:w="259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left"/>
            </w:pPr>
            <w:r>
              <w:rPr>
                <w:color w:val="333333"/>
                <w:sz w:val="18"/>
              </w:rPr>
              <w:t>Part B, Part D (Q5), Part E Task 1 &amp; 2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left"/>
            </w:pPr>
            <w:r>
              <w:rPr>
                <w:color w:val="333333"/>
                <w:sz w:val="18"/>
              </w:rPr>
              <w:t>KT0206: Contributions of other HR stakeholders to Workforce Planning</w:t>
            </w:r>
          </w:p>
        </w:tc>
        <w:tc>
          <w:tcPr>
            <w:tcW w:type="dxa" w:w="403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left"/>
            </w:pPr>
            <w:r>
              <w:rPr>
                <w:color w:val="333333"/>
                <w:sz w:val="18"/>
              </w:rPr>
              <w:t>IAC0206: Identify and discuss the contributions of other HR stakeholders to Workforce Planning</w:t>
            </w:r>
          </w:p>
        </w:tc>
        <w:tc>
          <w:tcPr>
            <w:tcW w:type="dxa" w:w="259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left"/>
            </w:pPr>
            <w:r>
              <w:rPr>
                <w:color w:val="333333"/>
                <w:sz w:val="18"/>
              </w:rPr>
              <w:t>Part A, Part C (Q2), Part E Task 1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left"/>
            </w:pPr>
            <w:r>
              <w:rPr>
                <w:color w:val="333333"/>
                <w:sz w:val="18"/>
              </w:rPr>
              <w:t>KT0207: Use of the HR Workforce Planning Information Systems and people analytics</w:t>
            </w:r>
          </w:p>
        </w:tc>
        <w:tc>
          <w:tcPr>
            <w:tcW w:type="dxa" w:w="403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left"/>
            </w:pPr>
            <w:r>
              <w:rPr>
                <w:color w:val="333333"/>
                <w:sz w:val="18"/>
              </w:rPr>
              <w:t>IAC0207: Explain the use of the HR Workforce Planning Information Systems for people analytics</w:t>
            </w:r>
          </w:p>
        </w:tc>
        <w:tc>
          <w:tcPr>
            <w:tcW w:type="dxa" w:w="259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left"/>
            </w:pPr>
            <w:r>
              <w:rPr>
                <w:color w:val="333333"/>
                <w:sz w:val="18"/>
              </w:rPr>
              <w:t>Part A, Part B, Part D (Q4), Part E Task 1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6F9"/>
            <w:tcBorders>
              <w:left w:val="single" w:sz="24" w:space="0" w:color="1B365D"/>
              <w:top w:val="none"/>
              <w:right w:val="none"/>
              <w:bottom w:val="none"/>
            </w:tcBorders>
            <w:tcMar>
              <w:top w:w="140" w:type="dxa"/>
              <w:bottom w:w="140" w:type="dxa"/>
              <w:left w:w="200" w:type="dxa"/>
              <w:right w:w="150" w:type="dxa"/>
            </w:tcMar>
          </w:tcPr>
          <w:p>
            <w:pPr>
              <w:spacing w:before="0" w:after="40"/>
            </w:pPr>
            <w:r>
              <w:rPr>
                <w:b/>
                <w:color w:val="1B365D"/>
                <w:sz w:val="21"/>
              </w:rPr>
              <w:t>■ FORMATIVE ASSESSMENT INSTRUCTIONS</w:t>
              <w:br/>
            </w:r>
            <w:r>
              <w:rPr>
                <w:color w:val="333333"/>
                <w:sz w:val="19"/>
              </w:rPr>
              <w:t>1. This formative assessment workbook evaluates your theoretical knowledge and practical execution of workforce planning under Topic KM0202.</w:t>
            </w:r>
          </w:p>
          <w:p>
            <w:pPr>
              <w:spacing w:before="0" w:after="40"/>
            </w:pPr>
            <w:r>
              <w:rPr>
                <w:color w:val="333333"/>
                <w:sz w:val="19"/>
              </w:rPr>
              <w:t>2. Complete all tasks using UK English and professional human resource management terminology.</w:t>
            </w:r>
          </w:p>
          <w:p>
            <w:pPr>
              <w:spacing w:before="0" w:after="40"/>
            </w:pPr>
            <w:r>
              <w:rPr>
                <w:color w:val="333333"/>
                <w:sz w:val="19"/>
              </w:rPr>
              <w:t>3. Ensure your answers demonstrate NQF Level 6 depth: demand and supply forecasting, gap analysis, scenario planning, SHRM/CIPD professional standards, HRIS workforce analytics, and cross-functional stakeholder collaboration.</w:t>
            </w:r>
          </w:p>
          <w:p>
            <w:pPr>
              <w:spacing w:before="0" w:after="40"/>
            </w:pPr>
            <w:r>
              <w:rPr>
                <w:color w:val="333333"/>
                <w:sz w:val="19"/>
              </w:rPr>
              <w:t>4. Total Marks: 50 Marks. Pass Benchmark: 80% (40 Marks).</w:t>
            </w:r>
          </w:p>
        </w:tc>
      </w:tr>
    </w:tbl>
    <w:p>
      <w:pPr>
        <w:spacing w:after="80"/>
      </w:pPr>
    </w:p>
    <w:p>
      <w:pPr>
        <w:keepNext/>
        <w:spacing w:before="320" w:after="120"/>
        <w:pBdr>
          <w:bottom w:val="single" w:sz="12" w:space="4" w:color="1B365D"/>
        </w:pBdr>
      </w:pPr>
      <w:r>
        <w:rPr>
          <w:rFonts w:ascii="Arial" w:hAnsi="Arial"/>
          <w:b/>
          <w:color w:val="1B365D"/>
          <w:sz w:val="30"/>
        </w:rPr>
        <w:t>SECTION 1: KNOWLEDGE &amp; UNDERSTANDING TASKS (30 MARKS)</w:t>
      </w:r>
    </w:p>
    <w:p>
      <w:pPr>
        <w:keepNext/>
        <w:spacing w:before="240" w:after="80"/>
      </w:pPr>
      <w:r>
        <w:rPr>
          <w:rFonts w:ascii="Arial" w:hAnsi="Arial"/>
          <w:b/>
          <w:color w:val="008080"/>
          <w:sz w:val="25"/>
        </w:rPr>
        <w:t>Part A: Multiple-Choice Questions (5 Marks)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6F9"/>
            <w:tcBorders>
              <w:left w:val="single" w:sz="24" w:space="0" w:color="1B365D"/>
              <w:top w:val="none"/>
              <w:right w:val="none"/>
              <w:bottom w:val="none"/>
            </w:tcBorders>
            <w:tcMar>
              <w:top w:w="140" w:type="dxa"/>
              <w:bottom w:w="140" w:type="dxa"/>
              <w:left w:w="200" w:type="dxa"/>
              <w:right w:w="150" w:type="dxa"/>
            </w:tcMar>
          </w:tcPr>
          <w:p>
            <w:pPr>
              <w:spacing w:before="0" w:after="40"/>
            </w:pPr>
            <w:r>
              <w:rPr>
                <w:b/>
                <w:color w:val="1B365D"/>
                <w:sz w:val="21"/>
              </w:rPr>
              <w:t>■ INSTRUCTIONS - PART A</w:t>
              <w:br/>
            </w:r>
            <w:r>
              <w:rPr>
                <w:color w:val="333333"/>
                <w:sz w:val="19"/>
              </w:rPr>
              <w:t>Select the most appropriate answer for each question by placing an 'X' in the corresponding box [ ]. Each question carries 1 mark.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b/>
        </w:rPr>
        <w:t>Q1. 1. In workforce planning, the process of comparing the demand forecast (future talent requirements) with the supply forecast (current internal workforce capabilities) to identify talent surpluses or deficits is defined as:</w:t>
      </w:r>
    </w:p>
    <w:p>
      <w:pPr>
        <w:spacing w:before="0" w:after="20"/>
        <w:ind w:left="360"/>
      </w:pPr>
      <w:r>
        <w:t>[  ]  A) Force Field Auditing</w:t>
      </w:r>
    </w:p>
    <w:p>
      <w:pPr>
        <w:spacing w:before="0" w:after="20"/>
        <w:ind w:left="360"/>
      </w:pPr>
      <w:r>
        <w:t>[  ]  B) Gap Analysis</w:t>
      </w:r>
    </w:p>
    <w:p>
      <w:pPr>
        <w:spacing w:before="0" w:after="20"/>
        <w:ind w:left="360"/>
      </w:pPr>
      <w:r>
        <w:t>[  ]  C) Distributive Sourcing</w:t>
      </w:r>
    </w:p>
    <w:p>
      <w:pPr>
        <w:spacing w:before="0" w:after="20"/>
        <w:ind w:left="360"/>
      </w:pPr>
      <w:r>
        <w:t>[  ]  D) Outplacement Mapping</w:t>
      </w:r>
    </w:p>
    <w:p>
      <w:pPr>
        <w:spacing w:after="40"/>
      </w:pPr>
    </w:p>
    <w:p>
      <w:pPr>
        <w:keepNext/>
        <w:spacing w:before="120" w:after="40"/>
      </w:pPr>
      <w:r>
        <w:rPr>
          <w:b/>
        </w:rPr>
        <w:t>Q2. 2. Which shift characterizes modern, evolving workforce planning models compared to traditional reactive approaches?</w:t>
      </w:r>
    </w:p>
    <w:p>
      <w:pPr>
        <w:spacing w:before="0" w:after="20"/>
        <w:ind w:left="360"/>
      </w:pPr>
      <w:r>
        <w:t>[  ]  A) Moving from proactive skills-based forecasting to static annual headcount reviews</w:t>
      </w:r>
    </w:p>
    <w:p>
      <w:pPr>
        <w:spacing w:before="0" w:after="20"/>
        <w:ind w:left="360"/>
      </w:pPr>
      <w:r>
        <w:t>[  ]  B) Shifting from an isolated HR headcount task to an agile, continuous process integrated with business strategy</w:t>
      </w:r>
    </w:p>
    <w:p>
      <w:pPr>
        <w:spacing w:before="0" w:after="20"/>
        <w:ind w:left="360"/>
      </w:pPr>
      <w:r>
        <w:t>[  ]  C) Eliminating data analytics in favour of subjective manager intuition</w:t>
      </w:r>
    </w:p>
    <w:p>
      <w:pPr>
        <w:spacing w:before="0" w:after="20"/>
        <w:ind w:left="360"/>
      </w:pPr>
      <w:r>
        <w:t>[  ]  D) Restricting workforce planning exclusively to entry-level administrative staff</w:t>
      </w:r>
    </w:p>
    <w:p>
      <w:pPr>
        <w:spacing w:after="40"/>
      </w:pPr>
    </w:p>
    <w:p>
      <w:pPr>
        <w:keepNext/>
        <w:spacing w:before="120" w:after="40"/>
      </w:pPr>
      <w:r>
        <w:rPr>
          <w:b/>
        </w:rPr>
        <w:t>Q3. 3. International professional practice standards (such as SHRM and CIPD) emphasize that effective workforce planning must primarily focus on:</w:t>
      </w:r>
    </w:p>
    <w:p>
      <w:pPr>
        <w:spacing w:before="0" w:after="20"/>
        <w:ind w:left="360"/>
      </w:pPr>
      <w:r>
        <w:t>[  ]  A) Enforcing mandatory overtime across all departments</w:t>
      </w:r>
    </w:p>
    <w:p>
      <w:pPr>
        <w:spacing w:before="0" w:after="20"/>
        <w:ind w:left="360"/>
      </w:pPr>
      <w:r>
        <w:t>[  ]  B) Strategic alignment with business goals, scenario planning, and data-driven decision making</w:t>
      </w:r>
    </w:p>
    <w:p>
      <w:pPr>
        <w:spacing w:before="0" w:after="20"/>
        <w:ind w:left="360"/>
      </w:pPr>
      <w:r>
        <w:t>[  ]  C) Minimizing training expenditures by relying entirely on external contractors</w:t>
      </w:r>
    </w:p>
    <w:p>
      <w:pPr>
        <w:spacing w:before="0" w:after="20"/>
        <w:ind w:left="360"/>
      </w:pPr>
      <w:r>
        <w:t>[  ]  D) Static paper audits conducted without stakeholder consultation</w:t>
      </w:r>
    </w:p>
    <w:p>
      <w:pPr>
        <w:spacing w:after="40"/>
      </w:pPr>
    </w:p>
    <w:p>
      <w:pPr>
        <w:keepNext/>
        <w:spacing w:before="120" w:after="40"/>
      </w:pPr>
      <w:r>
        <w:rPr>
          <w:b/>
        </w:rPr>
        <w:t>Q4. 4. Which specialized HR stakeholder group primarily contributes to workforce planning by translating departmental business strategies into specific skills requirements and skill gap projections?</w:t>
      </w:r>
    </w:p>
    <w:p>
      <w:pPr>
        <w:spacing w:before="0" w:after="20"/>
        <w:ind w:left="360"/>
      </w:pPr>
      <w:r>
        <w:t>[  ]  A) Payroll Administrators</w:t>
      </w:r>
    </w:p>
    <w:p>
      <w:pPr>
        <w:spacing w:before="0" w:after="20"/>
        <w:ind w:left="360"/>
      </w:pPr>
      <w:r>
        <w:t>[  ]  B) HR Business Partners (HRBPs)</w:t>
      </w:r>
    </w:p>
    <w:p>
      <w:pPr>
        <w:spacing w:before="0" w:after="20"/>
        <w:ind w:left="360"/>
      </w:pPr>
      <w:r>
        <w:t>[  ]  C) External B-BBEE Verifiers</w:t>
      </w:r>
    </w:p>
    <w:p>
      <w:pPr>
        <w:spacing w:before="0" w:after="20"/>
        <w:ind w:left="360"/>
      </w:pPr>
      <w:r>
        <w:t>[  ]  D) Facilities Management Officers</w:t>
      </w:r>
    </w:p>
    <w:p>
      <w:pPr>
        <w:spacing w:after="40"/>
      </w:pPr>
    </w:p>
    <w:p>
      <w:pPr>
        <w:keepNext/>
        <w:spacing w:before="120" w:after="40"/>
      </w:pPr>
      <w:r>
        <w:rPr>
          <w:b/>
        </w:rPr>
        <w:t>Q5. 5. How do HR Workforce Planning Information Systems (HR-TMIS) and People Analytics practically enhance workforce forecasting?</w:t>
      </w:r>
    </w:p>
    <w:p>
      <w:pPr>
        <w:spacing w:before="0" w:after="20"/>
        <w:ind w:left="360"/>
      </w:pPr>
      <w:r>
        <w:t>[  ]  A) By centralising employee demographics, running skills gap simulations, and predicting retirement or turnover trends</w:t>
      </w:r>
    </w:p>
    <w:p>
      <w:pPr>
        <w:spacing w:before="0" w:after="20"/>
        <w:ind w:left="360"/>
      </w:pPr>
      <w:r>
        <w:t>[  ]  B) By automatically terminating staff during economic downturns without consultation</w:t>
      </w:r>
    </w:p>
    <w:p>
      <w:pPr>
        <w:spacing w:before="0" w:after="20"/>
        <w:ind w:left="360"/>
      </w:pPr>
      <w:r>
        <w:t>[  ]  C) By eliminating the need for collaboration between HR and business leaders</w:t>
      </w:r>
    </w:p>
    <w:p>
      <w:pPr>
        <w:spacing w:before="0" w:after="20"/>
        <w:ind w:left="360"/>
      </w:pPr>
      <w:r>
        <w:t>[  ]  D) By forcing all departments to maintain identical staffing numbers regardless of workload</w:t>
      </w:r>
    </w:p>
    <w:p>
      <w:pPr>
        <w:spacing w:after="40"/>
      </w:pPr>
    </w:p>
    <w:p>
      <w:pPr>
        <w:keepNext/>
        <w:spacing w:before="240" w:after="80"/>
      </w:pPr>
      <w:r>
        <w:rPr>
          <w:rFonts w:ascii="Arial" w:hAnsi="Arial"/>
          <w:b/>
          <w:color w:val="008080"/>
          <w:sz w:val="25"/>
        </w:rPr>
        <w:t>Part B: True / False Questions (5 Marks)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6F9"/>
            <w:tcBorders>
              <w:left w:val="single" w:sz="24" w:space="0" w:color="1B365D"/>
              <w:top w:val="none"/>
              <w:right w:val="none"/>
              <w:bottom w:val="none"/>
            </w:tcBorders>
            <w:tcMar>
              <w:top w:w="140" w:type="dxa"/>
              <w:bottom w:w="140" w:type="dxa"/>
              <w:left w:w="200" w:type="dxa"/>
              <w:right w:w="150" w:type="dxa"/>
            </w:tcMar>
          </w:tcPr>
          <w:p>
            <w:pPr>
              <w:spacing w:before="0" w:after="40"/>
            </w:pPr>
            <w:r>
              <w:rPr>
                <w:b/>
                <w:color w:val="1B365D"/>
                <w:sz w:val="21"/>
              </w:rPr>
              <w:t>■ INSTRUCTIONS - PART B</w:t>
              <w:br/>
            </w:r>
            <w:r>
              <w:rPr>
                <w:color w:val="333333"/>
                <w:sz w:val="19"/>
              </w:rPr>
              <w:t>Indicate whether each statement is True or False by placing an 'X' in the appropriate column.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cantSplit/>
          <w:tblHeader/>
        </w:trPr>
        <w:tc>
          <w:tcPr>
            <w:tcW w:type="dxa" w:w="73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1B365D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Statement</w:t>
            </w:r>
          </w:p>
        </w:tc>
        <w:tc>
          <w:tcPr>
            <w:tcW w:type="dxa" w:w="129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True</w:t>
            </w:r>
          </w:p>
        </w:tc>
        <w:tc>
          <w:tcPr>
            <w:tcW w:type="dxa" w:w="129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False</w:t>
            </w:r>
          </w:p>
        </w:tc>
      </w:tr>
      <w:tr>
        <w:trPr>
          <w:cantSplit/>
        </w:trPr>
        <w:tc>
          <w:tcPr>
            <w:tcW w:type="dxa" w:w="73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left"/>
            </w:pPr>
            <w:r>
              <w:rPr>
                <w:color w:val="333333"/>
                <w:sz w:val="18"/>
              </w:rPr>
              <w:t>1. 1. Demand forecasting evaluates external market trends, business expansion goals, and technological advancements to project future skill requirements.</w:t>
            </w:r>
          </w:p>
        </w:tc>
        <w:tc>
          <w:tcPr>
            <w:tcW w:type="dxa" w:w="129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center"/>
            </w:pPr>
            <w:r>
              <w:rPr>
                <w:color w:val="333333"/>
                <w:sz w:val="18"/>
              </w:rPr>
              <w:t>[   ]</w:t>
            </w:r>
          </w:p>
        </w:tc>
        <w:tc>
          <w:tcPr>
            <w:tcW w:type="dxa" w:w="129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center"/>
            </w:pPr>
            <w:r>
              <w:rPr>
                <w:color w:val="333333"/>
                <w:sz w:val="18"/>
              </w:rPr>
              <w:t>[   ]</w:t>
            </w:r>
          </w:p>
        </w:tc>
      </w:tr>
      <w:tr>
        <w:trPr>
          <w:cantSplit/>
        </w:trPr>
        <w:tc>
          <w:tcPr>
            <w:tcW w:type="dxa" w:w="73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left"/>
            </w:pPr>
            <w:r>
              <w:rPr>
                <w:color w:val="333333"/>
                <w:sz w:val="18"/>
              </w:rPr>
              <w:t>2. 2. Scenario planning involves preparing alternative workforce strategies for different potential future business environments (e.g. rapid growth or economic recession).</w:t>
            </w:r>
          </w:p>
        </w:tc>
        <w:tc>
          <w:tcPr>
            <w:tcW w:type="dxa" w:w="129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center"/>
            </w:pPr>
            <w:r>
              <w:rPr>
                <w:color w:val="333333"/>
                <w:sz w:val="18"/>
              </w:rPr>
              <w:t>[   ]</w:t>
            </w:r>
          </w:p>
        </w:tc>
        <w:tc>
          <w:tcPr>
            <w:tcW w:type="dxa" w:w="129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center"/>
            </w:pPr>
            <w:r>
              <w:rPr>
                <w:color w:val="333333"/>
                <w:sz w:val="18"/>
              </w:rPr>
              <w:t>[   ]</w:t>
            </w:r>
          </w:p>
        </w:tc>
      </w:tr>
      <w:tr>
        <w:trPr>
          <w:cantSplit/>
        </w:trPr>
        <w:tc>
          <w:tcPr>
            <w:tcW w:type="dxa" w:w="73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left"/>
            </w:pPr>
            <w:r>
              <w:rPr>
                <w:color w:val="333333"/>
                <w:sz w:val="18"/>
              </w:rPr>
              <w:t>3. 3. Supply forecasting focuses strictly on external recruitment channels without assessing internal employee skill sets or retirement projections.</w:t>
            </w:r>
          </w:p>
        </w:tc>
        <w:tc>
          <w:tcPr>
            <w:tcW w:type="dxa" w:w="129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center"/>
            </w:pPr>
            <w:r>
              <w:rPr>
                <w:color w:val="333333"/>
                <w:sz w:val="18"/>
              </w:rPr>
              <w:t>[   ]</w:t>
            </w:r>
          </w:p>
        </w:tc>
        <w:tc>
          <w:tcPr>
            <w:tcW w:type="dxa" w:w="129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center"/>
            </w:pPr>
            <w:r>
              <w:rPr>
                <w:color w:val="333333"/>
                <w:sz w:val="18"/>
              </w:rPr>
              <w:t>[   ]</w:t>
            </w:r>
          </w:p>
        </w:tc>
      </w:tr>
      <w:tr>
        <w:trPr>
          <w:cantSplit/>
        </w:trPr>
        <w:tc>
          <w:tcPr>
            <w:tcW w:type="dxa" w:w="73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left"/>
            </w:pPr>
            <w:r>
              <w:rPr>
                <w:color w:val="333333"/>
                <w:sz w:val="18"/>
              </w:rPr>
              <w:t>4. 4. In a compliant workforce planning model, the HR Officer is responsible for gathering data, conducting gap analyses, and reporting insights to business leaders.</w:t>
            </w:r>
          </w:p>
        </w:tc>
        <w:tc>
          <w:tcPr>
            <w:tcW w:type="dxa" w:w="129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center"/>
            </w:pPr>
            <w:r>
              <w:rPr>
                <w:color w:val="333333"/>
                <w:sz w:val="18"/>
              </w:rPr>
              <w:t>[   ]</w:t>
            </w:r>
          </w:p>
        </w:tc>
        <w:tc>
          <w:tcPr>
            <w:tcW w:type="dxa" w:w="129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center"/>
            </w:pPr>
            <w:r>
              <w:rPr>
                <w:color w:val="333333"/>
                <w:sz w:val="18"/>
              </w:rPr>
              <w:t>[   ]</w:t>
            </w:r>
          </w:p>
        </w:tc>
      </w:tr>
      <w:tr>
        <w:trPr>
          <w:cantSplit/>
        </w:trPr>
        <w:tc>
          <w:tcPr>
            <w:tcW w:type="dxa" w:w="73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left"/>
            </w:pPr>
            <w:r>
              <w:rPr>
                <w:color w:val="333333"/>
                <w:sz w:val="18"/>
              </w:rPr>
              <w:t>5. 5. Workforce flexibility refers to an organization's ability to adapt its workforce through upskilling, flexible arrangements, or agile talent acquisition.</w:t>
            </w:r>
          </w:p>
        </w:tc>
        <w:tc>
          <w:tcPr>
            <w:tcW w:type="dxa" w:w="129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center"/>
            </w:pPr>
            <w:r>
              <w:rPr>
                <w:color w:val="333333"/>
                <w:sz w:val="18"/>
              </w:rPr>
              <w:t>[   ]</w:t>
            </w:r>
          </w:p>
        </w:tc>
        <w:tc>
          <w:tcPr>
            <w:tcW w:type="dxa" w:w="129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center"/>
            </w:pPr>
            <w:r>
              <w:rPr>
                <w:color w:val="333333"/>
                <w:sz w:val="18"/>
              </w:rPr>
              <w:t>[   ]</w:t>
            </w:r>
          </w:p>
        </w:tc>
      </w:tr>
    </w:tbl>
    <w:p>
      <w:pPr>
        <w:spacing w:after="120"/>
      </w:pPr>
    </w:p>
    <w:p>
      <w:pPr>
        <w:keepNext/>
        <w:spacing w:before="240" w:after="80"/>
      </w:pPr>
      <w:r>
        <w:rPr>
          <w:rFonts w:ascii="Arial" w:hAnsi="Arial"/>
          <w:b/>
          <w:color w:val="008080"/>
          <w:sz w:val="25"/>
        </w:rPr>
        <w:t>Part C: True / False with Technical Justification (5 Marks)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6F9"/>
            <w:tcBorders>
              <w:left w:val="single" w:sz="24" w:space="0" w:color="1B365D"/>
              <w:top w:val="none"/>
              <w:right w:val="none"/>
              <w:bottom w:val="none"/>
            </w:tcBorders>
            <w:tcMar>
              <w:top w:w="140" w:type="dxa"/>
              <w:bottom w:w="140" w:type="dxa"/>
              <w:left w:w="200" w:type="dxa"/>
              <w:right w:w="150" w:type="dxa"/>
            </w:tcMar>
          </w:tcPr>
          <w:p>
            <w:pPr>
              <w:spacing w:before="0" w:after="40"/>
            </w:pPr>
            <w:r>
              <w:rPr>
                <w:b/>
                <w:color w:val="1B365D"/>
                <w:sz w:val="21"/>
              </w:rPr>
              <w:t>■ INSTRUCTIONS - PART C</w:t>
              <w:br/>
            </w:r>
            <w:r>
              <w:rPr>
                <w:color w:val="333333"/>
                <w:sz w:val="19"/>
              </w:rPr>
              <w:t>State whether the statement is TRUE or FALSE, and provide an evidence-based HR justification (2–4 sentences). Each item carries 2.5 marks.</w:t>
            </w:r>
          </w:p>
        </w:tc>
      </w:tr>
    </w:tbl>
    <w:p>
      <w:pPr>
        <w:spacing w:after="80"/>
      </w:pPr>
    </w:p>
    <w:p>
      <w:pPr>
        <w:spacing w:before="120" w:after="40"/>
      </w:pPr>
      <w:r>
        <w:rPr>
          <w:b/>
        </w:rPr>
        <w:t>Statement 1: 'Workforce planning is purely an annual administrative headcount exercise conducted by HR that requires no ongoing collaboration with operational department heads.'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6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Answer (True/False): ____________________</w:t>
              <w:br/>
              <w:t xml:space="preserve">Justification: </w:t>
              <w:br/>
              <w:br/>
              <w:br/>
            </w:r>
          </w:p>
        </w:tc>
      </w:tr>
    </w:tbl>
    <w:p>
      <w:pPr>
        <w:spacing w:after="80"/>
      </w:pPr>
    </w:p>
    <w:p>
      <w:pPr>
        <w:spacing w:before="120" w:after="40"/>
      </w:pPr>
      <w:r>
        <w:rPr>
          <w:b/>
        </w:rPr>
        <w:t>Statement 2: 'Combining HR Workforce Planning Information Systems with People Analytics enables proactive reskilling and targeted recruitment before critical skill gaps impact business operations.'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6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Answer (True/False): ____________________</w:t>
              <w:br/>
              <w:t xml:space="preserve">Justification: </w:t>
              <w:br/>
              <w:br/>
              <w:br/>
            </w:r>
          </w:p>
        </w:tc>
      </w:tr>
    </w:tbl>
    <w:p>
      <w:pPr>
        <w:spacing w:after="80"/>
      </w:pPr>
    </w:p>
    <w:p>
      <w:pPr>
        <w:keepNext/>
        <w:spacing w:before="240" w:after="80"/>
      </w:pPr>
      <w:r>
        <w:rPr>
          <w:rFonts w:ascii="Arial" w:hAnsi="Arial"/>
          <w:b/>
          <w:color w:val="008080"/>
          <w:sz w:val="25"/>
        </w:rPr>
        <w:t>Part D: Short Answer Conceptual Questions (15 Marks)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6F9"/>
            <w:tcBorders>
              <w:left w:val="single" w:sz="24" w:space="0" w:color="1B365D"/>
              <w:top w:val="none"/>
              <w:right w:val="none"/>
              <w:bottom w:val="none"/>
            </w:tcBorders>
            <w:tcMar>
              <w:top w:w="140" w:type="dxa"/>
              <w:bottom w:w="140" w:type="dxa"/>
              <w:left w:w="200" w:type="dxa"/>
              <w:right w:w="150" w:type="dxa"/>
            </w:tcMar>
          </w:tcPr>
          <w:p>
            <w:pPr>
              <w:spacing w:before="0" w:after="40"/>
            </w:pPr>
            <w:r>
              <w:rPr>
                <w:b/>
                <w:color w:val="1B365D"/>
                <w:sz w:val="21"/>
              </w:rPr>
              <w:t>■ INSTRUCTIONS - PART D</w:t>
              <w:br/>
            </w:r>
            <w:r>
              <w:rPr>
                <w:color w:val="333333"/>
                <w:sz w:val="19"/>
              </w:rPr>
              <w:t>Answer the following questions concisely based on Topic KM0202 theory guide content and international workforce planning standards.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b/>
        </w:rPr>
        <w:t>Question 1 (IAC0201): Explain the four core steps of the Workforce Planning Process: Demand Forecasting, Supply Forecasting, Gap Analysis, and Workforce Optimisation. (3 Marks)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br/>
              <w:br/>
              <w:br/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b/>
        </w:rPr>
        <w:t>Question 2 (IAC0202): Discuss three (3) benefits of moving from a traditional reactive headcount model to an agile, skills-based workforce planning approach. (3 Marks)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br/>
              <w:br/>
              <w:br/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b/>
        </w:rPr>
        <w:t>Question 3 (IAC0203): Explain how international professional standards (SHRM/CIPD) guide HR Officers in aligning workforce planning with strategic business goals and scenario planning. (3 Marks)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br/>
              <w:br/>
              <w:br/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b/>
        </w:rPr>
        <w:t>Question 4 (IAC0204 &amp; IAC0207): Describe how HR Officers use HRIS data and analytics (turnover metrics, retirement projections, skills gap audits) to monitor policy compliance and support workforce planning. (3 Marks)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br/>
              <w:br/>
              <w:br/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b/>
        </w:rPr>
        <w:t>Question 5 (IAC0205 &amp; IAC0206): Detail the distinct responsibilities of the HR Officer, HR Business Partners (HRBPs), Line Managers, and L&amp;D Specialists during workforce forecasting and gap resolution. (3 Marks)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br/>
              <w:br/>
              <w:br/>
            </w:r>
          </w:p>
        </w:tc>
      </w:tr>
    </w:tbl>
    <w:p>
      <w:pPr>
        <w:spacing w:after="80"/>
      </w:pPr>
    </w:p>
    <w:p>
      <w:pPr>
        <w:keepNext/>
        <w:spacing w:before="320" w:after="120"/>
        <w:pBdr>
          <w:bottom w:val="single" w:sz="12" w:space="4" w:color="1B365D"/>
        </w:pBdr>
      </w:pPr>
      <w:r>
        <w:rPr>
          <w:rFonts w:ascii="Arial" w:hAnsi="Arial"/>
          <w:b/>
          <w:color w:val="1B365D"/>
          <w:sz w:val="30"/>
        </w:rPr>
        <w:t>SECTION 2: SCENARIO-BASED PRACTICAL APPLICATION TASKS (20 MARKS)</w:t>
      </w:r>
    </w:p>
    <w:p>
      <w:pPr>
        <w:keepNext/>
        <w:spacing w:before="240" w:after="80"/>
      </w:pPr>
      <w:r>
        <w:rPr>
          <w:rFonts w:ascii="Arial" w:hAnsi="Arial"/>
          <w:b/>
          <w:color w:val="008080"/>
          <w:sz w:val="25"/>
        </w:rPr>
        <w:t>Practical Task 1: Demand &amp; Supply Forecasting Scenario (10 Marks - IAC0202, IAC0207)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6F9"/>
            <w:tcBorders>
              <w:left w:val="single" w:sz="24" w:space="0" w:color="1B365D"/>
              <w:top w:val="none"/>
              <w:right w:val="none"/>
              <w:bottom w:val="none"/>
            </w:tcBorders>
            <w:tcMar>
              <w:top w:w="140" w:type="dxa"/>
              <w:bottom w:w="140" w:type="dxa"/>
              <w:left w:w="200" w:type="dxa"/>
              <w:right w:w="150" w:type="dxa"/>
            </w:tcMar>
          </w:tcPr>
          <w:p>
            <w:pPr>
              <w:spacing w:before="0" w:after="40"/>
            </w:pPr>
            <w:r>
              <w:rPr>
                <w:b/>
                <w:color w:val="1B365D"/>
                <w:sz w:val="21"/>
              </w:rPr>
              <w:t>■ PRACTICAL SCENARIO 1 - WORKFORCE DEMAND &amp; SUPPLY FORECASTING</w:t>
              <w:br/>
            </w:r>
            <w:r>
              <w:rPr>
                <w:color w:val="333333"/>
                <w:sz w:val="19"/>
              </w:rPr>
              <w:t>SCENARIO CONTEXT - BAOBAB NUTS PROCESSING PLANT AUTOMATION:</w:t>
            </w:r>
          </w:p>
          <w:p>
            <w:pPr>
              <w:spacing w:before="0" w:after="40"/>
            </w:pPr>
            <w:r>
              <w:rPr>
                <w:color w:val="333333"/>
                <w:sz w:val="19"/>
              </w:rPr>
              <w:t>Baobab Nuts is upgrading its macadamia processing plant in Polokwane with automated optical sorting machinery and digital inventory tracking over the next 18 months.</w:t>
            </w:r>
          </w:p>
          <w:p>
            <w:pPr>
              <w:spacing w:before="0" w:after="40"/>
            </w:pPr>
            <w:r>
              <w:rPr>
                <w:color w:val="333333"/>
                <w:sz w:val="19"/>
              </w:rPr>
              <w:t>• Operational Shift: The automation will reduce manual sorting headcount needs by 30%, but requires a new skilled cadre of 15 Automated Machinery Technicians and 5 Supply Chain Data Analysts.</w:t>
            </w:r>
          </w:p>
          <w:p>
            <w:pPr>
              <w:spacing w:before="0" w:after="40"/>
            </w:pPr>
            <w:r>
              <w:rPr>
                <w:color w:val="333333"/>
                <w:sz w:val="19"/>
              </w:rPr>
              <w:t>• Current Supply Audit: Internal HRIS audit shows that 90% of current sorting staff possess low digital literacy (NQF Level 2-3). Meanwhile, 35% of senior technicians are within 2 years of retirement.</w:t>
            </w:r>
          </w:p>
          <w:p>
            <w:pPr>
              <w:spacing w:before="0" w:after="40"/>
            </w:pPr>
            <w:r>
              <w:rPr>
                <w:color w:val="333333"/>
                <w:sz w:val="19"/>
              </w:rPr>
              <w:t>• Business Risk: Without a structured workforce plan, Baobab Nuts faces operational failure of new machinery, union resistance over retrenchment fears, and severe technician shortages.</w:t>
            </w:r>
          </w:p>
          <w:p>
            <w:pPr>
              <w:spacing w:before="0" w:after="40"/>
            </w:pPr>
            <w:r>
              <w:rPr>
                <w:color w:val="333333"/>
                <w:sz w:val="19"/>
              </w:rPr>
              <w:t>• HR Officer Assignment: The HR Officer must conduct a demand/supply gap analysis and design a workforce transformation strategy.</w:t>
            </w:r>
          </w:p>
        </w:tc>
      </w:tr>
    </w:tbl>
    <w:p>
      <w:pPr>
        <w:spacing w:after="80"/>
      </w:pPr>
    </w:p>
    <w:p>
      <w:pPr>
        <w:keepNext/>
        <w:spacing w:before="160" w:after="40"/>
      </w:pPr>
      <w:r>
        <w:rPr>
          <w:rFonts w:ascii="Arial" w:hAnsi="Arial"/>
          <w:b/>
          <w:color w:val="1B365D"/>
          <w:sz w:val="22"/>
        </w:rPr>
        <w:t>Task 1 Response Worksheets:</w:t>
      </w:r>
    </w:p>
    <w:p>
      <w:r>
        <w:rPr>
          <w:b/>
        </w:rPr>
        <w:t>1.1 Conduct a Gap Analysis for Baobab Nuts' automation project. Contrast the future Demand Forecast against the current Supply Forecast, identifying specific skill surpluses and skill deficits. (5 Marks):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br/>
              <w:br/>
              <w:br/>
              <w:br/>
              <w:br/>
              <w:br/>
            </w:r>
          </w:p>
        </w:tc>
      </w:tr>
    </w:tbl>
    <w:p>
      <w:pPr>
        <w:spacing w:after="80"/>
      </w:pPr>
    </w:p>
    <w:p>
      <w:r>
        <w:rPr>
          <w:b/>
        </w:rPr>
        <w:t>1.2 Formulate a 3-tier Workforce Optimisation Strategy for Baobab Nuts incorporating internal reskilling/upskilling, targeted external recruitment, and retirement knowledge transfer. (5 Marks):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br/>
              <w:br/>
              <w:br/>
              <w:br/>
              <w:br/>
              <w:br/>
            </w:r>
          </w:p>
        </w:tc>
      </w:tr>
    </w:tbl>
    <w:p>
      <w:pPr>
        <w:spacing w:after="120"/>
      </w:pPr>
    </w:p>
    <w:p>
      <w:pPr>
        <w:keepNext/>
        <w:spacing w:before="240" w:after="80"/>
      </w:pPr>
      <w:r>
        <w:rPr>
          <w:rFonts w:ascii="Arial" w:hAnsi="Arial"/>
          <w:b/>
          <w:color w:val="008080"/>
          <w:sz w:val="25"/>
        </w:rPr>
        <w:t>Practical Task 2: Scenario Planning &amp; Policy Compliance Scenario (10 Marks - IAC0204, IAC0205)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6F9"/>
            <w:tcBorders>
              <w:left w:val="single" w:sz="24" w:space="0" w:color="1B365D"/>
              <w:top w:val="none"/>
              <w:right w:val="none"/>
              <w:bottom w:val="none"/>
            </w:tcBorders>
            <w:tcMar>
              <w:top w:w="140" w:type="dxa"/>
              <w:bottom w:w="140" w:type="dxa"/>
              <w:left w:w="200" w:type="dxa"/>
              <w:right w:w="150" w:type="dxa"/>
            </w:tcMar>
          </w:tcPr>
          <w:p>
            <w:pPr>
              <w:spacing w:before="0" w:after="40"/>
            </w:pPr>
            <w:r>
              <w:rPr>
                <w:b/>
                <w:color w:val="1B365D"/>
                <w:sz w:val="21"/>
              </w:rPr>
              <w:t>■ PRACTICAL SCENARIO 2 - SCENARIO PLANNING &amp; POLICY GOVERNANCE</w:t>
              <w:br/>
            </w:r>
            <w:r>
              <w:rPr>
                <w:color w:val="333333"/>
                <w:sz w:val="19"/>
              </w:rPr>
              <w:t>SCENARIO CONTEXT - CURIOSA LOGISTICS SCENARIO PLANNING &amp; COMPLIANCE:</w:t>
            </w:r>
          </w:p>
          <w:p>
            <w:pPr>
              <w:spacing w:before="0" w:after="40"/>
            </w:pPr>
            <w:r>
              <w:rPr>
                <w:color w:val="333333"/>
                <w:sz w:val="19"/>
              </w:rPr>
              <w:t>Curiosa Logistics is formulating its 3-year strategic workforce plan amidst uncertain macroeconomic conditions in the freight and delivery sector.</w:t>
            </w:r>
          </w:p>
          <w:p>
            <w:pPr>
              <w:spacing w:before="0" w:after="40"/>
            </w:pPr>
            <w:r>
              <w:rPr>
                <w:color w:val="333333"/>
                <w:sz w:val="19"/>
              </w:rPr>
              <w:t>• Scenario A (Rapid Market Expansion): High delivery demand requiring a 25% increase in fleet drivers and logistics coordinators within 6 months.</w:t>
            </w:r>
          </w:p>
          <w:p>
            <w:pPr>
              <w:spacing w:before="0" w:after="40"/>
            </w:pPr>
            <w:r>
              <w:rPr>
                <w:color w:val="333333"/>
                <w:sz w:val="19"/>
              </w:rPr>
              <w:t>• Scenario B (Economic Downturn / High Fuel Costs): Contract volume drops by 15%, requiring cost containment and workforce flexibility to avoid mass retrenchments.</w:t>
            </w:r>
          </w:p>
          <w:p>
            <w:pPr>
              <w:spacing w:before="0" w:after="40"/>
            </w:pPr>
            <w:r>
              <w:rPr>
                <w:color w:val="333333"/>
                <w:sz w:val="19"/>
              </w:rPr>
              <w:t>• Compliance Deficiencies: The operational audit revealed that branch managers currently make ad-hoc hiring and temporary staffing decisions without consulting HR or following workforce planning policies, leading to budget overruns.</w:t>
            </w:r>
          </w:p>
          <w:p>
            <w:pPr>
              <w:spacing w:before="0" w:after="40"/>
            </w:pPr>
            <w:r>
              <w:rPr>
                <w:color w:val="333333"/>
                <w:sz w:val="19"/>
              </w:rPr>
              <w:t>• HR Officer Assignment: The HR Officer must design a Scenario Planning Framework and establish a Workforce Planning Compliance and Governance Policy.</w:t>
            </w:r>
          </w:p>
        </w:tc>
      </w:tr>
    </w:tbl>
    <w:p>
      <w:pPr>
        <w:spacing w:after="80"/>
      </w:pPr>
    </w:p>
    <w:p>
      <w:pPr>
        <w:keepNext/>
        <w:spacing w:before="160" w:after="40"/>
      </w:pPr>
      <w:r>
        <w:rPr>
          <w:rFonts w:ascii="Arial" w:hAnsi="Arial"/>
          <w:b/>
          <w:color w:val="1B365D"/>
          <w:sz w:val="22"/>
        </w:rPr>
        <w:t>Task 2 Response Worksheets:</w:t>
      </w:r>
    </w:p>
    <w:p>
      <w:r>
        <w:rPr>
          <w:b/>
        </w:rPr>
        <w:t>2.1 Evaluate the branch managers' ad-hoc hiring practices against workforce planning compliance principles. Explain how uncoordinated hiring creates financial and operational risks during economic fluctuations. (5 Marks):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br/>
              <w:br/>
              <w:br/>
              <w:br/>
              <w:br/>
              <w:br/>
            </w:r>
          </w:p>
        </w:tc>
      </w:tr>
    </w:tbl>
    <w:p>
      <w:pPr>
        <w:spacing w:after="80"/>
      </w:pPr>
    </w:p>
    <w:p>
      <w:r>
        <w:rPr>
          <w:b/>
        </w:rPr>
        <w:t>2.2 Design a dual Scenario Planning Framework for Curiosa Logistics, detailing specific workforce flexibility strategies for Scenario A (Rapid Expansion) and Scenario B (Economic Downturn), along with manager compliance protocols. (5 Marks):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br/>
              <w:br/>
              <w:br/>
              <w:br/>
              <w:br/>
              <w:br/>
            </w:r>
          </w:p>
        </w:tc>
      </w:tr>
    </w:tbl>
    <w:p>
      <w:pPr>
        <w:spacing w:after="160"/>
      </w:pPr>
    </w:p>
    <w:p>
      <w:pPr>
        <w:keepNext/>
        <w:spacing w:before="320" w:after="120"/>
        <w:pBdr>
          <w:bottom w:val="single" w:sz="12" w:space="4" w:color="1B365D"/>
        </w:pBdr>
      </w:pPr>
      <w:r>
        <w:rPr>
          <w:rFonts w:ascii="Arial" w:hAnsi="Arial"/>
          <w:b/>
          <w:color w:val="1B365D"/>
          <w:sz w:val="30"/>
        </w:rPr>
        <w:t>SECTION 3: ASSESSOR MARKING RUBRIC &amp; EVALUATION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6F9"/>
            <w:tcBorders>
              <w:left w:val="single" w:sz="24" w:space="0" w:color="1B365D"/>
              <w:top w:val="none"/>
              <w:right w:val="none"/>
              <w:bottom w:val="none"/>
            </w:tcBorders>
            <w:tcMar>
              <w:top w:w="140" w:type="dxa"/>
              <w:bottom w:w="140" w:type="dxa"/>
              <w:left w:w="200" w:type="dxa"/>
              <w:right w:w="150" w:type="dxa"/>
            </w:tcMar>
          </w:tcPr>
          <w:p>
            <w:pPr>
              <w:spacing w:before="0" w:after="40"/>
            </w:pPr>
            <w:r>
              <w:rPr>
                <w:b/>
                <w:color w:val="1B365D"/>
                <w:sz w:val="21"/>
              </w:rPr>
              <w:t>■ ASSESSMENT GRADING GRID</w:t>
              <w:br/>
            </w:r>
            <w:r>
              <w:rPr>
                <w:color w:val="333333"/>
                <w:sz w:val="19"/>
              </w:rPr>
              <w:t>This marking grid is completed by the accredited Assessor to record section marks.</w:t>
            </w:r>
          </w:p>
          <w:p>
            <w:pPr>
              <w:spacing w:before="0" w:after="40"/>
            </w:pPr>
            <w:r>
              <w:rPr>
                <w:color w:val="333333"/>
                <w:sz w:val="19"/>
              </w:rPr>
              <w:t>Benchmark for Competence: 80% overall score (40 / 50 Marks).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rPr>
          <w:cantSplit/>
          <w:tblHeader/>
        </w:trPr>
        <w:tc>
          <w:tcPr>
            <w:tcW w:type="dxa" w:w="28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1B365D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Assessment Area</w:t>
            </w:r>
          </w:p>
        </w:tc>
        <w:tc>
          <w:tcPr>
            <w:tcW w:type="dxa" w:w="345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1B365D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Criteria Reference</w:t>
            </w:r>
          </w:p>
        </w:tc>
        <w:tc>
          <w:tcPr>
            <w:tcW w:type="dxa" w:w="115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Max Marks</w:t>
            </w:r>
          </w:p>
        </w:tc>
        <w:tc>
          <w:tcPr>
            <w:tcW w:type="dxa" w:w="129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Learner Mark</w:t>
            </w:r>
          </w:p>
        </w:tc>
        <w:tc>
          <w:tcPr>
            <w:tcW w:type="dxa" w:w="115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Outcome (C / NYC)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left"/>
            </w:pPr>
            <w:r>
              <w:rPr>
                <w:color w:val="333333"/>
                <w:sz w:val="18"/>
              </w:rPr>
              <w:t>Part A: Multiple Choice</w:t>
            </w:r>
          </w:p>
        </w:tc>
        <w:tc>
          <w:tcPr>
            <w:tcW w:type="dxa" w:w="345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left"/>
            </w:pPr>
            <w:r>
              <w:rPr>
                <w:color w:val="333333"/>
                <w:sz w:val="18"/>
              </w:rPr>
              <w:t>KT0201 - KT0207 (IAC0201 - IAC0207)</w:t>
            </w:r>
          </w:p>
        </w:tc>
        <w:tc>
          <w:tcPr>
            <w:tcW w:type="dxa" w:w="115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center"/>
            </w:pPr>
            <w:r>
              <w:rPr>
                <w:color w:val="333333"/>
                <w:sz w:val="18"/>
              </w:rPr>
              <w:t>5</w:t>
            </w:r>
          </w:p>
        </w:tc>
        <w:tc>
          <w:tcPr>
            <w:tcW w:type="dxa" w:w="129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center"/>
            </w:pPr>
            <w:r>
              <w:rPr>
                <w:color w:val="333333"/>
                <w:sz w:val="18"/>
              </w:rPr>
            </w:r>
          </w:p>
        </w:tc>
        <w:tc>
          <w:tcPr>
            <w:tcW w:type="dxa" w:w="115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center"/>
            </w:pPr>
            <w:r>
              <w:rPr>
                <w:color w:val="333333"/>
                <w:sz w:val="18"/>
              </w:rPr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left"/>
            </w:pPr>
            <w:r>
              <w:rPr>
                <w:color w:val="333333"/>
                <w:sz w:val="18"/>
              </w:rPr>
              <w:t>Part B: True / False</w:t>
            </w:r>
          </w:p>
        </w:tc>
        <w:tc>
          <w:tcPr>
            <w:tcW w:type="dxa" w:w="345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left"/>
            </w:pPr>
            <w:r>
              <w:rPr>
                <w:color w:val="333333"/>
                <w:sz w:val="18"/>
              </w:rPr>
              <w:t>KT0201 - KT0207 (IAC0201 - IAC0207)</w:t>
            </w:r>
          </w:p>
        </w:tc>
        <w:tc>
          <w:tcPr>
            <w:tcW w:type="dxa" w:w="115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center"/>
            </w:pPr>
            <w:r>
              <w:rPr>
                <w:color w:val="333333"/>
                <w:sz w:val="18"/>
              </w:rPr>
              <w:t>5</w:t>
            </w:r>
          </w:p>
        </w:tc>
        <w:tc>
          <w:tcPr>
            <w:tcW w:type="dxa" w:w="129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center"/>
            </w:pPr>
            <w:r>
              <w:rPr>
                <w:color w:val="333333"/>
                <w:sz w:val="18"/>
              </w:rPr>
            </w:r>
          </w:p>
        </w:tc>
        <w:tc>
          <w:tcPr>
            <w:tcW w:type="dxa" w:w="115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center"/>
            </w:pPr>
            <w:r>
              <w:rPr>
                <w:color w:val="333333"/>
                <w:sz w:val="18"/>
              </w:rPr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left"/>
            </w:pPr>
            <w:r>
              <w:rPr>
                <w:color w:val="333333"/>
                <w:sz w:val="18"/>
              </w:rPr>
              <w:t>Part C: True/False Justification</w:t>
            </w:r>
          </w:p>
        </w:tc>
        <w:tc>
          <w:tcPr>
            <w:tcW w:type="dxa" w:w="345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left"/>
            </w:pPr>
            <w:r>
              <w:rPr>
                <w:color w:val="333333"/>
                <w:sz w:val="18"/>
              </w:rPr>
              <w:t>KT0202, KT0207 (IAC0202, IAC0207)</w:t>
            </w:r>
          </w:p>
        </w:tc>
        <w:tc>
          <w:tcPr>
            <w:tcW w:type="dxa" w:w="115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center"/>
            </w:pPr>
            <w:r>
              <w:rPr>
                <w:color w:val="333333"/>
                <w:sz w:val="18"/>
              </w:rPr>
              <w:t>5</w:t>
            </w:r>
          </w:p>
        </w:tc>
        <w:tc>
          <w:tcPr>
            <w:tcW w:type="dxa" w:w="129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center"/>
            </w:pPr>
            <w:r>
              <w:rPr>
                <w:color w:val="333333"/>
                <w:sz w:val="18"/>
              </w:rPr>
            </w:r>
          </w:p>
        </w:tc>
        <w:tc>
          <w:tcPr>
            <w:tcW w:type="dxa" w:w="115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center"/>
            </w:pPr>
            <w:r>
              <w:rPr>
                <w:color w:val="333333"/>
                <w:sz w:val="18"/>
              </w:rPr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left"/>
            </w:pPr>
            <w:r>
              <w:rPr>
                <w:color w:val="333333"/>
                <w:sz w:val="18"/>
              </w:rPr>
              <w:t>Part D: Short Answer Concepts</w:t>
            </w:r>
          </w:p>
        </w:tc>
        <w:tc>
          <w:tcPr>
            <w:tcW w:type="dxa" w:w="345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left"/>
            </w:pPr>
            <w:r>
              <w:rPr>
                <w:color w:val="333333"/>
                <w:sz w:val="18"/>
              </w:rPr>
              <w:t>KT0201 - KT0207 (IAC0201 - IAC0207)</w:t>
            </w:r>
          </w:p>
        </w:tc>
        <w:tc>
          <w:tcPr>
            <w:tcW w:type="dxa" w:w="115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center"/>
            </w:pPr>
            <w:r>
              <w:rPr>
                <w:color w:val="333333"/>
                <w:sz w:val="18"/>
              </w:rPr>
              <w:t>15</w:t>
            </w:r>
          </w:p>
        </w:tc>
        <w:tc>
          <w:tcPr>
            <w:tcW w:type="dxa" w:w="129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center"/>
            </w:pPr>
            <w:r>
              <w:rPr>
                <w:color w:val="333333"/>
                <w:sz w:val="18"/>
              </w:rPr>
            </w:r>
          </w:p>
        </w:tc>
        <w:tc>
          <w:tcPr>
            <w:tcW w:type="dxa" w:w="115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center"/>
            </w:pPr>
            <w:r>
              <w:rPr>
                <w:color w:val="333333"/>
                <w:sz w:val="18"/>
              </w:rPr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left"/>
            </w:pPr>
            <w:r>
              <w:rPr>
                <w:color w:val="333333"/>
                <w:sz w:val="18"/>
              </w:rPr>
              <w:t>Practical Task 1: Demand &amp; Supply Forecasting</w:t>
            </w:r>
          </w:p>
        </w:tc>
        <w:tc>
          <w:tcPr>
            <w:tcW w:type="dxa" w:w="345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left"/>
            </w:pPr>
            <w:r>
              <w:rPr>
                <w:color w:val="333333"/>
                <w:sz w:val="18"/>
              </w:rPr>
              <w:t>KT0202, KT0207 / IAC0202, IAC0207</w:t>
            </w:r>
          </w:p>
        </w:tc>
        <w:tc>
          <w:tcPr>
            <w:tcW w:type="dxa" w:w="115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center"/>
            </w:pPr>
            <w:r>
              <w:rPr>
                <w:color w:val="333333"/>
                <w:sz w:val="18"/>
              </w:rPr>
              <w:t>10</w:t>
            </w:r>
          </w:p>
        </w:tc>
        <w:tc>
          <w:tcPr>
            <w:tcW w:type="dxa" w:w="129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center"/>
            </w:pPr>
            <w:r>
              <w:rPr>
                <w:color w:val="333333"/>
                <w:sz w:val="18"/>
              </w:rPr>
            </w:r>
          </w:p>
        </w:tc>
        <w:tc>
          <w:tcPr>
            <w:tcW w:type="dxa" w:w="115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center"/>
            </w:pPr>
            <w:r>
              <w:rPr>
                <w:color w:val="333333"/>
                <w:sz w:val="18"/>
              </w:rPr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left"/>
            </w:pPr>
            <w:r>
              <w:rPr>
                <w:color w:val="333333"/>
                <w:sz w:val="18"/>
              </w:rPr>
              <w:t>Practical Task 2: Scenario Planning &amp; Governance</w:t>
            </w:r>
          </w:p>
        </w:tc>
        <w:tc>
          <w:tcPr>
            <w:tcW w:type="dxa" w:w="345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left"/>
            </w:pPr>
            <w:r>
              <w:rPr>
                <w:color w:val="333333"/>
                <w:sz w:val="18"/>
              </w:rPr>
              <w:t>KT0204, KT0205 / IAC0204, IAC0205</w:t>
            </w:r>
          </w:p>
        </w:tc>
        <w:tc>
          <w:tcPr>
            <w:tcW w:type="dxa" w:w="115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center"/>
            </w:pPr>
            <w:r>
              <w:rPr>
                <w:color w:val="333333"/>
                <w:sz w:val="18"/>
              </w:rPr>
              <w:t>10</w:t>
            </w:r>
          </w:p>
        </w:tc>
        <w:tc>
          <w:tcPr>
            <w:tcW w:type="dxa" w:w="129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center"/>
            </w:pPr>
            <w:r>
              <w:rPr>
                <w:color w:val="333333"/>
                <w:sz w:val="18"/>
              </w:rPr>
            </w:r>
          </w:p>
        </w:tc>
        <w:tc>
          <w:tcPr>
            <w:tcW w:type="dxa" w:w="115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center"/>
            </w:pPr>
            <w:r>
              <w:rPr>
                <w:color w:val="333333"/>
                <w:sz w:val="18"/>
              </w:rPr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left"/>
            </w:pPr>
            <w:r>
              <w:rPr>
                <w:b/>
                <w:color w:val="333333"/>
                <w:sz w:val="18"/>
              </w:rPr>
              <w:t>TOTAL FORMATIVE ASSESSMENT</w:t>
            </w:r>
          </w:p>
        </w:tc>
        <w:tc>
          <w:tcPr>
            <w:tcW w:type="dxa" w:w="345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left"/>
            </w:pPr>
            <w:r>
              <w:rPr>
                <w:b/>
                <w:color w:val="333333"/>
                <w:sz w:val="18"/>
              </w:rPr>
              <w:t>Topic KM0202 Integrated Competence</w:t>
            </w:r>
          </w:p>
        </w:tc>
        <w:tc>
          <w:tcPr>
            <w:tcW w:type="dxa" w:w="115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center"/>
            </w:pPr>
            <w:r>
              <w:rPr>
                <w:b/>
                <w:color w:val="333333"/>
                <w:sz w:val="18"/>
              </w:rPr>
              <w:t>50</w:t>
            </w:r>
          </w:p>
        </w:tc>
        <w:tc>
          <w:tcPr>
            <w:tcW w:type="dxa" w:w="129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center"/>
            </w:pPr>
            <w:r>
              <w:rPr>
                <w:b/>
                <w:color w:val="333333"/>
                <w:sz w:val="18"/>
              </w:rPr>
            </w:r>
          </w:p>
        </w:tc>
        <w:tc>
          <w:tcPr>
            <w:tcW w:type="dxa" w:w="115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center"/>
            </w:pPr>
            <w:r>
              <w:rPr>
                <w:b/>
                <w:color w:val="333333"/>
                <w:sz w:val="18"/>
              </w:rPr>
            </w:r>
          </w:p>
        </w:tc>
      </w:tr>
    </w:tbl>
    <w:p>
      <w:pPr>
        <w:spacing w:after="120"/>
      </w:pPr>
    </w:p>
    <w:p>
      <w:pPr>
        <w:keepNext/>
        <w:spacing w:before="160" w:after="40"/>
      </w:pPr>
      <w:r>
        <w:rPr>
          <w:rFonts w:ascii="Arial" w:hAnsi="Arial"/>
          <w:b/>
          <w:color w:val="1B365D"/>
          <w:sz w:val="22"/>
        </w:rPr>
        <w:t>Assessor Feedback &amp; Decision Block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cantSplit/>
          <w:tblHeader/>
        </w:trPr>
        <w:tc>
          <w:tcPr>
            <w:tcW w:type="dxa" w:w="49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1B365D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Assessor Constructive Feedback:</w:t>
            </w:r>
          </w:p>
        </w:tc>
        <w:tc>
          <w:tcPr>
            <w:tcW w:type="dxa" w:w="49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1B365D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Learner Re-assessment / Action Required:</w:t>
            </w:r>
          </w:p>
        </w:tc>
      </w:tr>
      <w:tr>
        <w:trPr>
          <w:cantSplit/>
        </w:trPr>
        <w:tc>
          <w:tcPr>
            <w:tcW w:type="dxa" w:w="49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left"/>
            </w:pPr>
            <w:r>
              <w:rPr>
                <w:color w:val="333333"/>
                <w:sz w:val="18"/>
              </w:rPr>
              <w:br/>
              <w:br/>
              <w:br/>
              <w:br/>
            </w:r>
          </w:p>
        </w:tc>
        <w:tc>
          <w:tcPr>
            <w:tcW w:type="dxa" w:w="49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left"/>
            </w:pPr>
            <w:r>
              <w:rPr>
                <w:color w:val="333333"/>
                <w:sz w:val="18"/>
              </w:rPr>
              <w:br/>
              <w:br/>
              <w:br/>
              <w:br/>
            </w:r>
          </w:p>
        </w:tc>
      </w:tr>
    </w:tbl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cantSplit/>
          <w:tblHeader/>
        </w:trPr>
        <w:tc>
          <w:tcPr>
            <w:tcW w:type="dxa" w:w="49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1B365D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Learner Signature: _______________________</w:t>
              <w:br/>
              <w:t>Date: ___________________</w:t>
            </w:r>
          </w:p>
        </w:tc>
        <w:tc>
          <w:tcPr>
            <w:tcW w:type="dxa" w:w="49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1B365D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Assessor Signature: _______________________</w:t>
              <w:br/>
              <w:t>Date: ___________________</w:t>
            </w:r>
          </w:p>
        </w:tc>
      </w:tr>
      <w:tr>
        <w:trPr>
          <w:cantSplit/>
        </w:trPr>
        <w:tc>
          <w:tcPr>
            <w:tcW w:type="dxa" w:w="49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left"/>
            </w:pPr>
            <w:r>
              <w:rPr>
                <w:color w:val="333333"/>
                <w:sz w:val="18"/>
              </w:rPr>
              <w:t>Moderator Signature (if sampled): _______________________</w:t>
              <w:br/>
              <w:t>Date: ___________________</w:t>
            </w:r>
          </w:p>
        </w:tc>
        <w:tc>
          <w:tcPr>
            <w:tcW w:type="dxa" w:w="49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left"/>
            </w:pPr>
            <w:r>
              <w:rPr>
                <w:color w:val="333333"/>
                <w:sz w:val="18"/>
              </w:rPr>
              <w:t>Moderation Outcome: [  ] Accepted   [  ] Rejected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3333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