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80002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8E0E6"/>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KM-03 (Operationalising L&amp;D and Organisational Growth Strategies, 8 Credits)</w:t>
              <w:br/>
              <w:t>PM-03 (Implement L&amp;D and Organisational Growth Initiatives, 12 Credits)</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F8E0E6"/>
            <w:tcMar>
              <w:top w:w="80" w:type="dxa"/>
              <w:bottom w:w="80" w:type="dxa"/>
              <w:left w:w="120" w:type="dxa"/>
              <w:right w:w="120" w:type="dxa"/>
            </w:tcMar>
          </w:tcPr>
          <w:p>
            <w:pPr>
              <w:spacing w:after="0"/>
            </w:pPr>
            <w:r>
              <w:rPr>
                <w:rFonts w:ascii="Calibri" w:hAnsi="Calibri"/>
                <w:b/>
                <w:color w:val="222222"/>
                <w:sz w:val="20"/>
              </w:rPr>
              <w:t>ASSESSOR GUIDE &amp; COMPREHENSIVE MARKING MEMORANDUM</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Internal Summative Assessment (Script SU 3 - Version 1) | Total: 100 Marks | Pass: 75%</w:t>
            </w:r>
          </w:p>
        </w:tc>
      </w:tr>
      <w:tr>
        <w:tc>
          <w:tcPr>
            <w:tcW w:type="dxa" w:w="3168"/>
            <w:shd w:fill="800020"/>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F8E0E6"/>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800020"/>
          <w:sz w:val="32"/>
        </w:rPr>
        <w:t>SECTION 1: ASSESSOR GUIDANCE &amp; ASSESSMENT PRINCIPLES</w:t>
      </w:r>
    </w:p>
    <w:p>
      <w:pPr>
        <w:spacing w:after="60" w:line="276" w:lineRule="auto"/>
      </w:pPr>
      <w:r>
        <w:rPr>
          <w:rFonts w:ascii="Calibri" w:hAnsi="Calibri"/>
          <w:b w:val="0"/>
          <w:i w:val="0"/>
          <w:color w:val="222222"/>
          <w:sz w:val="22"/>
        </w:rPr>
        <w:t>1. Purpose of the Assessor Guide: Provides standardized marking criteria, complete answer keys, technical rationales, and evaluation rubrics for assessing Study Unit 3 (KM-03 and PM-03).</w:t>
      </w:r>
    </w:p>
    <w:p>
      <w:pPr>
        <w:spacing w:after="60" w:line="276" w:lineRule="auto"/>
      </w:pPr>
      <w:r>
        <w:rPr>
          <w:rFonts w:ascii="Calibri" w:hAnsi="Calibri"/>
          <w:b w:val="0"/>
          <w:i w:val="0"/>
          <w:color w:val="222222"/>
          <w:sz w:val="22"/>
        </w:rPr>
        <w:t>2. Assessment Benchmark (NQF Level 6): Learners must demonstrate applied operational knowledge across 7 key L&amp;D and Organisational Growth domains: Staff Procurement, Wellness, Performance Management, L&amp;D, Rewards Management, Organisational Development, and Career Management.</w:t>
      </w:r>
    </w:p>
    <w:p>
      <w:pPr>
        <w:spacing w:after="60" w:line="276" w:lineRule="auto"/>
      </w:pPr>
      <w:r>
        <w:rPr>
          <w:rFonts w:ascii="Calibri" w:hAnsi="Calibri"/>
          <w:b w:val="0"/>
          <w:i w:val="0"/>
          <w:color w:val="222222"/>
          <w:sz w:val="22"/>
        </w:rPr>
        <w:t>3. Pass Mark Threshold: The pass mark is strictly 75% (75/100 Marks). Candidates scoring below 75% must be awarded a 'Not Yet Competent' (NYC) result and scheduled for reassessment.</w:t>
      </w:r>
    </w:p>
    <w:p>
      <w:pPr>
        <w:spacing w:after="60" w:line="276" w:lineRule="auto"/>
      </w:pPr>
      <w:r>
        <w:rPr>
          <w:rFonts w:ascii="Calibri" w:hAnsi="Calibri"/>
          <w:b w:val="0"/>
          <w:i w:val="0"/>
          <w:color w:val="222222"/>
          <w:sz w:val="22"/>
        </w:rPr>
        <w:t>4. Statutory &amp; Professional Standard Alignment: Evaluate responses against SABPP National People Practices Standards (Elements 5, 6, 7, 8, 10), the Skills Development Act (SDA), Skills Development Levies Act (SDLA), Employment Equity Act (EEA), B-BBEE Act, and Basic Conditions of Employment Act (BCEA).</w:t>
      </w:r>
    </w:p>
    <w:p>
      <w:pPr>
        <w:spacing w:after="200"/>
      </w:pPr>
    </w:p>
    <w:p>
      <w:pPr>
        <w:keepNext/>
        <w:spacing w:before="320" w:after="120"/>
      </w:pPr>
      <w:r>
        <w:rPr>
          <w:rFonts w:ascii="Arial" w:hAnsi="Arial"/>
          <w:b/>
          <w:color w:val="800020"/>
          <w:sz w:val="32"/>
        </w:rPr>
        <w:t>SECTION 2: SECTION A -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800020"/>
          </w:tcPr>
          <w:p>
            <w:pPr>
              <w:spacing w:after="0"/>
            </w:pPr>
            <w:r>
              <w:rPr>
                <w:rFonts w:ascii="Arial" w:hAnsi="Arial"/>
                <w:b/>
                <w:color w:val="FFFFFF"/>
                <w:sz w:val="18"/>
              </w:rPr>
              <w:t>Q#</w:t>
            </w:r>
          </w:p>
        </w:tc>
        <w:tc>
          <w:tcPr>
            <w:tcW w:type="dxa" w:w="864"/>
            <w:shd w:fill="800020"/>
          </w:tcPr>
          <w:p>
            <w:pPr>
              <w:spacing w:after="0"/>
            </w:pPr>
            <w:r>
              <w:rPr>
                <w:rFonts w:ascii="Arial" w:hAnsi="Arial"/>
                <w:b/>
                <w:color w:val="FFFFFF"/>
                <w:sz w:val="18"/>
              </w:rPr>
              <w:t>Key</w:t>
            </w:r>
          </w:p>
        </w:tc>
        <w:tc>
          <w:tcPr>
            <w:tcW w:type="dxa" w:w="3312"/>
            <w:shd w:fill="800020"/>
          </w:tcPr>
          <w:p>
            <w:pPr>
              <w:spacing w:after="0"/>
            </w:pPr>
            <w:r>
              <w:rPr>
                <w:rFonts w:ascii="Arial" w:hAnsi="Arial"/>
                <w:b/>
                <w:color w:val="FFFFFF"/>
                <w:sz w:val="18"/>
              </w:rPr>
              <w:t>Correct Option</w:t>
            </w:r>
          </w:p>
        </w:tc>
        <w:tc>
          <w:tcPr>
            <w:tcW w:type="dxa" w:w="4320"/>
            <w:shd w:fill="800020"/>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20%</w:t>
            </w:r>
          </w:p>
        </w:tc>
        <w:tc>
          <w:tcPr>
            <w:tcW w:type="dxa" w:w="4320"/>
            <w:tcMar>
              <w:top w:w="60" w:type="dxa"/>
              <w:bottom w:w="60" w:type="dxa"/>
              <w:left w:w="80" w:type="dxa"/>
              <w:right w:w="80" w:type="dxa"/>
            </w:tcMar>
          </w:tcPr>
          <w:p>
            <w:r>
              <w:rPr>
                <w:rFonts w:ascii="Calibri" w:hAnsi="Calibri"/>
              </w:rPr>
              <w:t>Under the Skills Development Levies Act, 20% of the 1% levy paid is claimable as a Mandatory Grant upon timeous submission of WSP/ATR.</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Equitable access to skills development for designated groups</w:t>
            </w:r>
          </w:p>
        </w:tc>
        <w:tc>
          <w:tcPr>
            <w:tcW w:type="dxa" w:w="4320"/>
            <w:tcMar>
              <w:top w:w="60" w:type="dxa"/>
              <w:bottom w:w="60" w:type="dxa"/>
              <w:left w:w="80" w:type="dxa"/>
              <w:right w:w="80" w:type="dxa"/>
            </w:tcMar>
          </w:tcPr>
          <w:p>
            <w:r>
              <w:rPr>
                <w:rFonts w:ascii="Calibri" w:hAnsi="Calibri"/>
              </w:rPr>
              <w:t>EEA Code of Good Practice on EE in HR Policies requires non-discriminatory, fair access to L&amp;D.</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360-Degree Feedback</w:t>
            </w:r>
          </w:p>
        </w:tc>
        <w:tc>
          <w:tcPr>
            <w:tcW w:type="dxa" w:w="4320"/>
            <w:tcMar>
              <w:top w:w="60" w:type="dxa"/>
              <w:bottom w:w="60" w:type="dxa"/>
              <w:left w:w="80" w:type="dxa"/>
              <w:right w:w="80" w:type="dxa"/>
            </w:tcMar>
          </w:tcPr>
          <w:p>
            <w:r>
              <w:rPr>
                <w:rFonts w:ascii="Calibri" w:hAnsi="Calibri"/>
              </w:rPr>
              <w:t>Integrates multi-source feedback from peers, supervisors, subordinates, and clients.</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QCTO (Quality Council for Trades and Occupations)</w:t>
            </w:r>
          </w:p>
        </w:tc>
        <w:tc>
          <w:tcPr>
            <w:tcW w:type="dxa" w:w="4320"/>
            <w:tcMar>
              <w:top w:w="60" w:type="dxa"/>
              <w:bottom w:w="60" w:type="dxa"/>
              <w:left w:w="80" w:type="dxa"/>
              <w:right w:w="80" w:type="dxa"/>
            </w:tcMar>
          </w:tcPr>
          <w:p>
            <w:r>
              <w:rPr>
                <w:rFonts w:ascii="Calibri" w:hAnsi="Calibri"/>
              </w:rPr>
              <w:t>Responsible for accreditation and quality assurance of occupational qualifications/part-qualifications.</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Job behavior change and transfer of learning</w:t>
            </w:r>
          </w:p>
        </w:tc>
        <w:tc>
          <w:tcPr>
            <w:tcW w:type="dxa" w:w="4320"/>
            <w:tcMar>
              <w:top w:w="60" w:type="dxa"/>
              <w:bottom w:w="60" w:type="dxa"/>
              <w:left w:w="80" w:type="dxa"/>
              <w:right w:w="80" w:type="dxa"/>
            </w:tcMar>
          </w:tcPr>
          <w:p>
            <w:r>
              <w:rPr>
                <w:rFonts w:ascii="Calibri" w:hAnsi="Calibri"/>
              </w:rPr>
              <w:t>Kirkpatrick Level 3 evaluates on-the-job behavioral application post-training.</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Monetary compensation, non-monetary recognition, benefits, wellness, growth</w:t>
            </w:r>
          </w:p>
        </w:tc>
        <w:tc>
          <w:tcPr>
            <w:tcW w:type="dxa" w:w="4320"/>
            <w:tcMar>
              <w:top w:w="60" w:type="dxa"/>
              <w:bottom w:w="60" w:type="dxa"/>
              <w:left w:w="80" w:type="dxa"/>
              <w:right w:w="80" w:type="dxa"/>
            </w:tcMar>
          </w:tcPr>
          <w:p>
            <w:r>
              <w:rPr>
                <w:rFonts w:ascii="Calibri" w:hAnsi="Calibri"/>
              </w:rPr>
              <w:t>SABPP Reward Standard defines Total Rewards holistically.</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identify specific performance gaps in knowledge/skills for individuals</w:t>
            </w:r>
          </w:p>
        </w:tc>
        <w:tc>
          <w:tcPr>
            <w:tcW w:type="dxa" w:w="4320"/>
            <w:tcMar>
              <w:top w:w="60" w:type="dxa"/>
              <w:bottom w:w="60" w:type="dxa"/>
              <w:left w:w="80" w:type="dxa"/>
              <w:right w:w="80" w:type="dxa"/>
            </w:tcMar>
          </w:tcPr>
          <w:p>
            <w:r>
              <w:rPr>
                <w:rFonts w:ascii="Calibri" w:hAnsi="Calibri"/>
              </w:rPr>
              <w:t>Person-level TNA identifies individual competence deficits.</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Change (or Moving)</w:t>
            </w:r>
          </w:p>
        </w:tc>
        <w:tc>
          <w:tcPr>
            <w:tcW w:type="dxa" w:w="4320"/>
            <w:tcMar>
              <w:top w:w="60" w:type="dxa"/>
              <w:bottom w:w="60" w:type="dxa"/>
              <w:left w:w="80" w:type="dxa"/>
              <w:right w:w="80" w:type="dxa"/>
            </w:tcMar>
          </w:tcPr>
          <w:p>
            <w:r>
              <w:rPr>
                <w:rFonts w:ascii="Calibri" w:hAnsi="Calibri"/>
              </w:rPr>
              <w:t>Kurt Lewin's 2nd stage focuses on driving new behaviors and adopting new practices.</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Career Anchors (Schein)</w:t>
            </w:r>
          </w:p>
        </w:tc>
        <w:tc>
          <w:tcPr>
            <w:tcW w:type="dxa" w:w="4320"/>
            <w:tcMar>
              <w:top w:w="60" w:type="dxa"/>
              <w:bottom w:w="60" w:type="dxa"/>
              <w:left w:w="80" w:type="dxa"/>
              <w:right w:w="80" w:type="dxa"/>
            </w:tcMar>
          </w:tcPr>
          <w:p>
            <w:r>
              <w:rPr>
                <w:rFonts w:ascii="Calibri" w:hAnsi="Calibri"/>
              </w:rPr>
              <w:t>Identifies underlying motivations guiding long-term career choices.</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R500,000</w:t>
            </w:r>
          </w:p>
        </w:tc>
        <w:tc>
          <w:tcPr>
            <w:tcW w:type="dxa" w:w="4320"/>
            <w:tcMar>
              <w:top w:w="60" w:type="dxa"/>
              <w:bottom w:w="60" w:type="dxa"/>
              <w:left w:w="80" w:type="dxa"/>
              <w:right w:w="80" w:type="dxa"/>
            </w:tcMar>
          </w:tcPr>
          <w:p>
            <w:r>
              <w:rPr>
                <w:rFonts w:ascii="Calibri" w:hAnsi="Calibri"/>
              </w:rPr>
              <w:t>Employers with annual payroll exceeding R500,000 must register and pay 1% SDL via SARS.</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Identifying and leveraging existing organizational strengths and core successes</w:t>
            </w:r>
          </w:p>
        </w:tc>
        <w:tc>
          <w:tcPr>
            <w:tcW w:type="dxa" w:w="4320"/>
            <w:tcMar>
              <w:top w:w="60" w:type="dxa"/>
              <w:bottom w:w="60" w:type="dxa"/>
              <w:left w:w="80" w:type="dxa"/>
              <w:right w:w="80" w:type="dxa"/>
            </w:tcMar>
          </w:tcPr>
          <w:p>
            <w:r>
              <w:rPr>
                <w:rFonts w:ascii="Calibri" w:hAnsi="Calibri"/>
              </w:rPr>
              <w:t>Appreciative Inquiry (AI) focuses on positive core capabilities.</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Virtual Reality (VR)</w:t>
            </w:r>
          </w:p>
        </w:tc>
        <w:tc>
          <w:tcPr>
            <w:tcW w:type="dxa" w:w="4320"/>
            <w:tcMar>
              <w:top w:w="60" w:type="dxa"/>
              <w:bottom w:w="60" w:type="dxa"/>
              <w:left w:w="80" w:type="dxa"/>
              <w:right w:w="80" w:type="dxa"/>
            </w:tcMar>
          </w:tcPr>
          <w:p>
            <w:r>
              <w:rPr>
                <w:rFonts w:ascii="Calibri" w:hAnsi="Calibri"/>
              </w:rPr>
              <w:t>VR creates a fully computer-generated immersive 3D environment using headsets.</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document specific performance deficiencies and provide structured support</w:t>
            </w:r>
          </w:p>
        </w:tc>
        <w:tc>
          <w:tcPr>
            <w:tcW w:type="dxa" w:w="4320"/>
            <w:tcMar>
              <w:top w:w="60" w:type="dxa"/>
              <w:bottom w:w="60" w:type="dxa"/>
              <w:left w:w="80" w:type="dxa"/>
              <w:right w:w="80" w:type="dxa"/>
            </w:tcMar>
          </w:tcPr>
          <w:p>
            <w:r>
              <w:rPr>
                <w:rFonts w:ascii="Calibri" w:hAnsi="Calibri"/>
              </w:rPr>
              <w:t>PIP is a supportive developmental process for capacity management before disciplinary action.</w:t>
            </w:r>
          </w:p>
        </w:tc>
      </w:tr>
      <w:tr>
        <w:tc>
          <w:tcPr>
            <w:tcW w:type="dxa" w:w="864"/>
            <w:tcMar>
              <w:top w:w="60" w:type="dxa"/>
              <w:bottom w:w="60" w:type="dxa"/>
              <w:left w:w="80" w:type="dxa"/>
              <w:right w:w="80" w:type="dxa"/>
            </w:tcMar>
          </w:tcPr>
          <w:p>
            <w:r>
              <w:rPr>
                <w:rFonts w:ascii="Calibri" w:hAnsi="Calibri"/>
              </w:rPr>
              <w:t>Q14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Confidential counseling, mental health, and referral services</w:t>
            </w:r>
          </w:p>
        </w:tc>
        <w:tc>
          <w:tcPr>
            <w:tcW w:type="dxa" w:w="4320"/>
            <w:tcMar>
              <w:top w:w="60" w:type="dxa"/>
              <w:bottom w:w="60" w:type="dxa"/>
              <w:left w:w="80" w:type="dxa"/>
              <w:right w:w="80" w:type="dxa"/>
            </w:tcMar>
          </w:tcPr>
          <w:p>
            <w:r>
              <w:rPr>
                <w:rFonts w:ascii="Calibri" w:hAnsi="Calibri"/>
              </w:rPr>
              <w:t>EAP provides holistic mental and personal support to employees.</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Alignment between individual goals, performance gaps, and business needs</w:t>
            </w:r>
          </w:p>
        </w:tc>
        <w:tc>
          <w:tcPr>
            <w:tcW w:type="dxa" w:w="4320"/>
            <w:tcMar>
              <w:top w:w="60" w:type="dxa"/>
              <w:bottom w:w="60" w:type="dxa"/>
              <w:left w:w="80" w:type="dxa"/>
              <w:right w:w="80" w:type="dxa"/>
            </w:tcMar>
          </w:tcPr>
          <w:p>
            <w:r>
              <w:rPr>
                <w:rFonts w:ascii="Calibri" w:hAnsi="Calibri"/>
              </w:rPr>
              <w:t>SABPP L&amp;D Standard requires IDPs to align individual, performance, and business needs.</w:t>
            </w:r>
          </w:p>
        </w:tc>
      </w:tr>
    </w:tbl>
    <w:p>
      <w:pPr>
        <w:spacing w:after="240"/>
      </w:pPr>
    </w:p>
    <w:p>
      <w:pPr>
        <w:keepNext/>
        <w:spacing w:before="320" w:after="120"/>
      </w:pPr>
      <w:r>
        <w:rPr>
          <w:rFonts w:ascii="Arial" w:hAnsi="Arial"/>
          <w:b/>
          <w:color w:val="800020"/>
          <w:sz w:val="32"/>
        </w:rPr>
        <w:t>SECTION 3: SECTION B - TRUE / FALSE MARKING MEMO (20 MARKS)</w:t>
      </w:r>
    </w:p>
    <w:p>
      <w:pPr>
        <w:keepNext/>
        <w:spacing w:after="40"/>
      </w:pPr>
      <w:r>
        <w:rPr>
          <w:rFonts w:ascii="Calibri" w:hAnsi="Calibri"/>
          <w:b/>
          <w:sz w:val="21"/>
        </w:rPr>
        <w:t>Statement 1: FALSE</w:t>
      </w:r>
    </w:p>
    <w:p>
      <w:pPr>
        <w:spacing w:after="120"/>
        <w:ind w:left="288"/>
      </w:pPr>
      <w:r>
        <w:rPr>
          <w:rFonts w:ascii="Calibri" w:hAnsi="Calibri"/>
          <w:sz w:val="19"/>
        </w:rPr>
        <w:t>Marking Key: 1 Mark for Status + 3 Marks for Justification.</w:t>
        <w:br/>
        <w:t>Model Rationale: WSP and ATR submissions are governed by strict annual statutory deadlines (typically April 30th each year) set by DHET and SETAs. Late submissions result in the complete forfeiture of mandatory grant claims and disqualification from discretionary grant applications.</w:t>
      </w:r>
    </w:p>
    <w:p>
      <w:pPr>
        <w:keepNext/>
        <w:spacing w:after="40"/>
      </w:pPr>
      <w:r>
        <w:rPr>
          <w:rFonts w:ascii="Calibri" w:hAnsi="Calibri"/>
          <w:b/>
          <w:sz w:val="21"/>
        </w:rPr>
        <w:t>Statement 2: TRUE</w:t>
      </w:r>
    </w:p>
    <w:p>
      <w:pPr>
        <w:spacing w:after="120"/>
        <w:ind w:left="288"/>
      </w:pPr>
      <w:r>
        <w:rPr>
          <w:rFonts w:ascii="Calibri" w:hAnsi="Calibri"/>
          <w:sz w:val="19"/>
        </w:rPr>
        <w:t>Marking Key: 1 Mark for Status + 3 Marks for Justification.</w:t>
        <w:br/>
        <w:t>Model Rationale: Under Schedule 8 of the Labour Relations Act (Code of Good Practice: Dismissal for Incapacity) and SABPP Performance Management Standards, poor work performance requires evaluation, instruction, guidance, and a reasonable opportunity for improvement (via a PIP) before formal disciplinary action or dismissal can be considered.</w:t>
      </w:r>
    </w:p>
    <w:p>
      <w:pPr>
        <w:keepNext/>
        <w:spacing w:after="40"/>
      </w:pPr>
      <w:r>
        <w:rPr>
          <w:rFonts w:ascii="Calibri" w:hAnsi="Calibri"/>
          <w:b/>
          <w:sz w:val="21"/>
        </w:rPr>
        <w:t>Statement 3: FALSE</w:t>
      </w:r>
    </w:p>
    <w:p>
      <w:pPr>
        <w:spacing w:after="120"/>
        <w:ind w:left="288"/>
      </w:pPr>
      <w:r>
        <w:rPr>
          <w:rFonts w:ascii="Calibri" w:hAnsi="Calibri"/>
          <w:sz w:val="19"/>
        </w:rPr>
        <w:t>Marking Key: 1 Mark for Status + 3 Marks for Justification.</w:t>
        <w:br/>
        <w:t>Model Rationale: Skills Development is a compulsory priority element under the B-BBEE Codes of Good Practice, carrying a high weighting (typically 20 points). Non-compliance with the 40% sub-minimum threshold on Skills Development results in an automatic penalty drop of one B-BBEE recognition level.</w:t>
      </w:r>
    </w:p>
    <w:p>
      <w:pPr>
        <w:keepNext/>
        <w:spacing w:after="40"/>
      </w:pPr>
      <w:r>
        <w:rPr>
          <w:rFonts w:ascii="Calibri" w:hAnsi="Calibri"/>
          <w:b/>
          <w:sz w:val="21"/>
        </w:rPr>
        <w:t>Statement 4: TRUE</w:t>
      </w:r>
    </w:p>
    <w:p>
      <w:pPr>
        <w:spacing w:after="120"/>
        <w:ind w:left="288"/>
      </w:pPr>
      <w:r>
        <w:rPr>
          <w:rFonts w:ascii="Calibri" w:hAnsi="Calibri"/>
          <w:sz w:val="19"/>
        </w:rPr>
        <w:t>Marking Key: 1 Mark for Status + 3 Marks for Justification.</w:t>
        <w:br/>
        <w:t>Model Rationale: According to SABPP Reward Standards and total rewards theory, combining monetary rewards (base pay, bonuses) with non-monetary recognition (praise, growth opportunities, wellness) caters to diverse intrinsic and extrinsic employee motivators, maximizing engagement.</w:t>
      </w:r>
    </w:p>
    <w:p>
      <w:pPr>
        <w:keepNext/>
        <w:spacing w:after="40"/>
      </w:pPr>
      <w:r>
        <w:rPr>
          <w:rFonts w:ascii="Calibri" w:hAnsi="Calibri"/>
          <w:b/>
          <w:sz w:val="21"/>
        </w:rPr>
        <w:t>Statement 5: FALSE</w:t>
      </w:r>
    </w:p>
    <w:p>
      <w:pPr>
        <w:spacing w:after="120"/>
        <w:ind w:left="288"/>
      </w:pPr>
      <w:r>
        <w:rPr>
          <w:rFonts w:ascii="Calibri" w:hAnsi="Calibri"/>
          <w:sz w:val="19"/>
        </w:rPr>
        <w:t>Marking Key: 1 Mark for Status + 3 Marks for Justification.</w:t>
        <w:br/>
        <w:t>Model Rationale: Organisational Development (OD) is a long-range, systemic process aimed at improving an organisation's problem-solving, culture, capabilities, and operational effectiveness. It is not an isolated individual fix but a holistic cultural and structural transformation.</w:t>
      </w:r>
    </w:p>
    <w:p>
      <w:pPr>
        <w:spacing w:after="240"/>
      </w:pPr>
    </w:p>
    <w:p>
      <w:pPr>
        <w:keepNext/>
        <w:spacing w:before="320" w:after="120"/>
      </w:pPr>
      <w:r>
        <w:rPr>
          <w:rFonts w:ascii="Arial" w:hAnsi="Arial"/>
          <w:b/>
          <w:color w:val="800020"/>
          <w:sz w:val="32"/>
        </w:rPr>
        <w:t>SECTION 4: SECTION C - SHORT QUESTIONS MARKING MEMO (15 MARKS)</w:t>
      </w:r>
    </w:p>
    <w:p>
      <w:pPr>
        <w:keepNext/>
        <w:spacing w:after="40"/>
      </w:pPr>
      <w:r>
        <w:rPr>
          <w:rFonts w:ascii="Calibri" w:hAnsi="Calibri"/>
          <w:b/>
          <w:sz w:val="21"/>
        </w:rPr>
        <w:t>Q1 Model Answer (TNA &amp; SETA Grant Recovery)</w:t>
      </w:r>
    </w:p>
    <w:p>
      <w:pPr>
        <w:spacing w:after="120"/>
        <w:ind w:left="288"/>
      </w:pPr>
      <w:r>
        <w:rPr>
          <w:rFonts w:ascii="Calibri" w:hAnsi="Calibri"/>
          <w:sz w:val="19"/>
        </w:rPr>
        <w:t>• 3 TNA Levels (3 Marks): (1) Organisational Analysis (evaluating Kanyisa's strategic shift to automated solar lines), (2) Occupational/Task Analysis (defining automated machinery standards via OFO codes), (3) Person Analysis (identifying specific skills gaps in the 200 assembly workers).</w:t>
        <w:br/>
        <w:t>• WSP/ATR &amp; Grant Recovery (2 Marks): Consolidating TNA data into a Workplace Skills Plan (WSP) and Annual Training Report (ATR) enables timeous submission to EWSETA by April 30, recovering 20% of SDL as a Mandatory Grant and unlocking Discretionary Grant funding for solar apprenticeships.</w:t>
      </w:r>
    </w:p>
    <w:p>
      <w:pPr>
        <w:keepNext/>
        <w:spacing w:after="40"/>
      </w:pPr>
      <w:r>
        <w:rPr>
          <w:rFonts w:ascii="Calibri" w:hAnsi="Calibri"/>
          <w:b/>
          <w:sz w:val="21"/>
        </w:rPr>
        <w:t>Q2 Model Answer (Substandard Performance vs Misconduct &amp; PIP)</w:t>
      </w:r>
    </w:p>
    <w:p>
      <w:pPr>
        <w:spacing w:after="120"/>
        <w:ind w:left="288"/>
      </w:pPr>
      <w:r>
        <w:rPr>
          <w:rFonts w:ascii="Calibri" w:hAnsi="Calibri"/>
          <w:sz w:val="19"/>
        </w:rPr>
        <w:t>• Distinction (2 Marks): Misconduct involves intentional or negligent breach of workplace rules (disciplinary matter). Substandard performance involves an employee's inability to meet required standards despite trying (incapacity matter).</w:t>
        <w:br/>
        <w:t>• PIP Step-by-Step Process (3 Marks): (1) Conduct counseling meeting to identify performance gaps, (2) Jointly set SMART performance goals and timeframes, (3) Provide required training, coaching, and equipment, (4) Hold regular check-in reviews, (5) Evaluate final outcomes before considering further action under LRA Schedule 8.</w:t>
      </w:r>
    </w:p>
    <w:p>
      <w:pPr>
        <w:keepNext/>
        <w:spacing w:after="40"/>
      </w:pPr>
      <w:r>
        <w:rPr>
          <w:rFonts w:ascii="Calibri" w:hAnsi="Calibri"/>
          <w:b/>
          <w:sz w:val="21"/>
        </w:rPr>
        <w:t>Q3 Model Answer (Total Rewards Framework for Kanyisa)</w:t>
      </w:r>
    </w:p>
    <w:p>
      <w:pPr>
        <w:spacing w:after="120"/>
        <w:ind w:left="288"/>
      </w:pPr>
      <w:r>
        <w:rPr>
          <w:rFonts w:ascii="Calibri" w:hAnsi="Calibri"/>
          <w:sz w:val="19"/>
        </w:rPr>
        <w:t>• Monetary Components (2.5 Marks): Base pay alignment with NMW/industry standards, skill-acquisition bonuses upon completing automated machinery training, production efficiency spot bonuses.</w:t>
        <w:br/>
        <w:t>• Non-Monetary Components (2.5 Marks): 'Solar Innovator' public peer-to-peer awards, flexible shift scheduling, career pathing transparency, and wellness days. Aligns with SABPP Reward Standard.</w:t>
      </w:r>
    </w:p>
    <w:p>
      <w:pPr>
        <w:spacing w:after="240"/>
      </w:pPr>
    </w:p>
    <w:p>
      <w:pPr>
        <w:keepNext/>
        <w:spacing w:before="320" w:after="120"/>
      </w:pPr>
      <w:r>
        <w:rPr>
          <w:rFonts w:ascii="Arial" w:hAnsi="Arial"/>
          <w:b/>
          <w:color w:val="800020"/>
          <w:sz w:val="32"/>
        </w:rPr>
        <w:t>SECTION 5: SECTION D - COMPREHENSIVE RUBRIC &amp; MODEL ANSWERS (50 MARKS)</w:t>
      </w:r>
    </w:p>
    <w:tbl>
      <w:tblPr>
        <w:tblW w:type="auto" w:w="0"/>
        <w:jc w:val="center"/>
        <w:tblLook w:firstColumn="1" w:firstRow="1" w:lastColumn="0" w:lastRow="0" w:noHBand="0" w:noVBand="1" w:val="04A0"/>
      </w:tblPr>
      <w:tblGrid>
        <w:gridCol w:w="3120"/>
        <w:gridCol w:w="3120"/>
        <w:gridCol w:w="3120"/>
      </w:tblGrid>
      <w:tr>
        <w:tc>
          <w:tcPr>
            <w:tcW w:type="dxa" w:w="2592"/>
            <w:shd w:fill="800020"/>
          </w:tcPr>
          <w:p>
            <w:r>
              <w:rPr>
                <w:color w:val="FFFFFF"/>
              </w:rPr>
              <w:t>Sub-Section &amp; Focus</w:t>
            </w:r>
          </w:p>
        </w:tc>
        <w:tc>
          <w:tcPr>
            <w:tcW w:type="dxa" w:w="1440"/>
            <w:shd w:fill="800020"/>
          </w:tcPr>
          <w:p>
            <w:r>
              <w:rPr>
                <w:color w:val="FFFFFF"/>
              </w:rPr>
              <w:t>Marks</w:t>
            </w:r>
          </w:p>
        </w:tc>
        <w:tc>
          <w:tcPr>
            <w:tcW w:type="dxa" w:w="5328"/>
            <w:shd w:fill="800020"/>
          </w:tcPr>
          <w:p>
            <w:r>
              <w:rPr>
                <w:color w:val="FFFFFF"/>
              </w:rPr>
              <w:t>Assessment Criteria &amp; Expected Depth</w:t>
            </w:r>
          </w:p>
        </w:tc>
      </w:tr>
      <w:tr>
        <w:tc>
          <w:tcPr>
            <w:tcW w:type="dxa" w:w="2592"/>
          </w:tcPr>
          <w:p>
            <w:r>
              <w:rPr>
                <w:rFonts w:ascii="Calibri" w:hAnsi="Calibri"/>
                <w:b/>
              </w:rPr>
              <w:t>D1: L&amp;D Strategy &amp; WSP/ATR Compliance</w:t>
            </w:r>
          </w:p>
        </w:tc>
        <w:tc>
          <w:tcPr>
            <w:tcW w:type="dxa" w:w="1440"/>
          </w:tcPr>
          <w:p>
            <w:r>
              <w:rPr>
                <w:rFonts w:ascii="Calibri" w:hAnsi="Calibri"/>
                <w:b/>
              </w:rPr>
              <w:t>13 Marks</w:t>
            </w:r>
          </w:p>
        </w:tc>
        <w:tc>
          <w:tcPr>
            <w:tcW w:type="dxa" w:w="5328"/>
          </w:tcPr>
          <w:p>
            <w:r>
              <w:rPr>
                <w:rFonts w:ascii="Calibri" w:hAnsi="Calibri"/>
              </w:rPr>
              <w:t>• IDP consolidation process into departmental/divisional plans (3m)</w:t>
              <w:br/>
              <w:t>• Blended learning model (VR, e-learning, mentorship, skills programmes) (4m)</w:t>
              <w:br/>
              <w:t>• WSP/ATR SETA submission &amp; grant recovery methodology (3m)</w:t>
              <w:br/>
              <w:t>• Evaluation of L&amp;D using Kirkpatrick's 4-Level Model (3m)</w:t>
            </w:r>
          </w:p>
        </w:tc>
      </w:tr>
      <w:tr>
        <w:tc>
          <w:tcPr>
            <w:tcW w:type="dxa" w:w="2592"/>
          </w:tcPr>
          <w:p>
            <w:r>
              <w:rPr>
                <w:rFonts w:ascii="Calibri" w:hAnsi="Calibri"/>
                <w:b/>
              </w:rPr>
              <w:t>D2: Performance Management System &amp; Coaching</w:t>
            </w:r>
          </w:p>
        </w:tc>
        <w:tc>
          <w:tcPr>
            <w:tcW w:type="dxa" w:w="1440"/>
          </w:tcPr>
          <w:p>
            <w:r>
              <w:rPr>
                <w:rFonts w:ascii="Calibri" w:hAnsi="Calibri"/>
                <w:b/>
              </w:rPr>
              <w:t>13 Marks</w:t>
            </w:r>
          </w:p>
        </w:tc>
        <w:tc>
          <w:tcPr>
            <w:tcW w:type="dxa" w:w="5328"/>
          </w:tcPr>
          <w:p>
            <w:r>
              <w:rPr>
                <w:rFonts w:ascii="Calibri" w:hAnsi="Calibri"/>
              </w:rPr>
              <w:t>• End-to-end performance cycle (SMART goals, check-ins, 360 feedback) (4m)</w:t>
              <w:br/>
              <w:t>• Line manager coaching framework for constructive feedback (3m)</w:t>
              <w:br/>
              <w:t>• Calibration mechanisms for rating consistency across units (3m)</w:t>
              <w:br/>
              <w:t>• Integration of appraisals with career pathing &amp; development (3m)</w:t>
            </w:r>
          </w:p>
        </w:tc>
      </w:tr>
      <w:tr>
        <w:tc>
          <w:tcPr>
            <w:tcW w:type="dxa" w:w="2592"/>
          </w:tcPr>
          <w:p>
            <w:r>
              <w:rPr>
                <w:rFonts w:ascii="Calibri" w:hAnsi="Calibri"/>
                <w:b/>
              </w:rPr>
              <w:t>D3: OD &amp; Organisational Wellness Plan</w:t>
            </w:r>
          </w:p>
        </w:tc>
        <w:tc>
          <w:tcPr>
            <w:tcW w:type="dxa" w:w="1440"/>
          </w:tcPr>
          <w:p>
            <w:r>
              <w:rPr>
                <w:rFonts w:ascii="Calibri" w:hAnsi="Calibri"/>
                <w:b/>
              </w:rPr>
              <w:t>12 Marks</w:t>
            </w:r>
          </w:p>
        </w:tc>
        <w:tc>
          <w:tcPr>
            <w:tcW w:type="dxa" w:w="5328"/>
          </w:tcPr>
          <w:p>
            <w:r>
              <w:rPr>
                <w:rFonts w:ascii="Calibri" w:hAnsi="Calibri"/>
              </w:rPr>
              <w:t>• Applying Kurt Lewin 3-Stage Model or Appreciative Inquiry to change (3m)</w:t>
              <w:br/>
              <w:t>• Holistic wellness framework &amp; EAP integration (3m)</w:t>
              <w:br/>
              <w:t>• Stakeholder engagement strategy (union, EE/SD committees) (3m)</w:t>
              <w:br/>
              <w:t>• Change management communication plan to manage anxiety (3m)</w:t>
            </w:r>
          </w:p>
        </w:tc>
      </w:tr>
      <w:tr>
        <w:tc>
          <w:tcPr>
            <w:tcW w:type="dxa" w:w="2592"/>
          </w:tcPr>
          <w:p>
            <w:r>
              <w:rPr>
                <w:rFonts w:ascii="Calibri" w:hAnsi="Calibri"/>
                <w:b/>
              </w:rPr>
              <w:t>D4: Career Management, HR-IS &amp; Analytics</w:t>
            </w:r>
          </w:p>
        </w:tc>
        <w:tc>
          <w:tcPr>
            <w:tcW w:type="dxa" w:w="1440"/>
          </w:tcPr>
          <w:p>
            <w:r>
              <w:rPr>
                <w:rFonts w:ascii="Calibri" w:hAnsi="Calibri"/>
                <w:b/>
              </w:rPr>
              <w:t>12 Marks</w:t>
            </w:r>
          </w:p>
        </w:tc>
        <w:tc>
          <w:tcPr>
            <w:tcW w:type="dxa" w:w="5328"/>
          </w:tcPr>
          <w:p>
            <w:r>
              <w:rPr>
                <w:rFonts w:ascii="Calibri" w:hAnsi="Calibri"/>
              </w:rPr>
              <w:t>• Dual career pathing model (technical vs. managerial pathways) (3m)</w:t>
              <w:br/>
              <w:t>• LMS/HRIS technology integration for progress tracking (3m)</w:t>
              <w:br/>
              <w:t>• 5 core People Analytics metrics with formulas &amp; targets (3m)</w:t>
              <w:br/>
              <w:t>• B-BBEE skills scorecard optimization &amp; audit governance (3m)</w:t>
            </w:r>
          </w:p>
        </w:tc>
      </w:tr>
    </w:tbl>
    <w:p>
      <w:pPr>
        <w:spacing w:after="280"/>
      </w:pPr>
    </w:p>
    <w:p>
      <w:pPr>
        <w:keepNext/>
        <w:spacing w:before="320" w:after="120"/>
      </w:pPr>
      <w:r>
        <w:rPr>
          <w:rFonts w:ascii="Arial" w:hAnsi="Arial"/>
          <w:b/>
          <w:color w:val="800020"/>
          <w:sz w:val="32"/>
        </w:rPr>
        <w:t>SECTION 6: ASSESSOR RESULT SUMMARY &amp; RECORDING FORM</w:t>
      </w:r>
    </w:p>
    <w:tbl>
      <w:tblPr>
        <w:tblW w:type="auto" w:w="0"/>
        <w:jc w:val="center"/>
        <w:tblLook w:firstColumn="1" w:firstRow="1" w:lastColumn="0" w:lastRow="0" w:noHBand="0" w:noVBand="1" w:val="04A0"/>
      </w:tblPr>
      <w:tblGrid>
        <w:gridCol w:w="2340"/>
        <w:gridCol w:w="2340"/>
        <w:gridCol w:w="2340"/>
        <w:gridCol w:w="2340"/>
      </w:tblGrid>
      <w:tr>
        <w:tc>
          <w:tcPr>
            <w:tcW w:type="dxa" w:w="3600"/>
            <w:shd w:fill="800020"/>
          </w:tcPr>
          <w:p>
            <w:pPr>
              <w:spacing w:after="0"/>
            </w:pPr>
            <w:r>
              <w:rPr>
                <w:rFonts w:ascii="Arial" w:hAnsi="Arial"/>
                <w:b/>
                <w:color w:val="FFFFFF"/>
                <w:sz w:val="18"/>
              </w:rPr>
              <w:t>Assessment Section</w:t>
            </w:r>
          </w:p>
        </w:tc>
        <w:tc>
          <w:tcPr>
            <w:tcW w:type="dxa" w:w="1728"/>
            <w:shd w:fill="800020"/>
          </w:tcPr>
          <w:p>
            <w:pPr>
              <w:spacing w:after="0"/>
            </w:pPr>
            <w:r>
              <w:rPr>
                <w:rFonts w:ascii="Arial" w:hAnsi="Arial"/>
                <w:b/>
                <w:color w:val="FFFFFF"/>
                <w:sz w:val="18"/>
              </w:rPr>
              <w:t>Total Marks</w:t>
            </w:r>
          </w:p>
        </w:tc>
        <w:tc>
          <w:tcPr>
            <w:tcW w:type="dxa" w:w="1728"/>
            <w:shd w:fill="800020"/>
          </w:tcPr>
          <w:p>
            <w:pPr>
              <w:spacing w:after="0"/>
            </w:pPr>
            <w:r>
              <w:rPr>
                <w:rFonts w:ascii="Arial" w:hAnsi="Arial"/>
                <w:b/>
                <w:color w:val="FFFFFF"/>
                <w:sz w:val="18"/>
              </w:rPr>
              <w:t>Learner Score</w:t>
            </w:r>
          </w:p>
        </w:tc>
        <w:tc>
          <w:tcPr>
            <w:tcW w:type="dxa" w:w="2304"/>
            <w:shd w:fill="800020"/>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Scenario Short Questions (Kanyisa)</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D: Strategic Long Question (4 Sub-sections)</w:t>
            </w:r>
          </w:p>
        </w:tc>
        <w:tc>
          <w:tcPr>
            <w:tcW w:type="dxa" w:w="1728"/>
            <w:tcMar>
              <w:top w:w="60" w:type="dxa"/>
              <w:bottom w:w="60" w:type="dxa"/>
              <w:left w:w="80" w:type="dxa"/>
              <w:right w:w="80" w:type="dxa"/>
            </w:tcMar>
          </w:tcPr>
          <w:p>
            <w:r>
              <w:rPr>
                <w:rFonts w:ascii="Calibri" w:hAnsi="Calibri"/>
                <w:b w:val="0"/>
              </w:rPr>
              <w:t>50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A02018"/>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