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4680"/>
        <w:gridCol w:w="4680"/>
      </w:tblGrid>
      <w:tr>
        <w:tc>
          <w:tcPr>
            <w:tcW w:type="dxa" w:w="3168"/>
            <w:shd w:fill="800020"/>
            <w:tcMar>
              <w:top w:w="80" w:type="dxa"/>
              <w:bottom w:w="80" w:type="dxa"/>
              <w:left w:w="120" w:type="dxa"/>
              <w:right w:w="120" w:type="dxa"/>
            </w:tcMar>
          </w:tcPr>
          <w:p>
            <w:pPr>
              <w:spacing w:after="0"/>
            </w:pPr>
            <w:r>
              <w:rPr>
                <w:rFonts w:ascii="Arial" w:hAnsi="Arial"/>
                <w:b/>
                <w:color w:val="FFFFFF"/>
                <w:sz w:val="19"/>
              </w:rPr>
              <w:t>INSTITUTION:</w:t>
            </w:r>
          </w:p>
        </w:tc>
        <w:tc>
          <w:tcPr>
            <w:tcW w:type="dxa" w:w="6192"/>
            <w:shd w:fill="F8E0E6"/>
            <w:tcMar>
              <w:top w:w="80" w:type="dxa"/>
              <w:bottom w:w="80" w:type="dxa"/>
              <w:left w:w="120" w:type="dxa"/>
              <w:right w:w="120" w:type="dxa"/>
            </w:tcMar>
          </w:tcPr>
          <w:p>
            <w:pPr>
              <w:spacing w:after="0"/>
            </w:pPr>
            <w:r>
              <w:rPr>
                <w:rFonts w:ascii="Calibri" w:hAnsi="Calibri"/>
                <w:b/>
                <w:color w:val="222222"/>
                <w:sz w:val="20"/>
              </w:rPr>
              <w:t>CURIOSA ACADEMY</w:t>
            </w:r>
          </w:p>
        </w:tc>
      </w:tr>
      <w:tr>
        <w:tc>
          <w:tcPr>
            <w:tcW w:type="dxa" w:w="3168"/>
            <w:shd w:fill="800020"/>
            <w:tcMar>
              <w:top w:w="80" w:type="dxa"/>
              <w:bottom w:w="80" w:type="dxa"/>
              <w:left w:w="120" w:type="dxa"/>
              <w:right w:w="120" w:type="dxa"/>
            </w:tcMar>
          </w:tcPr>
          <w:p>
            <w:pPr>
              <w:spacing w:after="0"/>
            </w:pPr>
            <w:r>
              <w:rPr>
                <w:rFonts w:ascii="Arial" w:hAnsi="Arial"/>
                <w:b/>
                <w:color w:val="FFFFFF"/>
                <w:sz w:val="19"/>
              </w:rPr>
              <w:t>QUALIFICATION:</w:t>
            </w:r>
          </w:p>
        </w:tc>
        <w:tc>
          <w:tcPr>
            <w:tcW w:type="dxa" w:w="6192"/>
            <w:shd w:fill="F8E0E6"/>
            <w:tcMar>
              <w:top w:w="80" w:type="dxa"/>
              <w:bottom w:w="80" w:type="dxa"/>
              <w:left w:w="120" w:type="dxa"/>
              <w:right w:w="120" w:type="dxa"/>
            </w:tcMar>
          </w:tcPr>
          <w:p>
            <w:pPr>
              <w:spacing w:after="0"/>
            </w:pPr>
            <w:r>
              <w:rPr>
                <w:rFonts w:ascii="Calibri" w:hAnsi="Calibri"/>
                <w:b w:val="0"/>
                <w:color w:val="222222"/>
                <w:sz w:val="20"/>
              </w:rPr>
              <w:t>Advanced Occupational Certificate: Human Resource Management Officer (NQF Level 6, 134 Credits)</w:t>
            </w:r>
          </w:p>
        </w:tc>
      </w:tr>
      <w:tr>
        <w:tc>
          <w:tcPr>
            <w:tcW w:type="dxa" w:w="3168"/>
            <w:shd w:fill="800020"/>
            <w:tcMar>
              <w:top w:w="80" w:type="dxa"/>
              <w:bottom w:w="80" w:type="dxa"/>
              <w:left w:w="120" w:type="dxa"/>
              <w:right w:w="120" w:type="dxa"/>
            </w:tcMar>
          </w:tcPr>
          <w:p>
            <w:pPr>
              <w:spacing w:after="0"/>
            </w:pPr>
            <w:r>
              <w:rPr>
                <w:rFonts w:ascii="Arial" w:hAnsi="Arial"/>
                <w:b/>
                <w:color w:val="FFFFFF"/>
                <w:sz w:val="19"/>
              </w:rPr>
              <w:t>SAQA ID / CURRICULUM:</w:t>
            </w:r>
          </w:p>
        </w:tc>
        <w:tc>
          <w:tcPr>
            <w:tcW w:type="dxa" w:w="6192"/>
            <w:shd w:fill="F8E0E6"/>
            <w:tcMar>
              <w:top w:w="80" w:type="dxa"/>
              <w:bottom w:w="80" w:type="dxa"/>
              <w:left w:w="120" w:type="dxa"/>
              <w:right w:w="120" w:type="dxa"/>
            </w:tcMar>
          </w:tcPr>
          <w:p>
            <w:pPr>
              <w:spacing w:after="0"/>
            </w:pPr>
            <w:r>
              <w:rPr>
                <w:rFonts w:ascii="Calibri" w:hAnsi="Calibri"/>
                <w:b w:val="0"/>
                <w:color w:val="222222"/>
                <w:sz w:val="20"/>
              </w:rPr>
              <w:t>SAQA ID: 121151 | Curriculum Code: 242303-001-00-00</w:t>
            </w:r>
          </w:p>
        </w:tc>
      </w:tr>
      <w:tr>
        <w:tc>
          <w:tcPr>
            <w:tcW w:type="dxa" w:w="3168"/>
            <w:shd w:fill="800020"/>
            <w:tcMar>
              <w:top w:w="80" w:type="dxa"/>
              <w:bottom w:w="80" w:type="dxa"/>
              <w:left w:w="120" w:type="dxa"/>
              <w:right w:w="120" w:type="dxa"/>
            </w:tcMar>
          </w:tcPr>
          <w:p>
            <w:pPr>
              <w:spacing w:after="0"/>
            </w:pPr>
            <w:r>
              <w:rPr>
                <w:rFonts w:ascii="Arial" w:hAnsi="Arial"/>
                <w:b/>
                <w:color w:val="FFFFFF"/>
                <w:sz w:val="19"/>
              </w:rPr>
              <w:t>MODULES ASSESSED:</w:t>
            </w:r>
          </w:p>
        </w:tc>
        <w:tc>
          <w:tcPr>
            <w:tcW w:type="dxa" w:w="6192"/>
            <w:shd w:fill="F8E0E6"/>
            <w:tcMar>
              <w:top w:w="80" w:type="dxa"/>
              <w:bottom w:w="80" w:type="dxa"/>
              <w:left w:w="120" w:type="dxa"/>
              <w:right w:w="120" w:type="dxa"/>
            </w:tcMar>
          </w:tcPr>
          <w:p>
            <w:pPr>
              <w:spacing w:after="0"/>
            </w:pPr>
            <w:r>
              <w:rPr>
                <w:rFonts w:ascii="Calibri" w:hAnsi="Calibri"/>
                <w:b w:val="0"/>
                <w:color w:val="222222"/>
                <w:sz w:val="20"/>
              </w:rPr>
              <w:t>KM-03 (Operationalising L&amp;D and Organisational Growth Strategies, 8 Credits)</w:t>
              <w:br/>
              <w:t>PM-03 (Implement L&amp;D and Organisational Growth Initiatives, 12 Credits)</w:t>
            </w:r>
          </w:p>
        </w:tc>
      </w:tr>
      <w:tr>
        <w:tc>
          <w:tcPr>
            <w:tcW w:type="dxa" w:w="3168"/>
            <w:shd w:fill="800020"/>
            <w:tcMar>
              <w:top w:w="80" w:type="dxa"/>
              <w:bottom w:w="80" w:type="dxa"/>
              <w:left w:w="120" w:type="dxa"/>
              <w:right w:w="120" w:type="dxa"/>
            </w:tcMar>
          </w:tcPr>
          <w:p>
            <w:pPr>
              <w:spacing w:after="0"/>
            </w:pPr>
            <w:r>
              <w:rPr>
                <w:rFonts w:ascii="Arial" w:hAnsi="Arial"/>
                <w:b/>
                <w:color w:val="FFFFFF"/>
                <w:sz w:val="19"/>
              </w:rPr>
              <w:t>ASSESSMENT TYPE:</w:t>
            </w:r>
          </w:p>
        </w:tc>
        <w:tc>
          <w:tcPr>
            <w:tcW w:type="dxa" w:w="6192"/>
            <w:shd w:fill="F8E0E6"/>
            <w:tcMar>
              <w:top w:w="80" w:type="dxa"/>
              <w:bottom w:w="80" w:type="dxa"/>
              <w:left w:w="120" w:type="dxa"/>
              <w:right w:w="120" w:type="dxa"/>
            </w:tcMar>
          </w:tcPr>
          <w:p>
            <w:pPr>
              <w:spacing w:after="0"/>
            </w:pPr>
            <w:r>
              <w:rPr>
                <w:rFonts w:ascii="Calibri" w:hAnsi="Calibri"/>
                <w:b/>
                <w:color w:val="222222"/>
                <w:sz w:val="20"/>
              </w:rPr>
              <w:t>Internal Summative Assessment Script (SU 3 - Version 1)</w:t>
            </w:r>
          </w:p>
        </w:tc>
      </w:tr>
      <w:tr>
        <w:tc>
          <w:tcPr>
            <w:tcW w:type="dxa" w:w="3168"/>
            <w:shd w:fill="800020"/>
            <w:tcMar>
              <w:top w:w="80" w:type="dxa"/>
              <w:bottom w:w="80" w:type="dxa"/>
              <w:left w:w="120" w:type="dxa"/>
              <w:right w:w="120" w:type="dxa"/>
            </w:tcMar>
          </w:tcPr>
          <w:p>
            <w:pPr>
              <w:spacing w:after="0"/>
            </w:pPr>
            <w:r>
              <w:rPr>
                <w:rFonts w:ascii="Arial" w:hAnsi="Arial"/>
                <w:b/>
                <w:color w:val="FFFFFF"/>
                <w:sz w:val="19"/>
              </w:rPr>
              <w:t>TOTAL MARKS &amp; TIME:</w:t>
            </w:r>
          </w:p>
        </w:tc>
        <w:tc>
          <w:tcPr>
            <w:tcW w:type="dxa" w:w="6192"/>
            <w:shd w:fill="F8E0E6"/>
            <w:tcMar>
              <w:top w:w="80" w:type="dxa"/>
              <w:bottom w:w="80" w:type="dxa"/>
              <w:left w:w="120" w:type="dxa"/>
              <w:right w:w="120" w:type="dxa"/>
            </w:tcMar>
          </w:tcPr>
          <w:p>
            <w:pPr>
              <w:spacing w:after="0"/>
            </w:pPr>
            <w:r>
              <w:rPr>
                <w:rFonts w:ascii="Calibri" w:hAnsi="Calibri"/>
                <w:b/>
                <w:color w:val="222222"/>
                <w:sz w:val="20"/>
              </w:rPr>
              <w:t>100 Marks | Pass Mark: 75% (75 Marks) | Duration: 2.5 Hours</w:t>
            </w:r>
          </w:p>
        </w:tc>
      </w:tr>
      <w:tr>
        <w:tc>
          <w:tcPr>
            <w:tcW w:type="dxa" w:w="3168"/>
            <w:shd w:fill="800020"/>
            <w:tcMar>
              <w:top w:w="80" w:type="dxa"/>
              <w:bottom w:w="80" w:type="dxa"/>
              <w:left w:w="120" w:type="dxa"/>
              <w:right w:w="120" w:type="dxa"/>
            </w:tcMar>
          </w:tcPr>
          <w:p>
            <w:pPr>
              <w:spacing w:after="0"/>
            </w:pPr>
            <w:r>
              <w:rPr>
                <w:rFonts w:ascii="Arial" w:hAnsi="Arial"/>
                <w:b/>
                <w:color w:val="FFFFFF"/>
                <w:sz w:val="19"/>
              </w:rPr>
              <w:t>LEARNER NAME &amp; ID:</w:t>
            </w:r>
          </w:p>
        </w:tc>
        <w:tc>
          <w:tcPr>
            <w:tcW w:type="dxa" w:w="6192"/>
            <w:shd w:fill="F8E0E6"/>
            <w:tcMar>
              <w:top w:w="80" w:type="dxa"/>
              <w:bottom w:w="80" w:type="dxa"/>
              <w:left w:w="120" w:type="dxa"/>
              <w:right w:w="120" w:type="dxa"/>
            </w:tcMar>
          </w:tcPr>
          <w:p>
            <w:pPr>
              <w:spacing w:after="0"/>
            </w:pPr>
            <w:r>
              <w:rPr>
                <w:rFonts w:ascii="Calibri" w:hAnsi="Calibri"/>
                <w:b w:val="0"/>
                <w:color w:val="222222"/>
                <w:sz w:val="20"/>
              </w:rPr>
            </w:r>
          </w:p>
        </w:tc>
      </w:tr>
    </w:tbl>
    <w:p>
      <w:pPr>
        <w:spacing w:after="200"/>
      </w:pPr>
    </w:p>
    <w:p>
      <w:pPr>
        <w:keepNext/>
        <w:spacing w:before="320" w:after="120"/>
      </w:pPr>
      <w:r>
        <w:rPr>
          <w:rFonts w:ascii="Arial" w:hAnsi="Arial"/>
          <w:b/>
          <w:color w:val="800020"/>
          <w:sz w:val="32"/>
        </w:rPr>
        <w:t>INSTRUCTIONS TO LEARNERS</w:t>
      </w:r>
    </w:p>
    <w:p>
      <w:pPr>
        <w:spacing w:after="60" w:line="276" w:lineRule="auto"/>
      </w:pPr>
      <w:r>
        <w:rPr>
          <w:rFonts w:ascii="Calibri" w:hAnsi="Calibri"/>
          <w:b w:val="0"/>
          <w:i w:val="0"/>
          <w:color w:val="222222"/>
          <w:sz w:val="22"/>
        </w:rPr>
        <w:t>1. Answer ALL questions in Section A, Section B, Section C, and Section D.</w:t>
      </w:r>
    </w:p>
    <w:p>
      <w:pPr>
        <w:spacing w:after="60" w:line="276" w:lineRule="auto"/>
      </w:pPr>
      <w:r>
        <w:rPr>
          <w:rFonts w:ascii="Calibri" w:hAnsi="Calibri"/>
          <w:b w:val="0"/>
          <w:i w:val="0"/>
          <w:color w:val="222222"/>
          <w:sz w:val="22"/>
        </w:rPr>
        <w:t>2. Note the mark breakdown for Study Unit 3: Section A (15 Multiple Choice Questions @ 1 Mark each = 15 Marks), Section B (5 True/False Questions with Justification @ 4 Marks each = 20 Marks), Section C (Scenario Short Questions = 15 Marks), and Section D (Scenario Strategic Long Question = 50 Marks). Total = 100 Marks.</w:t>
      </w:r>
    </w:p>
    <w:p>
      <w:pPr>
        <w:spacing w:after="60" w:line="276" w:lineRule="auto"/>
      </w:pPr>
      <w:r>
        <w:rPr>
          <w:rFonts w:ascii="Calibri" w:hAnsi="Calibri"/>
          <w:b w:val="0"/>
          <w:i w:val="0"/>
          <w:color w:val="222222"/>
          <w:sz w:val="22"/>
        </w:rPr>
        <w:t>3. Read the case study scenario in Section C &amp; D carefully before answering.</w:t>
      </w:r>
    </w:p>
    <w:p>
      <w:pPr>
        <w:spacing w:after="60" w:line="276" w:lineRule="auto"/>
      </w:pPr>
      <w:r>
        <w:rPr>
          <w:rFonts w:ascii="Calibri" w:hAnsi="Calibri"/>
          <w:b w:val="0"/>
          <w:i w:val="0"/>
          <w:color w:val="222222"/>
          <w:sz w:val="22"/>
        </w:rPr>
        <w:t>4. Highlighting professional standards (SABPP PPG Standards for L&amp;D, Performance Management, Reward, Wellness, OD) and legal/ethical compliance (Skills Development Act, EEA Code of Good Practice, B-BBEE Act, BCEA) is essential for full marks.</w:t>
      </w:r>
    </w:p>
    <w:p>
      <w:pPr>
        <w:spacing w:after="60" w:line="276" w:lineRule="auto"/>
      </w:pPr>
      <w:r>
        <w:rPr>
          <w:rFonts w:ascii="Calibri" w:hAnsi="Calibri"/>
          <w:b w:val="0"/>
          <w:i w:val="0"/>
          <w:color w:val="222222"/>
          <w:sz w:val="22"/>
        </w:rPr>
        <w:t>5. The pass mark for this internal summative assessment script is strictly 75% (75/100 Marks).</w:t>
      </w:r>
    </w:p>
    <w:p>
      <w:pPr>
        <w:spacing w:after="60" w:line="276" w:lineRule="auto"/>
      </w:pPr>
      <w:r>
        <w:rPr>
          <w:rFonts w:ascii="Calibri" w:hAnsi="Calibri"/>
          <w:b w:val="0"/>
          <w:i w:val="0"/>
          <w:color w:val="222222"/>
          <w:sz w:val="22"/>
        </w:rPr>
        <w:t>6. Write legibly and present your answers in a clear, professional business format.</w:t>
      </w:r>
    </w:p>
    <w:p>
      <w:pPr>
        <w:spacing w:after="200"/>
      </w:pPr>
    </w:p>
    <w:p>
      <w:pPr>
        <w:keepNext/>
        <w:spacing w:before="320" w:after="120"/>
      </w:pPr>
      <w:r>
        <w:rPr>
          <w:rFonts w:ascii="Arial" w:hAnsi="Arial"/>
          <w:b/>
          <w:color w:val="800020"/>
          <w:sz w:val="32"/>
        </w:rPr>
        <w:t>SECTION A: MULTIPLE CHOICE QUESTIONS (15 MARKS)</w:t>
      </w:r>
    </w:p>
    <w:p>
      <w:pPr>
        <w:spacing w:after="160" w:line="276" w:lineRule="auto"/>
      </w:pPr>
      <w:r>
        <w:rPr>
          <w:rFonts w:ascii="Calibri" w:hAnsi="Calibri"/>
          <w:b w:val="0"/>
          <w:i/>
          <w:color w:val="222222"/>
          <w:sz w:val="22"/>
        </w:rPr>
        <w:t>Instructions: Select the SINGLE best answer for each question. Each question carries 1 mark.</w:t>
      </w:r>
    </w:p>
    <w:p>
      <w:pPr>
        <w:keepNext/>
        <w:spacing w:after="60"/>
      </w:pPr>
      <w:r>
        <w:rPr>
          <w:rFonts w:ascii="Calibri" w:hAnsi="Calibri"/>
          <w:b/>
          <w:sz w:val="21"/>
        </w:rPr>
        <w:t>1. In South Africa, what percentage of an employer's levy-leviable payroll is claimable as a Mandatory Grant upon timeous submission of an approved Workplace Skills Plan (WSP) and Annual Training Report (ATR)?</w:t>
      </w:r>
    </w:p>
    <w:p>
      <w:pPr>
        <w:spacing w:after="40"/>
        <w:ind w:left="360"/>
      </w:pPr>
      <w:r>
        <w:rPr>
          <w:rFonts w:ascii="Calibri" w:hAnsi="Calibri"/>
          <w:sz w:val="20"/>
        </w:rPr>
        <w:t>A. 15%</w:t>
      </w:r>
    </w:p>
    <w:p>
      <w:pPr>
        <w:spacing w:after="40"/>
        <w:ind w:left="360"/>
      </w:pPr>
      <w:r>
        <w:rPr>
          <w:rFonts w:ascii="Calibri" w:hAnsi="Calibri"/>
          <w:sz w:val="20"/>
        </w:rPr>
        <w:t>B. 20%</w:t>
      </w:r>
    </w:p>
    <w:p>
      <w:pPr>
        <w:spacing w:after="40"/>
        <w:ind w:left="360"/>
      </w:pPr>
      <w:r>
        <w:rPr>
          <w:rFonts w:ascii="Calibri" w:hAnsi="Calibri"/>
          <w:sz w:val="20"/>
        </w:rPr>
        <w:t>C. 50%</w:t>
      </w:r>
    </w:p>
    <w:p>
      <w:pPr>
        <w:spacing w:after="40"/>
        <w:ind w:left="360"/>
      </w:pPr>
      <w:r>
        <w:rPr>
          <w:rFonts w:ascii="Calibri" w:hAnsi="Calibri"/>
          <w:sz w:val="20"/>
        </w:rPr>
        <w:t>D. 70%</w:t>
      </w:r>
    </w:p>
    <w:p>
      <w:pPr>
        <w:keepNext/>
        <w:spacing w:after="60"/>
      </w:pPr>
      <w:r>
        <w:rPr>
          <w:rFonts w:ascii="Calibri" w:hAnsi="Calibri"/>
          <w:b/>
          <w:sz w:val="21"/>
        </w:rPr>
        <w:t>2. According to the Employment Equity Act Code of Good Practice on Integrating EE into HR Policies, selection criteria for training and development interventions must ensure:</w:t>
      </w:r>
    </w:p>
    <w:p>
      <w:pPr>
        <w:spacing w:after="40"/>
        <w:ind w:left="360"/>
      </w:pPr>
      <w:r>
        <w:rPr>
          <w:rFonts w:ascii="Calibri" w:hAnsi="Calibri"/>
          <w:sz w:val="20"/>
        </w:rPr>
        <w:t>A. Training is reserved exclusively for senior management</w:t>
      </w:r>
    </w:p>
    <w:p>
      <w:pPr>
        <w:spacing w:after="40"/>
        <w:ind w:left="360"/>
      </w:pPr>
      <w:r>
        <w:rPr>
          <w:rFonts w:ascii="Calibri" w:hAnsi="Calibri"/>
          <w:sz w:val="20"/>
        </w:rPr>
        <w:t>B. Equitable access to skills development for designated groups without unfair discrimination</w:t>
      </w:r>
    </w:p>
    <w:p>
      <w:pPr>
        <w:spacing w:after="40"/>
        <w:ind w:left="360"/>
      </w:pPr>
      <w:r>
        <w:rPr>
          <w:rFonts w:ascii="Calibri" w:hAnsi="Calibri"/>
          <w:sz w:val="20"/>
        </w:rPr>
        <w:t>C. Automatic promotion prior to course commencement</w:t>
      </w:r>
    </w:p>
    <w:p>
      <w:pPr>
        <w:spacing w:after="40"/>
        <w:ind w:left="360"/>
      </w:pPr>
      <w:r>
        <w:rPr>
          <w:rFonts w:ascii="Calibri" w:hAnsi="Calibri"/>
          <w:sz w:val="20"/>
        </w:rPr>
        <w:t>D. Exclusion of part-time employees</w:t>
      </w:r>
    </w:p>
    <w:p>
      <w:pPr>
        <w:keepNext/>
        <w:spacing w:after="60"/>
      </w:pPr>
      <w:r>
        <w:rPr>
          <w:rFonts w:ascii="Calibri" w:hAnsi="Calibri"/>
          <w:b/>
          <w:sz w:val="21"/>
        </w:rPr>
        <w:t>3. In performance management, which evaluation model incorporates feedback from supervisors, peers, subordinates, and sometimes clients to provide a holistic view of performance?</w:t>
      </w:r>
    </w:p>
    <w:p>
      <w:pPr>
        <w:spacing w:after="40"/>
        <w:ind w:left="360"/>
      </w:pPr>
      <w:r>
        <w:rPr>
          <w:rFonts w:ascii="Calibri" w:hAnsi="Calibri"/>
          <w:sz w:val="20"/>
        </w:rPr>
        <w:t>A. Forced Distribution Method</w:t>
      </w:r>
    </w:p>
    <w:p>
      <w:pPr>
        <w:spacing w:after="40"/>
        <w:ind w:left="360"/>
      </w:pPr>
      <w:r>
        <w:rPr>
          <w:rFonts w:ascii="Calibri" w:hAnsi="Calibri"/>
          <w:sz w:val="20"/>
        </w:rPr>
        <w:t>B. 360-Degree Feedback</w:t>
      </w:r>
    </w:p>
    <w:p>
      <w:pPr>
        <w:spacing w:after="40"/>
        <w:ind w:left="360"/>
      </w:pPr>
      <w:r>
        <w:rPr>
          <w:rFonts w:ascii="Calibri" w:hAnsi="Calibri"/>
          <w:sz w:val="20"/>
        </w:rPr>
        <w:t>C. Graphic Rating Scale</w:t>
      </w:r>
    </w:p>
    <w:p>
      <w:pPr>
        <w:spacing w:after="40"/>
        <w:ind w:left="360"/>
      </w:pPr>
      <w:r>
        <w:rPr>
          <w:rFonts w:ascii="Calibri" w:hAnsi="Calibri"/>
          <w:sz w:val="20"/>
        </w:rPr>
        <w:t>D. Behavioral Observation Scale</w:t>
      </w:r>
    </w:p>
    <w:p>
      <w:pPr>
        <w:keepNext/>
        <w:spacing w:after="60"/>
      </w:pPr>
      <w:r>
        <w:rPr>
          <w:rFonts w:ascii="Calibri" w:hAnsi="Calibri"/>
          <w:b/>
          <w:sz w:val="21"/>
        </w:rPr>
        <w:t>4. Which quality council is legally responsible for the accreditation and quality assurance of occupational qualifications and skills programmes under the NQF in South Africa?</w:t>
      </w:r>
    </w:p>
    <w:p>
      <w:pPr>
        <w:spacing w:after="40"/>
        <w:ind w:left="360"/>
      </w:pPr>
      <w:r>
        <w:rPr>
          <w:rFonts w:ascii="Calibri" w:hAnsi="Calibri"/>
          <w:sz w:val="20"/>
        </w:rPr>
        <w:t>A. CHE (Council on Higher Education)</w:t>
      </w:r>
    </w:p>
    <w:p>
      <w:pPr>
        <w:spacing w:after="40"/>
        <w:ind w:left="360"/>
      </w:pPr>
      <w:r>
        <w:rPr>
          <w:rFonts w:ascii="Calibri" w:hAnsi="Calibri"/>
          <w:sz w:val="20"/>
        </w:rPr>
        <w:t>B. UMALUSI</w:t>
      </w:r>
    </w:p>
    <w:p>
      <w:pPr>
        <w:spacing w:after="40"/>
        <w:ind w:left="360"/>
      </w:pPr>
      <w:r>
        <w:rPr>
          <w:rFonts w:ascii="Calibri" w:hAnsi="Calibri"/>
          <w:sz w:val="20"/>
        </w:rPr>
        <w:t>C. QCTO (Quality Council for Trades and Occupations)</w:t>
      </w:r>
    </w:p>
    <w:p>
      <w:pPr>
        <w:spacing w:after="40"/>
        <w:ind w:left="360"/>
      </w:pPr>
      <w:r>
        <w:rPr>
          <w:rFonts w:ascii="Calibri" w:hAnsi="Calibri"/>
          <w:sz w:val="20"/>
        </w:rPr>
        <w:t>D. SAQA</w:t>
      </w:r>
    </w:p>
    <w:p>
      <w:pPr>
        <w:keepNext/>
        <w:spacing w:after="60"/>
      </w:pPr>
      <w:r>
        <w:rPr>
          <w:rFonts w:ascii="Calibri" w:hAnsi="Calibri"/>
          <w:b/>
          <w:sz w:val="21"/>
        </w:rPr>
        <w:t>5. In the Kirkpatrick Taxonomy of Training Evaluation, Level 3 focuses on measuring:</w:t>
      </w:r>
    </w:p>
    <w:p>
      <w:pPr>
        <w:spacing w:after="40"/>
        <w:ind w:left="360"/>
      </w:pPr>
      <w:r>
        <w:rPr>
          <w:rFonts w:ascii="Calibri" w:hAnsi="Calibri"/>
          <w:sz w:val="20"/>
        </w:rPr>
        <w:t>A. Participant reaction and satisfaction with the course</w:t>
      </w:r>
    </w:p>
    <w:p>
      <w:pPr>
        <w:spacing w:after="40"/>
        <w:ind w:left="360"/>
      </w:pPr>
      <w:r>
        <w:rPr>
          <w:rFonts w:ascii="Calibri" w:hAnsi="Calibri"/>
          <w:sz w:val="20"/>
        </w:rPr>
        <w:t>B. Knowledge acquisition and learning passed on tests</w:t>
      </w:r>
    </w:p>
    <w:p>
      <w:pPr>
        <w:spacing w:after="40"/>
        <w:ind w:left="360"/>
      </w:pPr>
      <w:r>
        <w:rPr>
          <w:rFonts w:ascii="Calibri" w:hAnsi="Calibri"/>
          <w:sz w:val="20"/>
        </w:rPr>
        <w:t>C. Job behavior change and transfer of learning to the workplace</w:t>
      </w:r>
    </w:p>
    <w:p>
      <w:pPr>
        <w:spacing w:after="40"/>
        <w:ind w:left="360"/>
      </w:pPr>
      <w:r>
        <w:rPr>
          <w:rFonts w:ascii="Calibri" w:hAnsi="Calibri"/>
          <w:sz w:val="20"/>
        </w:rPr>
        <w:t>D. Final business results and financial return on investment</w:t>
      </w:r>
    </w:p>
    <w:p>
      <w:pPr>
        <w:keepNext/>
        <w:spacing w:after="60"/>
      </w:pPr>
      <w:r>
        <w:rPr>
          <w:rFonts w:ascii="Calibri" w:hAnsi="Calibri"/>
          <w:b/>
          <w:sz w:val="21"/>
        </w:rPr>
        <w:t>6. According to SABPP Reward and Recognition Standards, an effective Total Rewards framework encompasses:</w:t>
      </w:r>
    </w:p>
    <w:p>
      <w:pPr>
        <w:spacing w:after="40"/>
        <w:ind w:left="360"/>
      </w:pPr>
      <w:r>
        <w:rPr>
          <w:rFonts w:ascii="Calibri" w:hAnsi="Calibri"/>
          <w:sz w:val="20"/>
        </w:rPr>
        <w:t>A. Base pay and cash bonuses only</w:t>
      </w:r>
    </w:p>
    <w:p>
      <w:pPr>
        <w:spacing w:after="40"/>
        <w:ind w:left="360"/>
      </w:pPr>
      <w:r>
        <w:rPr>
          <w:rFonts w:ascii="Calibri" w:hAnsi="Calibri"/>
          <w:sz w:val="20"/>
        </w:rPr>
        <w:t>B. Monetary compensation, non-monetary recognition, employee benefits, wellness, and growth opportunities</w:t>
      </w:r>
    </w:p>
    <w:p>
      <w:pPr>
        <w:spacing w:after="40"/>
        <w:ind w:left="360"/>
      </w:pPr>
      <w:r>
        <w:rPr>
          <w:rFonts w:ascii="Calibri" w:hAnsi="Calibri"/>
          <w:sz w:val="20"/>
        </w:rPr>
        <w:t>C. Mandatory overtime pay only</w:t>
      </w:r>
    </w:p>
    <w:p>
      <w:pPr>
        <w:spacing w:after="40"/>
        <w:ind w:left="360"/>
      </w:pPr>
      <w:r>
        <w:rPr>
          <w:rFonts w:ascii="Calibri" w:hAnsi="Calibri"/>
          <w:sz w:val="20"/>
        </w:rPr>
        <w:t>D. Annual holiday gifts without performance linkage</w:t>
      </w:r>
    </w:p>
    <w:p>
      <w:pPr>
        <w:keepNext/>
        <w:spacing w:after="60"/>
      </w:pPr>
      <w:r>
        <w:rPr>
          <w:rFonts w:ascii="Calibri" w:hAnsi="Calibri"/>
          <w:b/>
          <w:sz w:val="21"/>
        </w:rPr>
        <w:t>7. What is the primary purpose of conducting a Training Needs Analysis (TNA) at the person level?</w:t>
      </w:r>
    </w:p>
    <w:p>
      <w:pPr>
        <w:spacing w:after="40"/>
        <w:ind w:left="360"/>
      </w:pPr>
      <w:r>
        <w:rPr>
          <w:rFonts w:ascii="Calibri" w:hAnsi="Calibri"/>
          <w:sz w:val="20"/>
        </w:rPr>
        <w:t>A. To evaluate the national Sector Skills Plan (SSP) published by the SETA</w:t>
      </w:r>
    </w:p>
    <w:p>
      <w:pPr>
        <w:spacing w:after="40"/>
        <w:ind w:left="360"/>
      </w:pPr>
      <w:r>
        <w:rPr>
          <w:rFonts w:ascii="Calibri" w:hAnsi="Calibri"/>
          <w:sz w:val="20"/>
        </w:rPr>
        <w:t>B. To identify specific performance gaps in knowledge, skills, or attitudes for individual employees</w:t>
      </w:r>
    </w:p>
    <w:p>
      <w:pPr>
        <w:spacing w:after="40"/>
        <w:ind w:left="360"/>
      </w:pPr>
      <w:r>
        <w:rPr>
          <w:rFonts w:ascii="Calibri" w:hAnsi="Calibri"/>
          <w:sz w:val="20"/>
        </w:rPr>
        <w:t>C. To calculate the company's B-BBEE ownership score</w:t>
      </w:r>
    </w:p>
    <w:p>
      <w:pPr>
        <w:spacing w:after="40"/>
        <w:ind w:left="360"/>
      </w:pPr>
      <w:r>
        <w:rPr>
          <w:rFonts w:ascii="Calibri" w:hAnsi="Calibri"/>
          <w:sz w:val="20"/>
        </w:rPr>
        <w:t>D. To negotiate minimum wage thresholds with trade unions</w:t>
      </w:r>
    </w:p>
    <w:p>
      <w:pPr>
        <w:keepNext/>
        <w:spacing w:after="60"/>
      </w:pPr>
      <w:r>
        <w:rPr>
          <w:rFonts w:ascii="Calibri" w:hAnsi="Calibri"/>
          <w:b/>
          <w:sz w:val="21"/>
        </w:rPr>
        <w:t>8. In Kurt Lewin's classic 3-stage Change Management Model, the stage focused on driving behavioral change and adopting new practices is called:</w:t>
      </w:r>
    </w:p>
    <w:p>
      <w:pPr>
        <w:spacing w:after="40"/>
        <w:ind w:left="360"/>
      </w:pPr>
      <w:r>
        <w:rPr>
          <w:rFonts w:ascii="Calibri" w:hAnsi="Calibri"/>
          <w:sz w:val="20"/>
        </w:rPr>
        <w:t>A. Unfreezing</w:t>
      </w:r>
    </w:p>
    <w:p>
      <w:pPr>
        <w:spacing w:after="40"/>
        <w:ind w:left="360"/>
      </w:pPr>
      <w:r>
        <w:rPr>
          <w:rFonts w:ascii="Calibri" w:hAnsi="Calibri"/>
          <w:sz w:val="20"/>
        </w:rPr>
        <w:t>B. Change (or Moving)</w:t>
      </w:r>
    </w:p>
    <w:p>
      <w:pPr>
        <w:spacing w:after="40"/>
        <w:ind w:left="360"/>
      </w:pPr>
      <w:r>
        <w:rPr>
          <w:rFonts w:ascii="Calibri" w:hAnsi="Calibri"/>
          <w:sz w:val="20"/>
        </w:rPr>
        <w:t>C. Refreezing</w:t>
      </w:r>
    </w:p>
    <w:p>
      <w:pPr>
        <w:spacing w:after="40"/>
        <w:ind w:left="360"/>
      </w:pPr>
      <w:r>
        <w:rPr>
          <w:rFonts w:ascii="Calibri" w:hAnsi="Calibri"/>
          <w:sz w:val="20"/>
        </w:rPr>
        <w:t>D. Calibration</w:t>
      </w:r>
    </w:p>
    <w:p>
      <w:pPr>
        <w:keepNext/>
        <w:spacing w:after="60"/>
      </w:pPr>
      <w:r>
        <w:rPr>
          <w:rFonts w:ascii="Calibri" w:hAnsi="Calibri"/>
          <w:b/>
          <w:sz w:val="21"/>
        </w:rPr>
        <w:t>9. Which tool is used in career management to help individuals understand their deep-seated underlying motivations and values guiding their career choices?</w:t>
      </w:r>
    </w:p>
    <w:p>
      <w:pPr>
        <w:spacing w:after="40"/>
        <w:ind w:left="360"/>
      </w:pPr>
      <w:r>
        <w:rPr>
          <w:rFonts w:ascii="Calibri" w:hAnsi="Calibri"/>
          <w:sz w:val="20"/>
        </w:rPr>
        <w:t>A. Career Anchors (Schein)</w:t>
      </w:r>
    </w:p>
    <w:p>
      <w:pPr>
        <w:spacing w:after="40"/>
        <w:ind w:left="360"/>
      </w:pPr>
      <w:r>
        <w:rPr>
          <w:rFonts w:ascii="Calibri" w:hAnsi="Calibri"/>
          <w:sz w:val="20"/>
        </w:rPr>
        <w:t>B. Balanced Scorecard</w:t>
      </w:r>
    </w:p>
    <w:p>
      <w:pPr>
        <w:spacing w:after="40"/>
        <w:ind w:left="360"/>
      </w:pPr>
      <w:r>
        <w:rPr>
          <w:rFonts w:ascii="Calibri" w:hAnsi="Calibri"/>
          <w:sz w:val="20"/>
        </w:rPr>
        <w:t>C. Force Field Analysis</w:t>
      </w:r>
    </w:p>
    <w:p>
      <w:pPr>
        <w:spacing w:after="40"/>
        <w:ind w:left="360"/>
      </w:pPr>
      <w:r>
        <w:rPr>
          <w:rFonts w:ascii="Calibri" w:hAnsi="Calibri"/>
          <w:sz w:val="20"/>
        </w:rPr>
        <w:t>D. Organogram</w:t>
      </w:r>
    </w:p>
    <w:p>
      <w:pPr>
        <w:keepNext/>
        <w:spacing w:after="60"/>
      </w:pPr>
      <w:r>
        <w:rPr>
          <w:rFonts w:ascii="Calibri" w:hAnsi="Calibri"/>
          <w:b/>
          <w:sz w:val="21"/>
        </w:rPr>
        <w:t>10. Under the Skills Development Levies Act, an employer is obligated to pay the 1% Skills Development Levy (SDL) to SARS if their annual payroll exceeds:</w:t>
      </w:r>
    </w:p>
    <w:p>
      <w:pPr>
        <w:spacing w:after="40"/>
        <w:ind w:left="360"/>
      </w:pPr>
      <w:r>
        <w:rPr>
          <w:rFonts w:ascii="Calibri" w:hAnsi="Calibri"/>
          <w:sz w:val="20"/>
        </w:rPr>
        <w:t>A. R150,000</w:t>
      </w:r>
    </w:p>
    <w:p>
      <w:pPr>
        <w:spacing w:after="40"/>
        <w:ind w:left="360"/>
      </w:pPr>
      <w:r>
        <w:rPr>
          <w:rFonts w:ascii="Calibri" w:hAnsi="Calibri"/>
          <w:sz w:val="20"/>
        </w:rPr>
        <w:t>B. R250,000</w:t>
      </w:r>
    </w:p>
    <w:p>
      <w:pPr>
        <w:spacing w:after="40"/>
        <w:ind w:left="360"/>
      </w:pPr>
      <w:r>
        <w:rPr>
          <w:rFonts w:ascii="Calibri" w:hAnsi="Calibri"/>
          <w:sz w:val="20"/>
        </w:rPr>
        <w:t>C. R500,000</w:t>
      </w:r>
    </w:p>
    <w:p>
      <w:pPr>
        <w:spacing w:after="40"/>
        <w:ind w:left="360"/>
      </w:pPr>
      <w:r>
        <w:rPr>
          <w:rFonts w:ascii="Calibri" w:hAnsi="Calibri"/>
          <w:sz w:val="20"/>
        </w:rPr>
        <w:t>D. R1,000,000</w:t>
      </w:r>
    </w:p>
    <w:p>
      <w:pPr>
        <w:keepNext/>
        <w:spacing w:after="60"/>
      </w:pPr>
      <w:r>
        <w:rPr>
          <w:rFonts w:ascii="Calibri" w:hAnsi="Calibri"/>
          <w:b/>
          <w:sz w:val="21"/>
        </w:rPr>
        <w:t>11. In Organisational Development (OD), Appreciative Inquiry (AI) is an approach that primarily focuses on:</w:t>
      </w:r>
    </w:p>
    <w:p>
      <w:pPr>
        <w:spacing w:after="40"/>
        <w:ind w:left="360"/>
      </w:pPr>
      <w:r>
        <w:rPr>
          <w:rFonts w:ascii="Calibri" w:hAnsi="Calibri"/>
          <w:sz w:val="20"/>
        </w:rPr>
        <w:t>A. Identifying employee misconduct and applying progressive discipline</w:t>
      </w:r>
    </w:p>
    <w:p>
      <w:pPr>
        <w:spacing w:after="40"/>
        <w:ind w:left="360"/>
      </w:pPr>
      <w:r>
        <w:rPr>
          <w:rFonts w:ascii="Calibri" w:hAnsi="Calibri"/>
          <w:sz w:val="20"/>
        </w:rPr>
        <w:t>B. Identifying and leveraging existing organizational strengths and core successes to drive positive change</w:t>
      </w:r>
    </w:p>
    <w:p>
      <w:pPr>
        <w:spacing w:after="40"/>
        <w:ind w:left="360"/>
      </w:pPr>
      <w:r>
        <w:rPr>
          <w:rFonts w:ascii="Calibri" w:hAnsi="Calibri"/>
          <w:sz w:val="20"/>
        </w:rPr>
        <w:t>C. Restructuring the company to reduce headcount</w:t>
      </w:r>
    </w:p>
    <w:p>
      <w:pPr>
        <w:spacing w:after="40"/>
        <w:ind w:left="360"/>
      </w:pPr>
      <w:r>
        <w:rPr>
          <w:rFonts w:ascii="Calibri" w:hAnsi="Calibri"/>
          <w:sz w:val="20"/>
        </w:rPr>
        <w:t>D. Conducting financial tax audits</w:t>
      </w:r>
    </w:p>
    <w:p>
      <w:pPr>
        <w:keepNext/>
        <w:spacing w:after="60"/>
      </w:pPr>
      <w:r>
        <w:rPr>
          <w:rFonts w:ascii="Calibri" w:hAnsi="Calibri"/>
          <w:b/>
          <w:sz w:val="21"/>
        </w:rPr>
        <w:t>12. Which digital learning technology immerses users completely in a 3D computer-generated environment using specialized headsets?</w:t>
      </w:r>
    </w:p>
    <w:p>
      <w:pPr>
        <w:spacing w:after="40"/>
        <w:ind w:left="360"/>
      </w:pPr>
      <w:r>
        <w:rPr>
          <w:rFonts w:ascii="Calibri" w:hAnsi="Calibri"/>
          <w:sz w:val="20"/>
        </w:rPr>
        <w:t>A. Augmented Reality (AR)</w:t>
      </w:r>
    </w:p>
    <w:p>
      <w:pPr>
        <w:spacing w:after="40"/>
        <w:ind w:left="360"/>
      </w:pPr>
      <w:r>
        <w:rPr>
          <w:rFonts w:ascii="Calibri" w:hAnsi="Calibri"/>
          <w:sz w:val="20"/>
        </w:rPr>
        <w:t>B. Virtual Reality (VR)</w:t>
      </w:r>
    </w:p>
    <w:p>
      <w:pPr>
        <w:spacing w:after="40"/>
        <w:ind w:left="360"/>
      </w:pPr>
      <w:r>
        <w:rPr>
          <w:rFonts w:ascii="Calibri" w:hAnsi="Calibri"/>
          <w:sz w:val="20"/>
        </w:rPr>
        <w:t>C. Microlearning podcasts</w:t>
      </w:r>
    </w:p>
    <w:p>
      <w:pPr>
        <w:spacing w:after="40"/>
        <w:ind w:left="360"/>
      </w:pPr>
      <w:r>
        <w:rPr>
          <w:rFonts w:ascii="Calibri" w:hAnsi="Calibri"/>
          <w:sz w:val="20"/>
        </w:rPr>
        <w:t>D. Static PDF e-books</w:t>
      </w:r>
    </w:p>
    <w:p>
      <w:pPr>
        <w:keepNext/>
        <w:spacing w:after="60"/>
      </w:pPr>
      <w:r>
        <w:rPr>
          <w:rFonts w:ascii="Calibri" w:hAnsi="Calibri"/>
          <w:b/>
          <w:sz w:val="21"/>
        </w:rPr>
        <w:t>13. What is the main objective of a Performance Improvement Plan (PIP)?</w:t>
      </w:r>
    </w:p>
    <w:p>
      <w:pPr>
        <w:spacing w:after="40"/>
        <w:ind w:left="360"/>
      </w:pPr>
      <w:r>
        <w:rPr>
          <w:rFonts w:ascii="Calibri" w:hAnsi="Calibri"/>
          <w:sz w:val="20"/>
        </w:rPr>
        <w:t>A. To immediately terminate an employee's employment contract</w:t>
      </w:r>
    </w:p>
    <w:p>
      <w:pPr>
        <w:spacing w:after="40"/>
        <w:ind w:left="360"/>
      </w:pPr>
      <w:r>
        <w:rPr>
          <w:rFonts w:ascii="Calibri" w:hAnsi="Calibri"/>
          <w:sz w:val="20"/>
        </w:rPr>
        <w:t>B. To document specific performance deficiencies and provide structured support and timeframes for course correction</w:t>
      </w:r>
    </w:p>
    <w:p>
      <w:pPr>
        <w:spacing w:after="40"/>
        <w:ind w:left="360"/>
      </w:pPr>
      <w:r>
        <w:rPr>
          <w:rFonts w:ascii="Calibri" w:hAnsi="Calibri"/>
          <w:sz w:val="20"/>
        </w:rPr>
        <w:t>C. To reduce an employee's basic salary by 30%</w:t>
      </w:r>
    </w:p>
    <w:p>
      <w:pPr>
        <w:spacing w:after="40"/>
        <w:ind w:left="360"/>
      </w:pPr>
      <w:r>
        <w:rPr>
          <w:rFonts w:ascii="Calibri" w:hAnsi="Calibri"/>
          <w:sz w:val="20"/>
        </w:rPr>
        <w:t>D. To bypass the Labour Relations Act code of good practice on dismissal</w:t>
      </w:r>
    </w:p>
    <w:p>
      <w:pPr>
        <w:keepNext/>
        <w:spacing w:after="60"/>
      </w:pPr>
      <w:r>
        <w:rPr>
          <w:rFonts w:ascii="Calibri" w:hAnsi="Calibri"/>
          <w:b/>
          <w:sz w:val="21"/>
        </w:rPr>
        <w:t>14. An Employee Assistance Program (EAP) within an Organisational Wellness strategy primarily provides:</w:t>
      </w:r>
    </w:p>
    <w:p>
      <w:pPr>
        <w:spacing w:after="40"/>
        <w:ind w:left="360"/>
      </w:pPr>
      <w:r>
        <w:rPr>
          <w:rFonts w:ascii="Calibri" w:hAnsi="Calibri"/>
          <w:sz w:val="20"/>
        </w:rPr>
        <w:t>A. Financial auditing of company books</w:t>
      </w:r>
    </w:p>
    <w:p>
      <w:pPr>
        <w:spacing w:after="40"/>
        <w:ind w:left="360"/>
      </w:pPr>
      <w:r>
        <w:rPr>
          <w:rFonts w:ascii="Calibri" w:hAnsi="Calibri"/>
          <w:sz w:val="20"/>
        </w:rPr>
        <w:t>B. Confidential counseling, mental health, and referral services to support employees facing personal or work-related challenges</w:t>
      </w:r>
    </w:p>
    <w:p>
      <w:pPr>
        <w:spacing w:after="40"/>
        <w:ind w:left="360"/>
      </w:pPr>
      <w:r>
        <w:rPr>
          <w:rFonts w:ascii="Calibri" w:hAnsi="Calibri"/>
          <w:sz w:val="20"/>
        </w:rPr>
        <w:t>C. Mandatory overtime scheduling</w:t>
      </w:r>
    </w:p>
    <w:p>
      <w:pPr>
        <w:spacing w:after="40"/>
        <w:ind w:left="360"/>
      </w:pPr>
      <w:r>
        <w:rPr>
          <w:rFonts w:ascii="Calibri" w:hAnsi="Calibri"/>
          <w:sz w:val="20"/>
        </w:rPr>
        <w:t>D. Disciplinary hearing representation for management</w:t>
      </w:r>
    </w:p>
    <w:p>
      <w:pPr>
        <w:keepNext/>
        <w:spacing w:after="60"/>
      </w:pPr>
      <w:r>
        <w:rPr>
          <w:rFonts w:ascii="Calibri" w:hAnsi="Calibri"/>
          <w:b/>
          <w:sz w:val="21"/>
        </w:rPr>
        <w:t>15. According to SABPP Learning and Development Standards, an Individual Development Plan (IDP) should be compiled based on:</w:t>
      </w:r>
    </w:p>
    <w:p>
      <w:pPr>
        <w:spacing w:after="40"/>
        <w:ind w:left="360"/>
      </w:pPr>
      <w:r>
        <w:rPr>
          <w:rFonts w:ascii="Calibri" w:hAnsi="Calibri"/>
          <w:sz w:val="20"/>
        </w:rPr>
        <w:t>A. Arbitrary manager preferences without employee consultation</w:t>
      </w:r>
    </w:p>
    <w:p>
      <w:pPr>
        <w:spacing w:after="40"/>
        <w:ind w:left="360"/>
      </w:pPr>
      <w:r>
        <w:rPr>
          <w:rFonts w:ascii="Calibri" w:hAnsi="Calibri"/>
          <w:sz w:val="20"/>
        </w:rPr>
        <w:t>B. Alignment between individual career goals, performance review gaps, and organizational business requirements</w:t>
      </w:r>
    </w:p>
    <w:p>
      <w:pPr>
        <w:spacing w:after="40"/>
        <w:ind w:left="360"/>
      </w:pPr>
      <w:r>
        <w:rPr>
          <w:rFonts w:ascii="Calibri" w:hAnsi="Calibri"/>
          <w:sz w:val="20"/>
        </w:rPr>
        <w:t>C. Social media popularity polls</w:t>
      </w:r>
    </w:p>
    <w:p>
      <w:pPr>
        <w:spacing w:after="40"/>
        <w:ind w:left="360"/>
      </w:pPr>
      <w:r>
        <w:rPr>
          <w:rFonts w:ascii="Calibri" w:hAnsi="Calibri"/>
          <w:sz w:val="20"/>
        </w:rPr>
        <w:t>D. Length of service regardless of performance</w:t>
      </w:r>
    </w:p>
    <w:p>
      <w:pPr>
        <w:spacing w:after="200"/>
      </w:pPr>
    </w:p>
    <w:p>
      <w:pPr>
        <w:keepNext/>
        <w:spacing w:before="320" w:after="120"/>
      </w:pPr>
      <w:r>
        <w:rPr>
          <w:rFonts w:ascii="Arial" w:hAnsi="Arial"/>
          <w:b/>
          <w:color w:val="800020"/>
          <w:sz w:val="32"/>
        </w:rPr>
        <w:t>SECTION B: TRUE / FALSE WITH JUSTIFICATION (20 MARKS)</w:t>
      </w:r>
    </w:p>
    <w:p>
      <w:pPr>
        <w:spacing w:after="160" w:line="276" w:lineRule="auto"/>
      </w:pPr>
      <w:r>
        <w:rPr>
          <w:rFonts w:ascii="Calibri" w:hAnsi="Calibri"/>
          <w:b w:val="0"/>
          <w:i/>
          <w:color w:val="222222"/>
          <w:sz w:val="22"/>
        </w:rPr>
        <w:t>Instructions: State whether each statement is TRUE or FALSE, and provide a detailed technical justification citing relevant principles, policies, statutory frameworks (e.g., Skills Development Act, EEA, B-BBEE Act, BCEA) or SABPP standards. Allocation: 1 mark for correct True/False identification + 3 marks for comprehensive justification. Total: 4 marks each (5 Questions = 20 Marks).</w:t>
      </w:r>
    </w:p>
    <w:p>
      <w:pPr>
        <w:keepNext/>
        <w:spacing w:after="40"/>
      </w:pPr>
      <w:r>
        <w:rPr>
          <w:rFonts w:ascii="Calibri" w:hAnsi="Calibri"/>
          <w:b/>
          <w:sz w:val="21"/>
        </w:rPr>
        <w:t xml:space="preserve">Statement 1: </w:t>
      </w:r>
      <w:r>
        <w:rPr>
          <w:rFonts w:ascii="Calibri" w:hAnsi="Calibri"/>
          <w:i/>
          <w:sz w:val="21"/>
        </w:rPr>
        <w:t>"A Workplace Skills Plan (WSP) and Annual Training Report (ATR) can be submitted at any time during the financial year to qualify for SETA mandatory grants, as SETAs do not enforce annual submission deadlines." [4 Marks]</w:t>
      </w:r>
    </w:p>
    <w:p>
      <w:pPr>
        <w:spacing w:after="160"/>
        <w:ind w:left="288"/>
      </w:pPr>
      <w:r>
        <w:rPr>
          <w:rFonts w:ascii="Calibri" w:hAnsi="Calibri"/>
          <w:color w:val="787878"/>
          <w:sz w:val="19"/>
        </w:rPr>
        <w:t>Indicate True/False: ____________________</w:t>
        <w:br/>
        <w:t>Justification: 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keepNext/>
        <w:spacing w:after="40"/>
      </w:pPr>
      <w:r>
        <w:rPr>
          <w:rFonts w:ascii="Calibri" w:hAnsi="Calibri"/>
          <w:b/>
          <w:sz w:val="21"/>
        </w:rPr>
        <w:t xml:space="preserve">Statement 2: </w:t>
      </w:r>
      <w:r>
        <w:rPr>
          <w:rFonts w:ascii="Calibri" w:hAnsi="Calibri"/>
          <w:i/>
          <w:sz w:val="21"/>
        </w:rPr>
        <w:t>"According to South African labour principles and SABPP Performance Management Standards, a Performance Improvement Plan (PIP) should be used as a supportive developmental intervention before taking formal disciplinary action for incapacity due to substandard performance." [4 Marks]</w:t>
      </w:r>
    </w:p>
    <w:p>
      <w:pPr>
        <w:spacing w:after="160"/>
        <w:ind w:left="288"/>
      </w:pPr>
      <w:r>
        <w:rPr>
          <w:rFonts w:ascii="Calibri" w:hAnsi="Calibri"/>
          <w:color w:val="787878"/>
          <w:sz w:val="19"/>
        </w:rPr>
        <w:t>Indicate True/False: ____________________</w:t>
        <w:br/>
        <w:t>Justification: 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keepNext/>
        <w:spacing w:after="40"/>
      </w:pPr>
      <w:r>
        <w:rPr>
          <w:rFonts w:ascii="Calibri" w:hAnsi="Calibri"/>
          <w:b/>
          <w:sz w:val="21"/>
        </w:rPr>
        <w:t xml:space="preserve">Statement 3: </w:t>
      </w:r>
      <w:r>
        <w:rPr>
          <w:rFonts w:ascii="Calibri" w:hAnsi="Calibri"/>
          <w:i/>
          <w:sz w:val="21"/>
        </w:rPr>
        <w:t>"Under the B-BBEE Act Codes of Good Practice, expenditure on Skills Development for black employees is an optional element that carries zero weight in an organisation's overall B-BBEE scorecard." [4 Marks]</w:t>
      </w:r>
    </w:p>
    <w:p>
      <w:pPr>
        <w:spacing w:after="160"/>
        <w:ind w:left="288"/>
      </w:pPr>
      <w:r>
        <w:rPr>
          <w:rFonts w:ascii="Calibri" w:hAnsi="Calibri"/>
          <w:color w:val="787878"/>
          <w:sz w:val="19"/>
        </w:rPr>
        <w:t>Indicate True/False: ____________________</w:t>
        <w:br/>
        <w:t>Justification: 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keepNext/>
        <w:spacing w:after="40"/>
      </w:pPr>
      <w:r>
        <w:rPr>
          <w:rFonts w:ascii="Calibri" w:hAnsi="Calibri"/>
          <w:b/>
          <w:sz w:val="21"/>
        </w:rPr>
        <w:t xml:space="preserve">Statement 4: </w:t>
      </w:r>
      <w:r>
        <w:rPr>
          <w:rFonts w:ascii="Calibri" w:hAnsi="Calibri"/>
          <w:i/>
          <w:sz w:val="21"/>
        </w:rPr>
        <w:t>"An Employer Value Proposition (EVP) and Rewards Strategy should incorporate both monetary compensation and non-monetary recognition to effectively drive employee engagement and retention." [4 Marks]</w:t>
      </w:r>
    </w:p>
    <w:p>
      <w:pPr>
        <w:spacing w:after="160"/>
        <w:ind w:left="288"/>
      </w:pPr>
      <w:r>
        <w:rPr>
          <w:rFonts w:ascii="Calibri" w:hAnsi="Calibri"/>
          <w:color w:val="787878"/>
          <w:sz w:val="19"/>
        </w:rPr>
        <w:t>Indicate True/False: ____________________</w:t>
        <w:br/>
        <w:t>Justification: 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keepNext/>
        <w:spacing w:after="40"/>
      </w:pPr>
      <w:r>
        <w:rPr>
          <w:rFonts w:ascii="Calibri" w:hAnsi="Calibri"/>
          <w:b/>
          <w:sz w:val="21"/>
        </w:rPr>
        <w:t xml:space="preserve">Statement 5: </w:t>
      </w:r>
      <w:r>
        <w:rPr>
          <w:rFonts w:ascii="Calibri" w:hAnsi="Calibri"/>
          <w:i/>
          <w:sz w:val="21"/>
        </w:rPr>
        <w:t>"Organisational Development (OD) is a one-off HR project that focuses exclusively on fixing individual employee personality clashes without altering systemic organisational processes or culture." [4 Marks]</w:t>
      </w:r>
    </w:p>
    <w:p>
      <w:pPr>
        <w:spacing w:after="160"/>
        <w:ind w:left="288"/>
      </w:pPr>
      <w:r>
        <w:rPr>
          <w:rFonts w:ascii="Calibri" w:hAnsi="Calibri"/>
          <w:color w:val="787878"/>
          <w:sz w:val="19"/>
        </w:rPr>
        <w:t>Indicate True/False: ____________________</w:t>
        <w:br/>
        <w:t>Justification: 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spacing w:after="200"/>
      </w:pPr>
    </w:p>
    <w:p>
      <w:pPr>
        <w:keepNext/>
        <w:spacing w:before="320" w:after="120"/>
      </w:pPr>
      <w:r>
        <w:rPr>
          <w:rFonts w:ascii="Arial" w:hAnsi="Arial"/>
          <w:b/>
          <w:color w:val="800020"/>
          <w:sz w:val="32"/>
        </w:rPr>
        <w:t>CASE STUDY SCENARIO: KANYISA RENEWABLE ENERGY SOLUTIONS</w:t>
      </w:r>
    </w:p>
    <w:tbl>
      <w:tblPr>
        <w:tblW w:type="auto" w:w="0"/>
        <w:jc w:val="center"/>
        <w:tblLook w:firstColumn="1" w:firstRow="1" w:lastColumn="0" w:lastRow="0" w:noHBand="0" w:noVBand="1" w:val="04A0"/>
      </w:tblPr>
      <w:tblGrid>
        <w:gridCol w:w="9360"/>
      </w:tblGrid>
      <w:tr>
        <w:tc>
          <w:tcPr>
            <w:tcW w:type="dxa" w:w="9360"/>
            <w:shd w:fill="FAFAFA"/>
            <w:tcMar>
              <w:top w:w="140" w:type="dxa"/>
              <w:bottom w:w="140" w:type="dxa"/>
              <w:left w:w="180" w:type="dxa"/>
              <w:right w:w="180" w:type="dxa"/>
            </w:tcMar>
          </w:tcPr>
          <w:p>
            <w:pPr>
              <w:spacing w:after="80"/>
            </w:pPr>
            <w:r>
              <w:rPr>
                <w:rFonts w:ascii="Arial" w:hAnsi="Arial"/>
                <w:b/>
                <w:color w:val="800020"/>
                <w:sz w:val="22"/>
              </w:rPr>
              <w:t>ORGANISATIONAL CONTEXT: KANYISA RENEWABLE ENERGY SOLUTIONS (SOWETO, GAUTENG)</w:t>
              <w:br/>
            </w:r>
          </w:p>
          <w:p>
            <w:pPr>
              <w:spacing w:after="0" w:line="276" w:lineRule="auto"/>
            </w:pPr>
            <w:r>
              <w:rPr>
                <w:rFonts w:ascii="Calibri" w:hAnsi="Calibri"/>
                <w:sz w:val="20"/>
              </w:rPr>
              <w:t>Background: Kanyisa Renewable Energy Solutions is a rapidly growing South African solar assembly and green energy installation enterprise based in Soweto, Gauteng. Led by Managing Director Thabo Molefe and Chief Operations Officer Nomsa Dlamini, Kanyisa employs 450 permanent technical, assembly, sales, and administrative staff.</w:t>
              <w:br/>
              <w:br/>
              <w:t>Strategic Transformation &amp; Growth Intent: To capture expanding commercial solar contracts across Sub-Saharan Africa, Kanyisa is transitioning from manual assembly to a fully automated solar PV manufacturing line. This strategic shift requires upskilling 200 current assembly line workers, introducing new solar engineering competencies, and implementing a high-performance organizational culture.</w:t>
              <w:br/>
              <w:br/>
              <w:t>Current Operational &amp; HR Challenges:</w:t>
              <w:br/>
              <w:t>1. Critical Skills Gaps &amp; Technological Disruption: Assembly workers lack technical competence in operating automated robotics and digital quality testing tools, threatening project delivery deadlines.</w:t>
              <w:br/>
              <w:t>2. Inconsistent Performance Management &amp; Substandard Output: Line managers lack training in conducting objective performance appraisals, setting SMART goals, or managing substandard performance constructively.</w:t>
              <w:br/>
              <w:t>3. Low Employee Morale &amp; Reward Dissatisfaction: Employees express frustration over opaque reward structures, lack of career progression pathways, and high workplace stress during the technology transition.</w:t>
              <w:br/>
              <w:t>4. Compliance &amp; SETA Grant Risks: Kanyisa failed to submit its WSP/ATR to the EWSETA in the previous cycle, forfeiting mandatory grants and penalty points on its B-BBEE scorecard.</w:t>
            </w:r>
          </w:p>
        </w:tc>
      </w:tr>
    </w:tbl>
    <w:p>
      <w:pPr>
        <w:spacing w:after="200"/>
      </w:pPr>
    </w:p>
    <w:p>
      <w:pPr>
        <w:keepNext/>
        <w:spacing w:before="320" w:after="120"/>
      </w:pPr>
      <w:r>
        <w:rPr>
          <w:rFonts w:ascii="Arial" w:hAnsi="Arial"/>
          <w:b/>
          <w:color w:val="800020"/>
          <w:sz w:val="32"/>
        </w:rPr>
        <w:t>SECTION C: SCENARIO-BASED SHORT QUESTIONS (15 MARKS)</w:t>
      </w:r>
    </w:p>
    <w:p>
      <w:pPr>
        <w:spacing w:after="160" w:line="276" w:lineRule="auto"/>
      </w:pPr>
      <w:r>
        <w:rPr>
          <w:rFonts w:ascii="Calibri" w:hAnsi="Calibri"/>
          <w:b w:val="0"/>
          <w:i/>
          <w:color w:val="222222"/>
          <w:sz w:val="22"/>
        </w:rPr>
        <w:t>Instructions: Answer the following practical short questions based on the Kanyisa Renewable Energy Solutions scenario.</w:t>
      </w:r>
    </w:p>
    <w:p>
      <w:pPr>
        <w:keepNext/>
        <w:spacing w:after="40"/>
      </w:pPr>
      <w:r>
        <w:rPr>
          <w:rFonts w:ascii="Arial" w:hAnsi="Arial"/>
          <w:b/>
          <w:sz w:val="21"/>
        </w:rPr>
        <w:t xml:space="preserve">Question 1: Training Needs Analysis (TNA) &amp; SETA Grant Recovery </w:t>
      </w:r>
      <w:r>
        <w:rPr>
          <w:b/>
          <w:color w:val="A02018"/>
        </w:rPr>
        <w:t>[5 Marks]</w:t>
      </w:r>
    </w:p>
    <w:p>
      <w:pPr>
        <w:spacing w:after="120"/>
      </w:pPr>
      <w:r>
        <w:rPr>
          <w:rFonts w:ascii="Calibri" w:hAnsi="Calibri"/>
          <w:sz w:val="20"/>
        </w:rPr>
        <w:t>Outline the 3 levels of a Training Needs Analysis (Organisational, Occupational/Task, Person) for Kanyisa's automation transition. Explain how completing the TNA enables Kanyisa to submit a compliant WSP/ATR to EWSETA and claim mandatory grants.</w:t>
      </w:r>
    </w:p>
    <w:p>
      <w:pPr>
        <w:keepNext/>
        <w:spacing w:after="40"/>
      </w:pPr>
      <w:r>
        <w:rPr>
          <w:rFonts w:ascii="Arial" w:hAnsi="Arial"/>
          <w:b/>
          <w:sz w:val="21"/>
        </w:rPr>
        <w:t xml:space="preserve">Question 2: Managing Substandard Performance via PIP </w:t>
      </w:r>
      <w:r>
        <w:rPr>
          <w:b/>
          <w:color w:val="A02018"/>
        </w:rPr>
        <w:t>[5 Marks]</w:t>
      </w:r>
    </w:p>
    <w:p>
      <w:pPr>
        <w:spacing w:after="120"/>
      </w:pPr>
      <w:r>
        <w:rPr>
          <w:rFonts w:ascii="Calibri" w:hAnsi="Calibri"/>
          <w:sz w:val="20"/>
        </w:rPr>
        <w:t>Differentiate between managing misconduct and managing substandard performance under South African labour law. Detail the step-by-step process the HR Officer must facilitate to implement a compliant Performance Improvement Plan (PIP) for struggling assembly workers.</w:t>
      </w:r>
    </w:p>
    <w:p>
      <w:pPr>
        <w:keepNext/>
        <w:spacing w:after="40"/>
      </w:pPr>
      <w:r>
        <w:rPr>
          <w:rFonts w:ascii="Arial" w:hAnsi="Arial"/>
          <w:b/>
          <w:sz w:val="21"/>
        </w:rPr>
        <w:t xml:space="preserve">Question 3: Total Rewards &amp; Recognition Framework </w:t>
      </w:r>
      <w:r>
        <w:rPr>
          <w:b/>
          <w:color w:val="A02018"/>
        </w:rPr>
        <w:t>[5 Marks]</w:t>
      </w:r>
    </w:p>
    <w:p>
      <w:pPr>
        <w:spacing w:after="120"/>
      </w:pPr>
      <w:r>
        <w:rPr>
          <w:rFonts w:ascii="Calibri" w:hAnsi="Calibri"/>
          <w:sz w:val="20"/>
        </w:rPr>
        <w:t>Recommend a Total Rewards framework for Kanyisa that combines monetary incentives with non-monetary recognition to boost morale and support the new automated manufacturing environment.</w:t>
      </w:r>
    </w:p>
    <w:p>
      <w:pPr>
        <w:spacing w:after="200"/>
      </w:pPr>
    </w:p>
    <w:p>
      <w:pPr>
        <w:keepNext/>
        <w:spacing w:before="320" w:after="120"/>
      </w:pPr>
      <w:r>
        <w:rPr>
          <w:rFonts w:ascii="Arial" w:hAnsi="Arial"/>
          <w:b/>
          <w:color w:val="800020"/>
          <w:sz w:val="32"/>
        </w:rPr>
        <w:t>SECTION D: COMPREHENSIVE STRATEGIC LONG QUESTION (50 MARKS)</w:t>
      </w:r>
    </w:p>
    <w:p>
      <w:pPr>
        <w:spacing w:after="160" w:line="276" w:lineRule="auto"/>
      </w:pPr>
      <w:r>
        <w:rPr>
          <w:rFonts w:ascii="Calibri" w:hAnsi="Calibri"/>
          <w:b w:val="0"/>
          <w:i/>
          <w:color w:val="222222"/>
          <w:sz w:val="22"/>
        </w:rPr>
        <w:t>Instructions: Develop a comprehensive, professional L&amp;D and Organisational Growth Implementation Strategy for MD Thabo Molefe and COO Nomsa Dlamini. Your response must address all four core sub-sections thoroughly, aligning recommendations with SABPP Standards, South African Legislation (SDA, EEA, B-BBEE Act), and sound HRM theory.</w:t>
      </w:r>
    </w:p>
    <w:p>
      <w:pPr>
        <w:keepNext/>
        <w:spacing w:before="160" w:after="40"/>
      </w:pPr>
      <w:r>
        <w:rPr>
          <w:rFonts w:ascii="Arial" w:hAnsi="Arial"/>
          <w:b/>
          <w:sz w:val="22"/>
        </w:rPr>
        <w:t xml:space="preserve">SUB-SECTION D1: INTEGRATED LEARNING &amp; DEVELOPMENT STRATEGY &amp; WSP/ATR COMPLIANCE </w:t>
      </w:r>
      <w:r>
        <w:rPr>
          <w:b/>
          <w:color w:val="A02018"/>
        </w:rPr>
        <w:t>[13 Marks]</w:t>
      </w:r>
    </w:p>
    <w:p>
      <w:pPr>
        <w:spacing w:after="160"/>
      </w:pPr>
      <w:r>
        <w:rPr>
          <w:rFonts w:ascii="Calibri" w:hAnsi="Calibri"/>
          <w:sz w:val="20"/>
        </w:rPr>
        <w:t>Formulate an integrated L&amp;D strategy for upskilling 200 assembly workers and technical staff.</w:t>
        <w:br/>
        <w:t>• Step-by-step process for consolidating Individual Development Plans (IDPs) into departmental L&amp;D plans.</w:t>
        <w:br/>
        <w:t>• Blended learning delivery model (e-learning, VR simulations, workplace mentorship, occupational skills programmes).</w:t>
        <w:br/>
        <w:t>• WSP/ATR compilation methodology and SETA mandatory/discretionary grant management.</w:t>
        <w:br/>
        <w:t>• Evaluation of L&amp;D interventions using Kirkpatrick's 4-Level Evaluation Model.</w:t>
      </w:r>
    </w:p>
    <w:p>
      <w:pPr>
        <w:keepNext/>
        <w:spacing w:before="160" w:after="40"/>
      </w:pPr>
      <w:r>
        <w:rPr>
          <w:rFonts w:ascii="Arial" w:hAnsi="Arial"/>
          <w:b/>
          <w:sz w:val="22"/>
        </w:rPr>
        <w:t xml:space="preserve">SUB-SECTION D2: PERFORMANCE MANAGEMENT SYSTEM DESIGN &amp; LINE MANAGER COACHING </w:t>
      </w:r>
      <w:r>
        <w:rPr>
          <w:b/>
          <w:color w:val="A02018"/>
        </w:rPr>
        <w:t>[13 Marks]</w:t>
      </w:r>
    </w:p>
    <w:p>
      <w:pPr>
        <w:spacing w:after="160"/>
      </w:pPr>
      <w:r>
        <w:rPr>
          <w:rFonts w:ascii="Calibri" w:hAnsi="Calibri"/>
          <w:sz w:val="20"/>
        </w:rPr>
        <w:t>Design an objective, development-oriented Performance Management System for Kanyisa aligned with SABPP Standards.</w:t>
        <w:br/>
        <w:t>• Structuring the performance cycle (setting SMART goals, mid-year check-ins, annual reviews, 360-degree feedback).</w:t>
        <w:br/>
        <w:t>• Coaching and capacity-building framework to train line managers in conducting fair reviews and delivering constructive feedback.</w:t>
        <w:br/>
        <w:t>• Calibration mechanisms to ensure rating consistency across assembly, engineering, and sales departments.</w:t>
        <w:br/>
        <w:t>• Aligning performance appraisals with career pathing and L&amp;D interventions.</w:t>
      </w:r>
    </w:p>
    <w:p>
      <w:pPr>
        <w:keepNext/>
        <w:spacing w:before="160" w:after="40"/>
      </w:pPr>
      <w:r>
        <w:rPr>
          <w:rFonts w:ascii="Arial" w:hAnsi="Arial"/>
          <w:b/>
          <w:sz w:val="22"/>
        </w:rPr>
        <w:t xml:space="preserve">SUB-SECTION D3: ORGANISATIONAL DEVELOPMENT (OD) &amp; WELLNESS INTERVENTION PLAN </w:t>
      </w:r>
      <w:r>
        <w:rPr>
          <w:b/>
          <w:color w:val="A02018"/>
        </w:rPr>
        <w:t>[12 Marks]</w:t>
      </w:r>
    </w:p>
    <w:p>
      <w:pPr>
        <w:spacing w:after="160"/>
      </w:pPr>
      <w:r>
        <w:rPr>
          <w:rFonts w:ascii="Calibri" w:hAnsi="Calibri"/>
          <w:sz w:val="20"/>
        </w:rPr>
        <w:t>Develop a systemic OD and Wellness intervention program ('Project Kanyisa Growth') to manage cultural transition and stress.</w:t>
        <w:br/>
        <w:t>• Applying Kurt Lewin's 3-Stage Change Model or Appreciative Inquiry to transition to automated manufacturing.</w:t>
        <w:br/>
        <w:t>• Designing a holistic Organisational Wellness framework incorporating an Employee Assistance Program (EAP), stress management, and work-life balance.</w:t>
        <w:br/>
        <w:t>• Stakeholder engagement strategy involving line management, union representatives, and EE/SD committees.</w:t>
        <w:br/>
        <w:t>• Change management communication plan to reduce anxiety and build a high-performance culture.</w:t>
      </w:r>
    </w:p>
    <w:p>
      <w:pPr>
        <w:keepNext/>
        <w:spacing w:before="160" w:after="40"/>
      </w:pPr>
      <w:r>
        <w:rPr>
          <w:rFonts w:ascii="Arial" w:hAnsi="Arial"/>
          <w:b/>
          <w:sz w:val="22"/>
        </w:rPr>
        <w:t xml:space="preserve">SUB-SECTION D4: CAREER MANAGEMENT, HR-IS INTEGRATION &amp; PEOPLE ANALYTICS </w:t>
      </w:r>
      <w:r>
        <w:rPr>
          <w:b/>
          <w:color w:val="A02018"/>
        </w:rPr>
        <w:t>[12 Marks]</w:t>
      </w:r>
    </w:p>
    <w:p>
      <w:pPr>
        <w:spacing w:after="160"/>
      </w:pPr>
      <w:r>
        <w:rPr>
          <w:rFonts w:ascii="Calibri" w:hAnsi="Calibri"/>
          <w:sz w:val="20"/>
        </w:rPr>
        <w:t>Establish a technology-driven career management and people analytics governance framework.</w:t>
        <w:br/>
        <w:t>• Dual career pathing model (technical specialist pathway vs. managerial pathway) to support employee growth.</w:t>
        <w:br/>
        <w:t>• Deployment of HR Learning &amp; Performance Information Systems (LMS/HRIS) for tracking progress.</w:t>
        <w:br/>
        <w:t>• Defining 5 core People Analytics metrics (e.g., Skills Gap Closure Rate, Training ROI, PIP Success Rate, Internal Promotion Rate, EAP Utilization Rate) with target benchmarks.</w:t>
        <w:br/>
        <w:t>• Governance framework for compliance monitoring, B-BBEE skills score optimization, and continuous improvement.</w:t>
      </w:r>
    </w:p>
    <w:p>
      <w:pPr>
        <w:spacing w:after="40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