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5A70"/>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0F2F1"/>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MODULES ASSESSED:</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t>KM-03 (Operationalising L&amp;D and Organisational Growth Strategies, 8 Credits)</w:t>
              <w:br/>
              <w:t>PM-03 (Implement L&amp;D and Organisational Growth Initiatives, 12 Credits)</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ASSESSMENT TYPE:</w:t>
            </w:r>
          </w:p>
        </w:tc>
        <w:tc>
          <w:tcPr>
            <w:tcW w:type="dxa" w:w="6192"/>
            <w:shd w:fill="E0F2F1"/>
            <w:tcMar>
              <w:top w:w="80" w:type="dxa"/>
              <w:bottom w:w="80" w:type="dxa"/>
              <w:left w:w="120" w:type="dxa"/>
              <w:right w:w="120" w:type="dxa"/>
            </w:tcMar>
          </w:tcPr>
          <w:p>
            <w:pPr>
              <w:spacing w:after="0"/>
            </w:pPr>
            <w:r>
              <w:rPr>
                <w:rFonts w:ascii="Calibri" w:hAnsi="Calibri"/>
                <w:b/>
                <w:color w:val="222222"/>
                <w:sz w:val="20"/>
              </w:rPr>
              <w:t>Internal Summative Assessment Script (SU 3 - VERSION 2)</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TOTAL MARKS &amp; TIME:</w:t>
            </w:r>
          </w:p>
        </w:tc>
        <w:tc>
          <w:tcPr>
            <w:tcW w:type="dxa" w:w="6192"/>
            <w:shd w:fill="E0F2F1"/>
            <w:tcMar>
              <w:top w:w="80" w:type="dxa"/>
              <w:bottom w:w="80" w:type="dxa"/>
              <w:left w:w="120" w:type="dxa"/>
              <w:right w:w="120" w:type="dxa"/>
            </w:tcMar>
          </w:tcPr>
          <w:p>
            <w:pPr>
              <w:spacing w:after="0"/>
            </w:pPr>
            <w:r>
              <w:rPr>
                <w:rFonts w:ascii="Calibri" w:hAnsi="Calibri"/>
                <w:b/>
                <w:color w:val="222222"/>
                <w:sz w:val="20"/>
              </w:rPr>
              <w:t>100 Marks | Pass Mark: 75% (75 Marks) | Duration: 2.5 Hours</w:t>
            </w:r>
          </w:p>
        </w:tc>
      </w:tr>
      <w:tr>
        <w:tc>
          <w:tcPr>
            <w:tcW w:type="dxa" w:w="3168"/>
            <w:shd w:fill="005A70"/>
            <w:tcMar>
              <w:top w:w="80" w:type="dxa"/>
              <w:bottom w:w="80" w:type="dxa"/>
              <w:left w:w="120" w:type="dxa"/>
              <w:right w:w="120" w:type="dxa"/>
            </w:tcMar>
          </w:tcPr>
          <w:p>
            <w:pPr>
              <w:spacing w:after="0"/>
            </w:pPr>
            <w:r>
              <w:rPr>
                <w:rFonts w:ascii="Arial" w:hAnsi="Arial"/>
                <w:b/>
                <w:color w:val="FFFFFF"/>
                <w:sz w:val="19"/>
              </w:rPr>
              <w:t>LEARNER NAME &amp; ID:</w:t>
            </w:r>
          </w:p>
        </w:tc>
        <w:tc>
          <w:tcPr>
            <w:tcW w:type="dxa" w:w="6192"/>
            <w:shd w:fill="E0F2F1"/>
            <w:tcMar>
              <w:top w:w="80" w:type="dxa"/>
              <w:bottom w:w="80" w:type="dxa"/>
              <w:left w:w="120" w:type="dxa"/>
              <w:right w:w="120" w:type="dxa"/>
            </w:tcMar>
          </w:tcPr>
          <w:p>
            <w:pPr>
              <w:spacing w:after="0"/>
            </w:pPr>
            <w:r>
              <w:rPr>
                <w:rFonts w:ascii="Calibri" w:hAnsi="Calibri"/>
                <w:b w:val="0"/>
                <w:color w:val="222222"/>
                <w:sz w:val="20"/>
              </w:rPr>
            </w:r>
          </w:p>
        </w:tc>
      </w:tr>
    </w:tbl>
    <w:p>
      <w:pPr>
        <w:spacing w:after="200"/>
      </w:pPr>
    </w:p>
    <w:p>
      <w:pPr>
        <w:keepNext/>
        <w:spacing w:before="320" w:after="120"/>
      </w:pPr>
      <w:r>
        <w:rPr>
          <w:rFonts w:ascii="Arial" w:hAnsi="Arial"/>
          <w:b/>
          <w:color w:val="005A70"/>
          <w:sz w:val="32"/>
        </w:rPr>
        <w:t>INSTRUCTIONS TO LEARNERS (VERSION 2)</w:t>
      </w:r>
    </w:p>
    <w:p>
      <w:pPr>
        <w:spacing w:after="60" w:line="276" w:lineRule="auto"/>
      </w:pPr>
      <w:r>
        <w:rPr>
          <w:rFonts w:ascii="Calibri" w:hAnsi="Calibri"/>
          <w:b w:val="0"/>
          <w:i w:val="0"/>
          <w:color w:val="222222"/>
          <w:sz w:val="22"/>
        </w:rPr>
        <w:t>1. Answer ALL questions in Section A, Section B, Section C, and Section D.</w:t>
      </w:r>
    </w:p>
    <w:p>
      <w:pPr>
        <w:spacing w:after="60" w:line="276" w:lineRule="auto"/>
      </w:pPr>
      <w:r>
        <w:rPr>
          <w:rFonts w:ascii="Calibri" w:hAnsi="Calibri"/>
          <w:b w:val="0"/>
          <w:i w:val="0"/>
          <w:color w:val="222222"/>
          <w:sz w:val="22"/>
        </w:rPr>
        <w:t>2. Structural Rearrangement (Version 2): Please note that the Case Study Scenario is presented FIRST as Section A (Questions 1-3 Short Scenario Questions = 15 Marks, and Question 4 Strategic Long Question = 50 Marks). This is followed by Section B (15 Scrambled Multiple Choice Questions = 15 Marks), and Section C (5 Scrambled True/False Questions with Justification = 20 Marks). Total = 100 Marks.</w:t>
      </w:r>
    </w:p>
    <w:p>
      <w:pPr>
        <w:spacing w:after="60" w:line="276" w:lineRule="auto"/>
      </w:pPr>
      <w:r>
        <w:rPr>
          <w:rFonts w:ascii="Calibri" w:hAnsi="Calibri"/>
          <w:b w:val="0"/>
          <w:i w:val="0"/>
          <w:color w:val="222222"/>
          <w:sz w:val="22"/>
        </w:rPr>
        <w:t>3. Read the Case Study Scenario in Section A thoroughly before answering the scenario questions.</w:t>
      </w:r>
    </w:p>
    <w:p>
      <w:pPr>
        <w:spacing w:after="60" w:line="276" w:lineRule="auto"/>
      </w:pPr>
      <w:r>
        <w:rPr>
          <w:rFonts w:ascii="Calibri" w:hAnsi="Calibri"/>
          <w:b w:val="0"/>
          <w:i w:val="0"/>
          <w:color w:val="222222"/>
          <w:sz w:val="22"/>
        </w:rPr>
        <w:t>4. Highlighting professional standards (SABPP PPG Standards for L&amp;D, Performance Management, Reward, Wellness, OD) and legal/ethical compliance (Skills Development Act, EEA Code of Good Practice, B-BBEE Act, BCEA) is essential for full marks.</w:t>
      </w:r>
    </w:p>
    <w:p>
      <w:pPr>
        <w:spacing w:after="60" w:line="276" w:lineRule="auto"/>
      </w:pPr>
      <w:r>
        <w:rPr>
          <w:rFonts w:ascii="Calibri" w:hAnsi="Calibri"/>
          <w:b w:val="0"/>
          <w:i w:val="0"/>
          <w:color w:val="222222"/>
          <w:sz w:val="22"/>
        </w:rPr>
        <w:t>5. The pass mark for this internal summative assessment script is strictly 75% (75/100 Marks).</w:t>
      </w:r>
    </w:p>
    <w:p>
      <w:pPr>
        <w:spacing w:after="60" w:line="276" w:lineRule="auto"/>
      </w:pPr>
      <w:r>
        <w:rPr>
          <w:rFonts w:ascii="Calibri" w:hAnsi="Calibri"/>
          <w:b w:val="0"/>
          <w:i w:val="0"/>
          <w:color w:val="222222"/>
          <w:sz w:val="22"/>
        </w:rPr>
        <w:t>6. Write legibly and present your answers in a clear, professional business format.</w:t>
      </w:r>
    </w:p>
    <w:p>
      <w:pPr>
        <w:spacing w:after="200"/>
      </w:pPr>
    </w:p>
    <w:p>
      <w:pPr>
        <w:keepNext/>
        <w:spacing w:before="320" w:after="120"/>
      </w:pPr>
      <w:r>
        <w:rPr>
          <w:rFonts w:ascii="Arial" w:hAnsi="Arial"/>
          <w:b/>
          <w:color w:val="005A70"/>
          <w:sz w:val="32"/>
        </w:rPr>
        <w:t>SECTION A: CASE STUDY SCENARIO &amp; SCENARIO QUESTIONS (65 MARKS)</w:t>
      </w:r>
    </w:p>
    <w:tbl>
      <w:tblPr>
        <w:tblW w:type="auto" w:w="0"/>
        <w:jc w:val="center"/>
        <w:tblLook w:firstColumn="1" w:firstRow="1" w:lastColumn="0" w:lastRow="0" w:noHBand="0" w:noVBand="1" w:val="04A0"/>
      </w:tblPr>
      <w:tblGrid>
        <w:gridCol w:w="9360"/>
      </w:tblGrid>
      <w:tr>
        <w:tc>
          <w:tcPr>
            <w:tcW w:type="dxa" w:w="9360"/>
            <w:shd w:fill="FAFAFA"/>
            <w:tcMar>
              <w:top w:w="140" w:type="dxa"/>
              <w:bottom w:w="140" w:type="dxa"/>
              <w:left w:w="180" w:type="dxa"/>
              <w:right w:w="180" w:type="dxa"/>
            </w:tcMar>
          </w:tcPr>
          <w:p>
            <w:pPr>
              <w:spacing w:after="80"/>
            </w:pPr>
            <w:r>
              <w:rPr>
                <w:rFonts w:ascii="Arial" w:hAnsi="Arial"/>
                <w:b/>
                <w:color w:val="005A70"/>
                <w:sz w:val="22"/>
              </w:rPr>
              <w:t>ORGANISATIONAL CONTEXT: KANYISA RENEWABLE ENERGY SOLUTIONS (SOWETO, GAUTENG)</w:t>
              <w:br/>
            </w:r>
          </w:p>
          <w:p>
            <w:pPr>
              <w:spacing w:after="0" w:line="276" w:lineRule="auto"/>
            </w:pPr>
            <w:r>
              <w:rPr>
                <w:rFonts w:ascii="Calibri" w:hAnsi="Calibri"/>
                <w:sz w:val="20"/>
              </w:rPr>
              <w:t>Background: Kanyisa Renewable Energy Solutions is a rapidly growing South African solar assembly and green energy installation enterprise based in Soweto, Gauteng. Led by Managing Director Thabo Molefe and Chief Operations Officer Nomsa Dlamini, Kanyisa employs 450 permanent technical, assembly, sales, and administrative staff.</w:t>
              <w:br/>
              <w:br/>
              <w:t>Strategic Transformation &amp; Growth Intent: To capture expanding commercial solar contracts across Sub-Saharan Africa, Kanyisa is transitioning from manual assembly to a fully automated solar PV manufacturing line. This strategic shift requires upskilling 200 current assembly line workers, introducing new solar engineering competencies, and implementing a high-performance organizational culture.</w:t>
              <w:br/>
              <w:br/>
              <w:t>Current Operational &amp; HR Challenges:</w:t>
              <w:br/>
              <w:t>1. Critical Skills Gaps &amp; Technological Disruption: Assembly workers lack technical competence in operating automated robotics and digital quality testing tools, threatening project delivery deadlines.</w:t>
              <w:br/>
              <w:t>2. Inconsistent Performance Management &amp; Substandard Output: Line managers lack training in conducting objective performance appraisals, setting SMART goals, or managing substandard performance constructively.</w:t>
              <w:br/>
              <w:t>3. Low Employee Morale &amp; Reward Dissatisfaction: Employees express frustration over opaque reward structures, lack of career progression pathways, and high workplace stress during the technology transition.</w:t>
              <w:br/>
              <w:t>4. Compliance &amp; SETA Grant Risks: Kanyisa failed to submit its WSP/ATR to the EWSETA in the previous cycle, forfeiting mandatory grants and penalty points on its B-BBEE scorecard.</w:t>
            </w:r>
          </w:p>
        </w:tc>
      </w:tr>
    </w:tbl>
    <w:p>
      <w:pPr>
        <w:spacing w:after="200"/>
      </w:pPr>
    </w:p>
    <w:p>
      <w:pPr>
        <w:keepNext/>
        <w:spacing w:before="240" w:after="80"/>
      </w:pPr>
      <w:r>
        <w:rPr>
          <w:rFonts w:ascii="Arial" w:hAnsi="Arial"/>
          <w:b/>
          <w:color w:val="008080"/>
          <w:sz w:val="26"/>
        </w:rPr>
        <w:t>PART A1: SCENARIO-BASED SHORT QUESTIONS (15 MARKS)</w:t>
      </w:r>
    </w:p>
    <w:p>
      <w:pPr>
        <w:spacing w:after="160" w:line="276" w:lineRule="auto"/>
      </w:pPr>
      <w:r>
        <w:rPr>
          <w:rFonts w:ascii="Calibri" w:hAnsi="Calibri"/>
          <w:b w:val="0"/>
          <w:i/>
          <w:color w:val="222222"/>
          <w:sz w:val="22"/>
        </w:rPr>
        <w:t>Instructions: Answer the following practical short questions based on the Kanyisa Renewable Energy Solutions scenario.</w:t>
      </w:r>
    </w:p>
    <w:p>
      <w:pPr>
        <w:keepNext/>
        <w:spacing w:after="40"/>
      </w:pPr>
      <w:r>
        <w:rPr>
          <w:rFonts w:ascii="Arial" w:hAnsi="Arial"/>
          <w:b/>
          <w:sz w:val="21"/>
        </w:rPr>
        <w:t xml:space="preserve">Question 1: Training Needs Analysis (TNA) &amp; SETA Grant Recovery </w:t>
      </w:r>
      <w:r>
        <w:rPr>
          <w:b/>
          <w:color w:val="008080"/>
        </w:rPr>
        <w:t>[5 Marks]</w:t>
      </w:r>
    </w:p>
    <w:p>
      <w:pPr>
        <w:spacing w:after="120"/>
      </w:pPr>
      <w:r>
        <w:rPr>
          <w:rFonts w:ascii="Calibri" w:hAnsi="Calibri"/>
          <w:sz w:val="20"/>
        </w:rPr>
        <w:t>Outline the 3 levels of a Training Needs Analysis (Organisational, Occupational/Task, Person) for Kanyisa's automation transition. Explain how completing the TNA enables Kanyisa to submit a compliant WSP/ATR to EWSETA and claim mandatory grants.</w:t>
      </w:r>
    </w:p>
    <w:p>
      <w:pPr>
        <w:keepNext/>
        <w:spacing w:after="40"/>
      </w:pPr>
      <w:r>
        <w:rPr>
          <w:rFonts w:ascii="Arial" w:hAnsi="Arial"/>
          <w:b/>
          <w:sz w:val="21"/>
        </w:rPr>
        <w:t xml:space="preserve">Question 2: Managing Substandard Performance via PIP </w:t>
      </w:r>
      <w:r>
        <w:rPr>
          <w:b/>
          <w:color w:val="008080"/>
        </w:rPr>
        <w:t>[5 Marks]</w:t>
      </w:r>
    </w:p>
    <w:p>
      <w:pPr>
        <w:spacing w:after="120"/>
      </w:pPr>
      <w:r>
        <w:rPr>
          <w:rFonts w:ascii="Calibri" w:hAnsi="Calibri"/>
          <w:sz w:val="20"/>
        </w:rPr>
        <w:t>Differentiate between managing misconduct and managing substandard performance under South African labour law. Detail the step-by-step process the HR Officer must facilitate to implement a compliant Performance Improvement Plan (PIP) for struggling assembly workers.</w:t>
      </w:r>
    </w:p>
    <w:p>
      <w:pPr>
        <w:keepNext/>
        <w:spacing w:after="40"/>
      </w:pPr>
      <w:r>
        <w:rPr>
          <w:rFonts w:ascii="Arial" w:hAnsi="Arial"/>
          <w:b/>
          <w:sz w:val="21"/>
        </w:rPr>
        <w:t xml:space="preserve">Question 3: Total Rewards &amp; Recognition Framework </w:t>
      </w:r>
      <w:r>
        <w:rPr>
          <w:b/>
          <w:color w:val="008080"/>
        </w:rPr>
        <w:t>[5 Marks]</w:t>
      </w:r>
    </w:p>
    <w:p>
      <w:pPr>
        <w:spacing w:after="120"/>
      </w:pPr>
      <w:r>
        <w:rPr>
          <w:rFonts w:ascii="Calibri" w:hAnsi="Calibri"/>
          <w:sz w:val="20"/>
        </w:rPr>
        <w:t>Recommend a Total Rewards framework for Kanyisa that combines monetary incentives with non-monetary recognition to boost morale and support the new automated manufacturing environment.</w:t>
      </w:r>
    </w:p>
    <w:p>
      <w:pPr>
        <w:spacing w:after="200"/>
      </w:pPr>
    </w:p>
    <w:p>
      <w:pPr>
        <w:keepNext/>
        <w:spacing w:before="240" w:after="80"/>
      </w:pPr>
      <w:r>
        <w:rPr>
          <w:rFonts w:ascii="Arial" w:hAnsi="Arial"/>
          <w:b/>
          <w:color w:val="008080"/>
          <w:sz w:val="26"/>
        </w:rPr>
        <w:t>PART A2: COMPREHENSIVE STRATEGIC LONG QUESTION (50 MARKS)</w:t>
      </w:r>
    </w:p>
    <w:p>
      <w:pPr>
        <w:spacing w:after="160" w:line="276" w:lineRule="auto"/>
      </w:pPr>
      <w:r>
        <w:rPr>
          <w:rFonts w:ascii="Calibri" w:hAnsi="Calibri"/>
          <w:b w:val="0"/>
          <w:i/>
          <w:color w:val="222222"/>
          <w:sz w:val="22"/>
        </w:rPr>
        <w:t>Instructions: Develop a comprehensive, professional L&amp;D and Organisational Growth Implementation Strategy for MD Thabo Molefe and COO Nomsa Dlamini. Your response must address all four core sub-sections thoroughly, aligning recommendations with SABPP Standards, South African Legislation (SDA, EEA, B-BBEE Act), and sound HRM theory.</w:t>
      </w:r>
    </w:p>
    <w:p>
      <w:pPr>
        <w:keepNext/>
        <w:spacing w:before="160" w:after="40"/>
      </w:pPr>
      <w:r>
        <w:rPr>
          <w:rFonts w:ascii="Arial" w:hAnsi="Arial"/>
          <w:b/>
          <w:sz w:val="22"/>
        </w:rPr>
        <w:t xml:space="preserve">SUB-SECTION A2.1: INTEGRATED LEARNING &amp; DEVELOPMENT STRATEGY &amp; WSP/ATR COMPLIANCE </w:t>
      </w:r>
      <w:r>
        <w:rPr>
          <w:b/>
          <w:color w:val="008080"/>
        </w:rPr>
        <w:t>[13 Marks]</w:t>
      </w:r>
    </w:p>
    <w:p>
      <w:pPr>
        <w:spacing w:after="160"/>
      </w:pPr>
      <w:r>
        <w:rPr>
          <w:rFonts w:ascii="Calibri" w:hAnsi="Calibri"/>
          <w:sz w:val="20"/>
        </w:rPr>
        <w:t>Formulate an integrated L&amp;D strategy for upskilling 200 assembly workers and technical staff.</w:t>
        <w:br/>
        <w:t>• Step-by-step process for consolidating Individual Development Plans (IDPs) into departmental L&amp;D plans.</w:t>
        <w:br/>
        <w:t>• Blended learning delivery model (e-learning, VR simulations, workplace mentorship, occupational skills programmes).</w:t>
        <w:br/>
        <w:t>• WSP/ATR compilation methodology and SETA mandatory/discretionary grant management.</w:t>
        <w:br/>
        <w:t>• Evaluation of L&amp;D interventions using Kirkpatrick's 4-Level Evaluation Model.</w:t>
      </w:r>
    </w:p>
    <w:p>
      <w:pPr>
        <w:keepNext/>
        <w:spacing w:before="160" w:after="40"/>
      </w:pPr>
      <w:r>
        <w:rPr>
          <w:rFonts w:ascii="Arial" w:hAnsi="Arial"/>
          <w:b/>
          <w:sz w:val="22"/>
        </w:rPr>
        <w:t xml:space="preserve">SUB-SECTION A2.2: PERFORMANCE MANAGEMENT SYSTEM DESIGN &amp; LINE MANAGER COACHING </w:t>
      </w:r>
      <w:r>
        <w:rPr>
          <w:b/>
          <w:color w:val="008080"/>
        </w:rPr>
        <w:t>[13 Marks]</w:t>
      </w:r>
    </w:p>
    <w:p>
      <w:pPr>
        <w:spacing w:after="160"/>
      </w:pPr>
      <w:r>
        <w:rPr>
          <w:rFonts w:ascii="Calibri" w:hAnsi="Calibri"/>
          <w:sz w:val="20"/>
        </w:rPr>
        <w:t>Design an objective, development-oriented Performance Management System for Kanyisa aligned with SABPP Standards.</w:t>
        <w:br/>
        <w:t>• Structuring the performance cycle (setting SMART goals, mid-year check-ins, annual reviews, 360-degree feedback).</w:t>
        <w:br/>
        <w:t>• Coaching and capacity-building framework to train line managers in conducting fair reviews and delivering constructive feedback.</w:t>
        <w:br/>
        <w:t>• Calibration mechanisms to ensure rating consistency across assembly, engineering, and sales departments.</w:t>
        <w:br/>
        <w:t>• Aligning performance appraisals with career pathing and L&amp;D interventions.</w:t>
      </w:r>
    </w:p>
    <w:p>
      <w:pPr>
        <w:keepNext/>
        <w:spacing w:before="160" w:after="40"/>
      </w:pPr>
      <w:r>
        <w:rPr>
          <w:rFonts w:ascii="Arial" w:hAnsi="Arial"/>
          <w:b/>
          <w:sz w:val="22"/>
        </w:rPr>
        <w:t xml:space="preserve">SUB-SECTION A2.3: ORGANISATIONAL DEVELOPMENT (OD) &amp; WELLNESS INTERVENTION PLAN </w:t>
      </w:r>
      <w:r>
        <w:rPr>
          <w:b/>
          <w:color w:val="008080"/>
        </w:rPr>
        <w:t>[12 Marks]</w:t>
      </w:r>
    </w:p>
    <w:p>
      <w:pPr>
        <w:spacing w:after="160"/>
      </w:pPr>
      <w:r>
        <w:rPr>
          <w:rFonts w:ascii="Calibri" w:hAnsi="Calibri"/>
          <w:sz w:val="20"/>
        </w:rPr>
        <w:t>Develop a systemic OD and Wellness intervention program ('Project Kanyisa Growth') to manage cultural transition and stress.</w:t>
        <w:br/>
        <w:t>• Applying Kurt Lewin's 3-Stage Change Model or Appreciative Inquiry to transition to automated manufacturing.</w:t>
        <w:br/>
        <w:t>• Designing a holistic Organisational Wellness framework incorporating an Employee Assistance Program (EAP), stress management, and work-life balance.</w:t>
        <w:br/>
        <w:t>• Stakeholder engagement strategy involving line management, union representatives, and EE/SD committees.</w:t>
        <w:br/>
        <w:t>• Change management communication plan to reduce anxiety and build a high-performance culture.</w:t>
      </w:r>
    </w:p>
    <w:p>
      <w:pPr>
        <w:keepNext/>
        <w:spacing w:before="160" w:after="40"/>
      </w:pPr>
      <w:r>
        <w:rPr>
          <w:rFonts w:ascii="Arial" w:hAnsi="Arial"/>
          <w:b/>
          <w:sz w:val="22"/>
        </w:rPr>
        <w:t xml:space="preserve">SUB-SECTION A2.4: CAREER MANAGEMENT, HR-IS INTEGRATION &amp; PEOPLE ANALYTICS </w:t>
      </w:r>
      <w:r>
        <w:rPr>
          <w:b/>
          <w:color w:val="008080"/>
        </w:rPr>
        <w:t>[12 Marks]</w:t>
      </w:r>
    </w:p>
    <w:p>
      <w:pPr>
        <w:spacing w:after="160"/>
      </w:pPr>
      <w:r>
        <w:rPr>
          <w:rFonts w:ascii="Calibri" w:hAnsi="Calibri"/>
          <w:sz w:val="20"/>
        </w:rPr>
        <w:t>Establish a technology-driven career management and people analytics governance framework.</w:t>
        <w:br/>
        <w:t>• Dual career pathing model (technical specialist pathway vs. managerial pathway) to support employee growth.</w:t>
        <w:br/>
        <w:t>• Deployment of HR Learning &amp; Performance Information Systems (LMS/HRIS) for tracking progress.</w:t>
        <w:br/>
        <w:t>• Defining 5 core People Analytics metrics (e.g., Skills Gap Closure Rate, Training ROI, PIP Success Rate, Internal Promotion Rate, EAP Utilization Rate) with target benchmarks.</w:t>
        <w:br/>
        <w:t>• Governance framework for compliance monitoring, B-BBEE skills score optimization, and continuous improvement.</w:t>
      </w:r>
    </w:p>
    <w:p>
      <w:pPr>
        <w:spacing w:after="200"/>
      </w:pPr>
    </w:p>
    <w:p>
      <w:pPr>
        <w:keepNext/>
        <w:spacing w:before="320" w:after="120"/>
      </w:pPr>
      <w:r>
        <w:rPr>
          <w:rFonts w:ascii="Arial" w:hAnsi="Arial"/>
          <w:b/>
          <w:color w:val="005A70"/>
          <w:sz w:val="32"/>
        </w:rPr>
        <w:t>SECTION B: MULTIPLE CHOICE QUESTIONS (15 MARKS)</w:t>
      </w:r>
    </w:p>
    <w:p>
      <w:pPr>
        <w:spacing w:after="160" w:line="276" w:lineRule="auto"/>
      </w:pPr>
      <w:r>
        <w:rPr>
          <w:rFonts w:ascii="Calibri" w:hAnsi="Calibri"/>
          <w:b w:val="0"/>
          <w:i/>
          <w:color w:val="222222"/>
          <w:sz w:val="22"/>
        </w:rPr>
        <w:t>Instructions: Select the SINGLE best answer for each question. Question order has been scrambled for Version 2. Each question carries 1 mark.</w:t>
      </w:r>
    </w:p>
    <w:p>
      <w:pPr>
        <w:keepNext/>
        <w:spacing w:after="60"/>
      </w:pPr>
      <w:r>
        <w:rPr>
          <w:rFonts w:ascii="Calibri" w:hAnsi="Calibri"/>
          <w:b/>
          <w:sz w:val="21"/>
        </w:rPr>
        <w:t>1. According to SABPP Learning and Development Standards, an Individual Development Plan (IDP) should be compiled based on:</w:t>
      </w:r>
    </w:p>
    <w:p>
      <w:pPr>
        <w:spacing w:after="40"/>
        <w:ind w:left="360"/>
      </w:pPr>
      <w:r>
        <w:rPr>
          <w:rFonts w:ascii="Calibri" w:hAnsi="Calibri"/>
          <w:sz w:val="20"/>
        </w:rPr>
        <w:t>A. Arbitrary manager preferences without employee consultation</w:t>
      </w:r>
    </w:p>
    <w:p>
      <w:pPr>
        <w:spacing w:after="40"/>
        <w:ind w:left="360"/>
      </w:pPr>
      <w:r>
        <w:rPr>
          <w:rFonts w:ascii="Calibri" w:hAnsi="Calibri"/>
          <w:sz w:val="20"/>
        </w:rPr>
        <w:t>B. Social media popularity polls</w:t>
      </w:r>
    </w:p>
    <w:p>
      <w:pPr>
        <w:spacing w:after="40"/>
        <w:ind w:left="360"/>
      </w:pPr>
      <w:r>
        <w:rPr>
          <w:rFonts w:ascii="Calibri" w:hAnsi="Calibri"/>
          <w:sz w:val="20"/>
        </w:rPr>
        <w:t>C. Alignment between individual career goals, performance review gaps, and organizational business requirements</w:t>
      </w:r>
    </w:p>
    <w:p>
      <w:pPr>
        <w:spacing w:after="40"/>
        <w:ind w:left="360"/>
      </w:pPr>
      <w:r>
        <w:rPr>
          <w:rFonts w:ascii="Calibri" w:hAnsi="Calibri"/>
          <w:sz w:val="20"/>
        </w:rPr>
        <w:t>D. Length of service regardless of performance</w:t>
      </w:r>
    </w:p>
    <w:p>
      <w:pPr>
        <w:keepNext/>
        <w:spacing w:after="60"/>
      </w:pPr>
      <w:r>
        <w:rPr>
          <w:rFonts w:ascii="Calibri" w:hAnsi="Calibri"/>
          <w:b/>
          <w:sz w:val="21"/>
        </w:rPr>
        <w:t>2. What is the primary purpose of conducting a Training Needs Analysis (TNA) at the person level?</w:t>
      </w:r>
    </w:p>
    <w:p>
      <w:pPr>
        <w:spacing w:after="40"/>
        <w:ind w:left="360"/>
      </w:pPr>
      <w:r>
        <w:rPr>
          <w:rFonts w:ascii="Calibri" w:hAnsi="Calibri"/>
          <w:sz w:val="20"/>
        </w:rPr>
        <w:t>A. To identify specific performance gaps in knowledge, skills, or attitudes for individual employees</w:t>
      </w:r>
    </w:p>
    <w:p>
      <w:pPr>
        <w:spacing w:after="40"/>
        <w:ind w:left="360"/>
      </w:pPr>
      <w:r>
        <w:rPr>
          <w:rFonts w:ascii="Calibri" w:hAnsi="Calibri"/>
          <w:sz w:val="20"/>
        </w:rPr>
        <w:t>B. To evaluate the national Sector Skills Plan (SSP) published by the SETA</w:t>
      </w:r>
    </w:p>
    <w:p>
      <w:pPr>
        <w:spacing w:after="40"/>
        <w:ind w:left="360"/>
      </w:pPr>
      <w:r>
        <w:rPr>
          <w:rFonts w:ascii="Calibri" w:hAnsi="Calibri"/>
          <w:sz w:val="20"/>
        </w:rPr>
        <w:t>C. To calculate the company's B-BBEE ownership score</w:t>
      </w:r>
    </w:p>
    <w:p>
      <w:pPr>
        <w:spacing w:after="40"/>
        <w:ind w:left="360"/>
      </w:pPr>
      <w:r>
        <w:rPr>
          <w:rFonts w:ascii="Calibri" w:hAnsi="Calibri"/>
          <w:sz w:val="20"/>
        </w:rPr>
        <w:t>D. To negotiate minimum wage thresholds with trade unions</w:t>
      </w:r>
    </w:p>
    <w:p>
      <w:pPr>
        <w:keepNext/>
        <w:spacing w:after="60"/>
      </w:pPr>
      <w:r>
        <w:rPr>
          <w:rFonts w:ascii="Calibri" w:hAnsi="Calibri"/>
          <w:b/>
          <w:sz w:val="21"/>
        </w:rPr>
        <w:t>3. In Organisational Development (OD), Appreciative Inquiry (AI) is an approach that primarily focuses on:</w:t>
      </w:r>
    </w:p>
    <w:p>
      <w:pPr>
        <w:spacing w:after="40"/>
        <w:ind w:left="360"/>
      </w:pPr>
      <w:r>
        <w:rPr>
          <w:rFonts w:ascii="Calibri" w:hAnsi="Calibri"/>
          <w:sz w:val="20"/>
        </w:rPr>
        <w:t>A. Conducting financial tax audits</w:t>
      </w:r>
    </w:p>
    <w:p>
      <w:pPr>
        <w:spacing w:after="40"/>
        <w:ind w:left="360"/>
      </w:pPr>
      <w:r>
        <w:rPr>
          <w:rFonts w:ascii="Calibri" w:hAnsi="Calibri"/>
          <w:sz w:val="20"/>
        </w:rPr>
        <w:t>B. Identifying employee misconduct and applying progressive discipline</w:t>
      </w:r>
    </w:p>
    <w:p>
      <w:pPr>
        <w:spacing w:after="40"/>
        <w:ind w:left="360"/>
      </w:pPr>
      <w:r>
        <w:rPr>
          <w:rFonts w:ascii="Calibri" w:hAnsi="Calibri"/>
          <w:sz w:val="20"/>
        </w:rPr>
        <w:t>C. Identifying and leveraging existing organizational strengths and core successes to drive positive change</w:t>
      </w:r>
    </w:p>
    <w:p>
      <w:pPr>
        <w:spacing w:after="40"/>
        <w:ind w:left="360"/>
      </w:pPr>
      <w:r>
        <w:rPr>
          <w:rFonts w:ascii="Calibri" w:hAnsi="Calibri"/>
          <w:sz w:val="20"/>
        </w:rPr>
        <w:t>D. Restructuring the company to reduce headcount</w:t>
      </w:r>
    </w:p>
    <w:p>
      <w:pPr>
        <w:keepNext/>
        <w:spacing w:after="60"/>
      </w:pPr>
      <w:r>
        <w:rPr>
          <w:rFonts w:ascii="Calibri" w:hAnsi="Calibri"/>
          <w:b/>
          <w:sz w:val="21"/>
        </w:rPr>
        <w:t>4. In South Africa, what percentage of an employer's levy-leviable payroll is claimable as a Mandatory Grant upon timeous submission of an approved Workplace Skills Plan (WSP) and Annual Training Report (ATR)?</w:t>
      </w:r>
    </w:p>
    <w:p>
      <w:pPr>
        <w:spacing w:after="40"/>
        <w:ind w:left="360"/>
      </w:pPr>
      <w:r>
        <w:rPr>
          <w:rFonts w:ascii="Calibri" w:hAnsi="Calibri"/>
          <w:sz w:val="20"/>
        </w:rPr>
        <w:t>A. 15%</w:t>
      </w:r>
    </w:p>
    <w:p>
      <w:pPr>
        <w:spacing w:after="40"/>
        <w:ind w:left="360"/>
      </w:pPr>
      <w:r>
        <w:rPr>
          <w:rFonts w:ascii="Calibri" w:hAnsi="Calibri"/>
          <w:sz w:val="20"/>
        </w:rPr>
        <w:t>B. 50%</w:t>
      </w:r>
    </w:p>
    <w:p>
      <w:pPr>
        <w:spacing w:after="40"/>
        <w:ind w:left="360"/>
      </w:pPr>
      <w:r>
        <w:rPr>
          <w:rFonts w:ascii="Calibri" w:hAnsi="Calibri"/>
          <w:sz w:val="20"/>
        </w:rPr>
        <w:t>C. 20%</w:t>
      </w:r>
    </w:p>
    <w:p>
      <w:pPr>
        <w:spacing w:after="40"/>
        <w:ind w:left="360"/>
      </w:pPr>
      <w:r>
        <w:rPr>
          <w:rFonts w:ascii="Calibri" w:hAnsi="Calibri"/>
          <w:sz w:val="20"/>
        </w:rPr>
        <w:t>D. 70%</w:t>
      </w:r>
    </w:p>
    <w:p>
      <w:pPr>
        <w:keepNext/>
        <w:spacing w:after="60"/>
      </w:pPr>
      <w:r>
        <w:rPr>
          <w:rFonts w:ascii="Calibri" w:hAnsi="Calibri"/>
          <w:b/>
          <w:sz w:val="21"/>
        </w:rPr>
        <w:t>5. Which quality council is legally responsible for the accreditation and quality assurance of occupational qualifications and skills programmes under the NQF in South Africa?</w:t>
      </w:r>
    </w:p>
    <w:p>
      <w:pPr>
        <w:spacing w:after="40"/>
        <w:ind w:left="360"/>
      </w:pPr>
      <w:r>
        <w:rPr>
          <w:rFonts w:ascii="Calibri" w:hAnsi="Calibri"/>
          <w:sz w:val="20"/>
        </w:rPr>
        <w:t>A. CHE (Council on Higher Education)</w:t>
      </w:r>
    </w:p>
    <w:p>
      <w:pPr>
        <w:spacing w:after="40"/>
        <w:ind w:left="360"/>
      </w:pPr>
      <w:r>
        <w:rPr>
          <w:rFonts w:ascii="Calibri" w:hAnsi="Calibri"/>
          <w:sz w:val="20"/>
        </w:rPr>
        <w:t>B. QCTO (Quality Council for Trades and Occupations)</w:t>
      </w:r>
    </w:p>
    <w:p>
      <w:pPr>
        <w:spacing w:after="40"/>
        <w:ind w:left="360"/>
      </w:pPr>
      <w:r>
        <w:rPr>
          <w:rFonts w:ascii="Calibri" w:hAnsi="Calibri"/>
          <w:sz w:val="20"/>
        </w:rPr>
        <w:t>C. UMALUSI</w:t>
      </w:r>
    </w:p>
    <w:p>
      <w:pPr>
        <w:spacing w:after="40"/>
        <w:ind w:left="360"/>
      </w:pPr>
      <w:r>
        <w:rPr>
          <w:rFonts w:ascii="Calibri" w:hAnsi="Calibri"/>
          <w:sz w:val="20"/>
        </w:rPr>
        <w:t>D. SAQA</w:t>
      </w:r>
    </w:p>
    <w:p>
      <w:pPr>
        <w:keepNext/>
        <w:spacing w:after="60"/>
      </w:pPr>
      <w:r>
        <w:rPr>
          <w:rFonts w:ascii="Calibri" w:hAnsi="Calibri"/>
          <w:b/>
          <w:sz w:val="21"/>
        </w:rPr>
        <w:t>6. In the Kirkpatrick Taxonomy of Training Evaluation, Level 3 focuses on measuring:</w:t>
      </w:r>
    </w:p>
    <w:p>
      <w:pPr>
        <w:spacing w:after="40"/>
        <w:ind w:left="360"/>
      </w:pPr>
      <w:r>
        <w:rPr>
          <w:rFonts w:ascii="Calibri" w:hAnsi="Calibri"/>
          <w:sz w:val="20"/>
        </w:rPr>
        <w:t>A. Participant reaction and satisfaction with the course</w:t>
      </w:r>
    </w:p>
    <w:p>
      <w:pPr>
        <w:spacing w:after="40"/>
        <w:ind w:left="360"/>
      </w:pPr>
      <w:r>
        <w:rPr>
          <w:rFonts w:ascii="Calibri" w:hAnsi="Calibri"/>
          <w:sz w:val="20"/>
        </w:rPr>
        <w:t>B. Knowledge acquisition and learning passed on tests</w:t>
      </w:r>
    </w:p>
    <w:p>
      <w:pPr>
        <w:spacing w:after="40"/>
        <w:ind w:left="360"/>
      </w:pPr>
      <w:r>
        <w:rPr>
          <w:rFonts w:ascii="Calibri" w:hAnsi="Calibri"/>
          <w:sz w:val="20"/>
        </w:rPr>
        <w:t>C. Job behavior change and transfer of learning to the workplace</w:t>
      </w:r>
    </w:p>
    <w:p>
      <w:pPr>
        <w:spacing w:after="40"/>
        <w:ind w:left="360"/>
      </w:pPr>
      <w:r>
        <w:rPr>
          <w:rFonts w:ascii="Calibri" w:hAnsi="Calibri"/>
          <w:sz w:val="20"/>
        </w:rPr>
        <w:t>D. Final business results and financial return on investment</w:t>
      </w:r>
    </w:p>
    <w:p>
      <w:pPr>
        <w:keepNext/>
        <w:spacing w:after="60"/>
      </w:pPr>
      <w:r>
        <w:rPr>
          <w:rFonts w:ascii="Calibri" w:hAnsi="Calibri"/>
          <w:b/>
          <w:sz w:val="21"/>
        </w:rPr>
        <w:t>7. Which digital learning technology immerses users completely in a 3D computer-generated environment using specialized headsets?</w:t>
      </w:r>
    </w:p>
    <w:p>
      <w:pPr>
        <w:spacing w:after="40"/>
        <w:ind w:left="360"/>
      </w:pPr>
      <w:r>
        <w:rPr>
          <w:rFonts w:ascii="Calibri" w:hAnsi="Calibri"/>
          <w:sz w:val="20"/>
        </w:rPr>
        <w:t>A. Augmented Reality (AR)</w:t>
      </w:r>
    </w:p>
    <w:p>
      <w:pPr>
        <w:spacing w:after="40"/>
        <w:ind w:left="360"/>
      </w:pPr>
      <w:r>
        <w:rPr>
          <w:rFonts w:ascii="Calibri" w:hAnsi="Calibri"/>
          <w:sz w:val="20"/>
        </w:rPr>
        <w:t>B. Microlearning podcasts</w:t>
      </w:r>
    </w:p>
    <w:p>
      <w:pPr>
        <w:spacing w:after="40"/>
        <w:ind w:left="360"/>
      </w:pPr>
      <w:r>
        <w:rPr>
          <w:rFonts w:ascii="Calibri" w:hAnsi="Calibri"/>
          <w:sz w:val="20"/>
        </w:rPr>
        <w:t>C. Virtual Reality (VR)</w:t>
      </w:r>
    </w:p>
    <w:p>
      <w:pPr>
        <w:spacing w:after="40"/>
        <w:ind w:left="360"/>
      </w:pPr>
      <w:r>
        <w:rPr>
          <w:rFonts w:ascii="Calibri" w:hAnsi="Calibri"/>
          <w:sz w:val="20"/>
        </w:rPr>
        <w:t>D. Static PDF e-books</w:t>
      </w:r>
    </w:p>
    <w:p>
      <w:pPr>
        <w:keepNext/>
        <w:spacing w:after="60"/>
      </w:pPr>
      <w:r>
        <w:rPr>
          <w:rFonts w:ascii="Calibri" w:hAnsi="Calibri"/>
          <w:b/>
          <w:sz w:val="21"/>
        </w:rPr>
        <w:t>8. Under the Skills Development Levies Act, an employer is obligated to pay the 1% Skills Development Levy (SDL) to SARS if their annual payroll exceeds:</w:t>
      </w:r>
    </w:p>
    <w:p>
      <w:pPr>
        <w:spacing w:after="40"/>
        <w:ind w:left="360"/>
      </w:pPr>
      <w:r>
        <w:rPr>
          <w:rFonts w:ascii="Calibri" w:hAnsi="Calibri"/>
          <w:sz w:val="20"/>
        </w:rPr>
        <w:t>A. R150,000</w:t>
      </w:r>
    </w:p>
    <w:p>
      <w:pPr>
        <w:spacing w:after="40"/>
        <w:ind w:left="360"/>
      </w:pPr>
      <w:r>
        <w:rPr>
          <w:rFonts w:ascii="Calibri" w:hAnsi="Calibri"/>
          <w:sz w:val="20"/>
        </w:rPr>
        <w:t>B. R500,000</w:t>
      </w:r>
    </w:p>
    <w:p>
      <w:pPr>
        <w:spacing w:after="40"/>
        <w:ind w:left="360"/>
      </w:pPr>
      <w:r>
        <w:rPr>
          <w:rFonts w:ascii="Calibri" w:hAnsi="Calibri"/>
          <w:sz w:val="20"/>
        </w:rPr>
        <w:t>C. R250,000</w:t>
      </w:r>
    </w:p>
    <w:p>
      <w:pPr>
        <w:spacing w:after="40"/>
        <w:ind w:left="360"/>
      </w:pPr>
      <w:r>
        <w:rPr>
          <w:rFonts w:ascii="Calibri" w:hAnsi="Calibri"/>
          <w:sz w:val="20"/>
        </w:rPr>
        <w:t>D. R1,000,000</w:t>
      </w:r>
    </w:p>
    <w:p>
      <w:pPr>
        <w:keepNext/>
        <w:spacing w:after="60"/>
      </w:pPr>
      <w:r>
        <w:rPr>
          <w:rFonts w:ascii="Calibri" w:hAnsi="Calibri"/>
          <w:b/>
          <w:sz w:val="21"/>
        </w:rPr>
        <w:t>9. In performance management, which evaluation model incorporates feedback from supervisors, peers, subordinates, and sometimes clients to provide a holistic view of performance?</w:t>
      </w:r>
    </w:p>
    <w:p>
      <w:pPr>
        <w:spacing w:after="40"/>
        <w:ind w:left="360"/>
      </w:pPr>
      <w:r>
        <w:rPr>
          <w:rFonts w:ascii="Calibri" w:hAnsi="Calibri"/>
          <w:sz w:val="20"/>
        </w:rPr>
        <w:t>A. Forced Distribution Method</w:t>
      </w:r>
    </w:p>
    <w:p>
      <w:pPr>
        <w:spacing w:after="40"/>
        <w:ind w:left="360"/>
      </w:pPr>
      <w:r>
        <w:rPr>
          <w:rFonts w:ascii="Calibri" w:hAnsi="Calibri"/>
          <w:sz w:val="20"/>
        </w:rPr>
        <w:t>B. Graphic Rating Scale</w:t>
      </w:r>
    </w:p>
    <w:p>
      <w:pPr>
        <w:spacing w:after="40"/>
        <w:ind w:left="360"/>
      </w:pPr>
      <w:r>
        <w:rPr>
          <w:rFonts w:ascii="Calibri" w:hAnsi="Calibri"/>
          <w:sz w:val="20"/>
        </w:rPr>
        <w:t>C. 360-Degree Feedback</w:t>
      </w:r>
    </w:p>
    <w:p>
      <w:pPr>
        <w:spacing w:after="40"/>
        <w:ind w:left="360"/>
      </w:pPr>
      <w:r>
        <w:rPr>
          <w:rFonts w:ascii="Calibri" w:hAnsi="Calibri"/>
          <w:sz w:val="20"/>
        </w:rPr>
        <w:t>D. Behavioral Observation Scale</w:t>
      </w:r>
    </w:p>
    <w:p>
      <w:pPr>
        <w:keepNext/>
        <w:spacing w:after="60"/>
      </w:pPr>
      <w:r>
        <w:rPr>
          <w:rFonts w:ascii="Calibri" w:hAnsi="Calibri"/>
          <w:b/>
          <w:sz w:val="21"/>
        </w:rPr>
        <w:t>10. An Employee Assistance Program (EAP) within an Organisational Wellness strategy primarily provides:</w:t>
      </w:r>
    </w:p>
    <w:p>
      <w:pPr>
        <w:spacing w:after="40"/>
        <w:ind w:left="360"/>
      </w:pPr>
      <w:r>
        <w:rPr>
          <w:rFonts w:ascii="Calibri" w:hAnsi="Calibri"/>
          <w:sz w:val="20"/>
        </w:rPr>
        <w:t>A. Financial auditing of company books</w:t>
      </w:r>
    </w:p>
    <w:p>
      <w:pPr>
        <w:spacing w:after="40"/>
        <w:ind w:left="360"/>
      </w:pPr>
      <w:r>
        <w:rPr>
          <w:rFonts w:ascii="Calibri" w:hAnsi="Calibri"/>
          <w:sz w:val="20"/>
        </w:rPr>
        <w:t>B. Confidential counseling, mental health, and referral services to support employees facing personal or work-related challenges</w:t>
      </w:r>
    </w:p>
    <w:p>
      <w:pPr>
        <w:spacing w:after="40"/>
        <w:ind w:left="360"/>
      </w:pPr>
      <w:r>
        <w:rPr>
          <w:rFonts w:ascii="Calibri" w:hAnsi="Calibri"/>
          <w:sz w:val="20"/>
        </w:rPr>
        <w:t>C. Mandatory overtime scheduling</w:t>
      </w:r>
    </w:p>
    <w:p>
      <w:pPr>
        <w:spacing w:after="40"/>
        <w:ind w:left="360"/>
      </w:pPr>
      <w:r>
        <w:rPr>
          <w:rFonts w:ascii="Calibri" w:hAnsi="Calibri"/>
          <w:sz w:val="20"/>
        </w:rPr>
        <w:t>D. Disciplinary hearing representation for management</w:t>
      </w:r>
    </w:p>
    <w:p>
      <w:pPr>
        <w:keepNext/>
        <w:spacing w:after="60"/>
      </w:pPr>
      <w:r>
        <w:rPr>
          <w:rFonts w:ascii="Calibri" w:hAnsi="Calibri"/>
          <w:b/>
          <w:sz w:val="21"/>
        </w:rPr>
        <w:t>11. Which tool is used in career management to help individuals understand their deep-seated underlying motivations and values guiding their career choices?</w:t>
      </w:r>
    </w:p>
    <w:p>
      <w:pPr>
        <w:spacing w:after="40"/>
        <w:ind w:left="360"/>
      </w:pPr>
      <w:r>
        <w:rPr>
          <w:rFonts w:ascii="Calibri" w:hAnsi="Calibri"/>
          <w:sz w:val="20"/>
        </w:rPr>
        <w:t>A. Balanced Scorecard</w:t>
      </w:r>
    </w:p>
    <w:p>
      <w:pPr>
        <w:spacing w:after="40"/>
        <w:ind w:left="360"/>
      </w:pPr>
      <w:r>
        <w:rPr>
          <w:rFonts w:ascii="Calibri" w:hAnsi="Calibri"/>
          <w:sz w:val="20"/>
        </w:rPr>
        <w:t>B. Career Anchors (Schein)</w:t>
      </w:r>
    </w:p>
    <w:p>
      <w:pPr>
        <w:spacing w:after="40"/>
        <w:ind w:left="360"/>
      </w:pPr>
      <w:r>
        <w:rPr>
          <w:rFonts w:ascii="Calibri" w:hAnsi="Calibri"/>
          <w:sz w:val="20"/>
        </w:rPr>
        <w:t>C. Force Field Analysis</w:t>
      </w:r>
    </w:p>
    <w:p>
      <w:pPr>
        <w:spacing w:after="40"/>
        <w:ind w:left="360"/>
      </w:pPr>
      <w:r>
        <w:rPr>
          <w:rFonts w:ascii="Calibri" w:hAnsi="Calibri"/>
          <w:sz w:val="20"/>
        </w:rPr>
        <w:t>D. Organogram</w:t>
      </w:r>
    </w:p>
    <w:p>
      <w:pPr>
        <w:keepNext/>
        <w:spacing w:after="60"/>
      </w:pPr>
      <w:r>
        <w:rPr>
          <w:rFonts w:ascii="Calibri" w:hAnsi="Calibri"/>
          <w:b/>
          <w:sz w:val="21"/>
        </w:rPr>
        <w:t>12. According to the Employment Equity Act Code of Good Practice on Integrating EE into HR Policies, selection criteria for training and development interventions must ensure:</w:t>
      </w:r>
    </w:p>
    <w:p>
      <w:pPr>
        <w:spacing w:after="40"/>
        <w:ind w:left="360"/>
      </w:pPr>
      <w:r>
        <w:rPr>
          <w:rFonts w:ascii="Calibri" w:hAnsi="Calibri"/>
          <w:sz w:val="20"/>
        </w:rPr>
        <w:t>A. Training is reserved exclusively for senior management</w:t>
      </w:r>
    </w:p>
    <w:p>
      <w:pPr>
        <w:spacing w:after="40"/>
        <w:ind w:left="360"/>
      </w:pPr>
      <w:r>
        <w:rPr>
          <w:rFonts w:ascii="Calibri" w:hAnsi="Calibri"/>
          <w:sz w:val="20"/>
        </w:rPr>
        <w:t>B. Automatic promotion prior to course commencement</w:t>
      </w:r>
    </w:p>
    <w:p>
      <w:pPr>
        <w:spacing w:after="40"/>
        <w:ind w:left="360"/>
      </w:pPr>
      <w:r>
        <w:rPr>
          <w:rFonts w:ascii="Calibri" w:hAnsi="Calibri"/>
          <w:sz w:val="20"/>
        </w:rPr>
        <w:t>C. Equitable access to skills development for designated groups without unfair discrimination</w:t>
      </w:r>
    </w:p>
    <w:p>
      <w:pPr>
        <w:spacing w:after="40"/>
        <w:ind w:left="360"/>
      </w:pPr>
      <w:r>
        <w:rPr>
          <w:rFonts w:ascii="Calibri" w:hAnsi="Calibri"/>
          <w:sz w:val="20"/>
        </w:rPr>
        <w:t>D. Exclusion of part-time employees</w:t>
      </w:r>
    </w:p>
    <w:p>
      <w:pPr>
        <w:keepNext/>
        <w:spacing w:after="60"/>
      </w:pPr>
      <w:r>
        <w:rPr>
          <w:rFonts w:ascii="Calibri" w:hAnsi="Calibri"/>
          <w:b/>
          <w:sz w:val="21"/>
        </w:rPr>
        <w:t>13. According to SABPP Reward and Recognition Standards, an effective Total Rewards framework encompasses:</w:t>
      </w:r>
    </w:p>
    <w:p>
      <w:pPr>
        <w:spacing w:after="40"/>
        <w:ind w:left="360"/>
      </w:pPr>
      <w:r>
        <w:rPr>
          <w:rFonts w:ascii="Calibri" w:hAnsi="Calibri"/>
          <w:sz w:val="20"/>
        </w:rPr>
        <w:t>A. Base pay and cash bonuses only</w:t>
      </w:r>
    </w:p>
    <w:p>
      <w:pPr>
        <w:spacing w:after="40"/>
        <w:ind w:left="360"/>
      </w:pPr>
      <w:r>
        <w:rPr>
          <w:rFonts w:ascii="Calibri" w:hAnsi="Calibri"/>
          <w:sz w:val="20"/>
        </w:rPr>
        <w:t>B. Monetary compensation, non-monetary recognition, employee benefits, wellness, and growth opportunities</w:t>
      </w:r>
    </w:p>
    <w:p>
      <w:pPr>
        <w:spacing w:after="40"/>
        <w:ind w:left="360"/>
      </w:pPr>
      <w:r>
        <w:rPr>
          <w:rFonts w:ascii="Calibri" w:hAnsi="Calibri"/>
          <w:sz w:val="20"/>
        </w:rPr>
        <w:t>C. Mandatory overtime pay only</w:t>
      </w:r>
    </w:p>
    <w:p>
      <w:pPr>
        <w:spacing w:after="40"/>
        <w:ind w:left="360"/>
      </w:pPr>
      <w:r>
        <w:rPr>
          <w:rFonts w:ascii="Calibri" w:hAnsi="Calibri"/>
          <w:sz w:val="20"/>
        </w:rPr>
        <w:t>D. Annual holiday gifts without performance linkage</w:t>
      </w:r>
    </w:p>
    <w:p>
      <w:pPr>
        <w:keepNext/>
        <w:spacing w:after="60"/>
      </w:pPr>
      <w:r>
        <w:rPr>
          <w:rFonts w:ascii="Calibri" w:hAnsi="Calibri"/>
          <w:b/>
          <w:sz w:val="21"/>
        </w:rPr>
        <w:t>14. In Kurt Lewin's classic 3-stage Change Management Model, the stage focused on driving behavioral change and adopting new practices is called:</w:t>
      </w:r>
    </w:p>
    <w:p>
      <w:pPr>
        <w:spacing w:after="40"/>
        <w:ind w:left="360"/>
      </w:pPr>
      <w:r>
        <w:rPr>
          <w:rFonts w:ascii="Calibri" w:hAnsi="Calibri"/>
          <w:sz w:val="20"/>
        </w:rPr>
        <w:t>A. Unfreezing</w:t>
      </w:r>
    </w:p>
    <w:p>
      <w:pPr>
        <w:spacing w:after="40"/>
        <w:ind w:left="360"/>
      </w:pPr>
      <w:r>
        <w:rPr>
          <w:rFonts w:ascii="Calibri" w:hAnsi="Calibri"/>
          <w:sz w:val="20"/>
        </w:rPr>
        <w:t>B. Refreezing</w:t>
      </w:r>
    </w:p>
    <w:p>
      <w:pPr>
        <w:spacing w:after="40"/>
        <w:ind w:left="360"/>
      </w:pPr>
      <w:r>
        <w:rPr>
          <w:rFonts w:ascii="Calibri" w:hAnsi="Calibri"/>
          <w:sz w:val="20"/>
        </w:rPr>
        <w:t>C. Change (or Moving)</w:t>
      </w:r>
    </w:p>
    <w:p>
      <w:pPr>
        <w:spacing w:after="40"/>
        <w:ind w:left="360"/>
      </w:pPr>
      <w:r>
        <w:rPr>
          <w:rFonts w:ascii="Calibri" w:hAnsi="Calibri"/>
          <w:sz w:val="20"/>
        </w:rPr>
        <w:t>D. Calibration</w:t>
      </w:r>
    </w:p>
    <w:p>
      <w:pPr>
        <w:keepNext/>
        <w:spacing w:after="60"/>
      </w:pPr>
      <w:r>
        <w:rPr>
          <w:rFonts w:ascii="Calibri" w:hAnsi="Calibri"/>
          <w:b/>
          <w:sz w:val="21"/>
        </w:rPr>
        <w:t>15. What is the main objective of a Performance Improvement Plan (PIP)?</w:t>
      </w:r>
    </w:p>
    <w:p>
      <w:pPr>
        <w:spacing w:after="40"/>
        <w:ind w:left="360"/>
      </w:pPr>
      <w:r>
        <w:rPr>
          <w:rFonts w:ascii="Calibri" w:hAnsi="Calibri"/>
          <w:sz w:val="20"/>
        </w:rPr>
        <w:t>A. To immediately terminate an employee's employment contract</w:t>
      </w:r>
    </w:p>
    <w:p>
      <w:pPr>
        <w:spacing w:after="40"/>
        <w:ind w:left="360"/>
      </w:pPr>
      <w:r>
        <w:rPr>
          <w:rFonts w:ascii="Calibri" w:hAnsi="Calibri"/>
          <w:sz w:val="20"/>
        </w:rPr>
        <w:t>B. To document specific performance deficiencies and provide structured support and timeframes for course correction</w:t>
      </w:r>
    </w:p>
    <w:p>
      <w:pPr>
        <w:spacing w:after="40"/>
        <w:ind w:left="360"/>
      </w:pPr>
      <w:r>
        <w:rPr>
          <w:rFonts w:ascii="Calibri" w:hAnsi="Calibri"/>
          <w:sz w:val="20"/>
        </w:rPr>
        <w:t>C. To reduce an employee's basic salary by 30%</w:t>
      </w:r>
    </w:p>
    <w:p>
      <w:pPr>
        <w:spacing w:after="40"/>
        <w:ind w:left="360"/>
      </w:pPr>
      <w:r>
        <w:rPr>
          <w:rFonts w:ascii="Calibri" w:hAnsi="Calibri"/>
          <w:sz w:val="20"/>
        </w:rPr>
        <w:t>D. To bypass the Labour Relations Act code of good practice on dismissal</w:t>
      </w:r>
    </w:p>
    <w:p>
      <w:pPr>
        <w:spacing w:after="200"/>
      </w:pPr>
    </w:p>
    <w:p>
      <w:pPr>
        <w:keepNext/>
        <w:spacing w:before="320" w:after="120"/>
      </w:pPr>
      <w:r>
        <w:rPr>
          <w:rFonts w:ascii="Arial" w:hAnsi="Arial"/>
          <w:b/>
          <w:color w:val="005A70"/>
          <w:sz w:val="32"/>
        </w:rPr>
        <w:t>SECTION C: TRUE / FALSE WITH JUSTIFICATION (20 MARKS)</w:t>
      </w:r>
    </w:p>
    <w:p>
      <w:pPr>
        <w:spacing w:after="160" w:line="276" w:lineRule="auto"/>
      </w:pPr>
      <w:r>
        <w:rPr>
          <w:rFonts w:ascii="Calibri" w:hAnsi="Calibri"/>
          <w:b w:val="0"/>
          <w:i/>
          <w:color w:val="222222"/>
          <w:sz w:val="22"/>
        </w:rPr>
        <w:t>Instructions: State whether each statement is TRUE or FALSE, and provide a detailed technical justification citing relevant principles, policies, statutory frameworks (e.g., Skills Development Act, EEA, B-BBEE Act, BCEA) or SABPP standards. Question order has been scrambled for Version 2. Allocation: 1 mark for correct True/False identification + 3 marks for comprehensive justification. Total: 4 marks each (5 Questions = 20 Marks).</w:t>
      </w:r>
    </w:p>
    <w:p>
      <w:pPr>
        <w:keepNext/>
        <w:spacing w:after="40"/>
      </w:pPr>
      <w:r>
        <w:rPr>
          <w:rFonts w:ascii="Calibri" w:hAnsi="Calibri"/>
          <w:b/>
          <w:sz w:val="21"/>
        </w:rPr>
        <w:t xml:space="preserve">Statement 1: </w:t>
      </w:r>
      <w:r>
        <w:rPr>
          <w:rFonts w:ascii="Calibri" w:hAnsi="Calibri"/>
          <w:i/>
          <w:sz w:val="21"/>
        </w:rPr>
        <w:t>"An Employer Value Proposition (EVP) and Rewards Strategy should incorporate both monetary compensation and non-monetary recognition to effectively drive employee engagement and retention."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2: </w:t>
      </w:r>
      <w:r>
        <w:rPr>
          <w:rFonts w:ascii="Calibri" w:hAnsi="Calibri"/>
          <w:i/>
          <w:sz w:val="21"/>
        </w:rPr>
        <w:t>"A Workplace Skills Plan (WSP) and Annual Training Report (ATR) can be submitted at any time during the financial year to qualify for SETA mandatory grants, as SETAs do not enforce annual submission deadlines."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3: </w:t>
      </w:r>
      <w:r>
        <w:rPr>
          <w:rFonts w:ascii="Calibri" w:hAnsi="Calibri"/>
          <w:i/>
          <w:sz w:val="21"/>
        </w:rPr>
        <w:t>"Organisational Development (OD) is a one-off HR project that focuses exclusively on fixing individual employee personality clashes without altering systemic organisational processes or culture."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4: </w:t>
      </w:r>
      <w:r>
        <w:rPr>
          <w:rFonts w:ascii="Calibri" w:hAnsi="Calibri"/>
          <w:i/>
          <w:sz w:val="21"/>
        </w:rPr>
        <w:t>"According to South African labour principles and SABPP Performance Management Standards, a Performance Improvement Plan (PIP) should be used as a supportive developmental intervention before taking formal disciplinary action for incapacity due to substandard performance."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keepNext/>
        <w:spacing w:after="40"/>
      </w:pPr>
      <w:r>
        <w:rPr>
          <w:rFonts w:ascii="Calibri" w:hAnsi="Calibri"/>
          <w:b/>
          <w:sz w:val="21"/>
        </w:rPr>
        <w:t xml:space="preserve">Statement 5: </w:t>
      </w:r>
      <w:r>
        <w:rPr>
          <w:rFonts w:ascii="Calibri" w:hAnsi="Calibri"/>
          <w:i/>
          <w:sz w:val="21"/>
        </w:rPr>
        <w:t>"Under the B-BBEE Act Codes of Good Practice, expenditure on Skills Development for black employees is an optional element that carries zero weight in an organisation's overall B-BBEE scorecard." [4 Marks]</w:t>
      </w:r>
    </w:p>
    <w:p>
      <w:pPr>
        <w:spacing w:after="160"/>
        <w:ind w:left="288"/>
      </w:pPr>
      <w:r>
        <w:rPr>
          <w:rFonts w:ascii="Calibri" w:hAnsi="Calibri"/>
          <w:color w:val="787878"/>
          <w:sz w:val="19"/>
        </w:rPr>
        <w:t>Indicate True/False: ____________________</w:t>
        <w:br/>
        <w:t>Justification: 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