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107C41"/>
          <w:sz w:val="20"/>
        </w:rPr>
        <w:t>ADVANCED OCCUPATIONAL CERTIFICATE: HUMAN RESOURCE MANAGEMENT OFFICER</w:t>
      </w:r>
    </w:p>
    <w:p>
      <w:pPr>
        <w:spacing w:before="0" w:after="120"/>
      </w:pPr>
      <w:r>
        <w:rPr>
          <w:b/>
          <w:color w:val="1B365D"/>
          <w:sz w:val="40"/>
        </w:rPr>
        <w:t>ASSESSOR GUIDE &amp; MARKING MEMORANDUM</w:t>
      </w:r>
    </w:p>
    <w:p>
      <w:pPr>
        <w:spacing w:after="240"/>
      </w:pPr>
      <w:r>
        <w:rPr>
          <w:i/>
          <w:color w:val="646464"/>
          <w:sz w:val="19"/>
        </w:rPr>
        <w:t>Topic KM0301: Implementation Principles and Practices for Staff Recruitment, Selection and Placement (Weighting: 15% of KM-03)</w:t>
        <w:br/>
        <w:t>Qualification SAQA ID: 121151 | NQF Level 6 | Curriculum Code: 242303-001-00-00 | Total Marks: 50 Marks</w:t>
      </w:r>
    </w:p>
    <w:p>
      <w:pPr>
        <w:keepNext/>
        <w:spacing w:before="160" w:after="40"/>
      </w:pPr>
      <w:r>
        <w:rPr>
          <w:rFonts w:ascii="Arial" w:hAnsi="Arial"/>
          <w:b/>
          <w:color w:val="1B365D"/>
          <w:sz w:val="22"/>
        </w:rPr>
        <w:t>Assessor &amp; Quality Governance Details</w:t>
      </w:r>
    </w:p>
    <w:tbl>
      <w:tblPr>
        <w:tblW w:type="auto" w:w="0"/>
        <w:jc w:val="center"/>
        <w:tblLook w:firstColumn="1" w:firstRow="1" w:lastColumn="0" w:lastRow="0" w:noHBand="0" w:noVBand="1" w:val="04A0"/>
      </w:tblPr>
      <w:tblGrid>
        <w:gridCol w:w="4968"/>
        <w:gridCol w:w="4968"/>
      </w:tblGrid>
      <w:tr>
        <w:trPr>
          <w:cantSplit/>
          <w:tblHeader/>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Document Type:</w:t>
            </w:r>
          </w:p>
        </w:tc>
        <w:tc>
          <w:tcPr>
            <w:tcW w:type="dxa" w:w="6336"/>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Topic KM0301 Assessor Guide &amp; Model Answer Memorandum</w:t>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b/>
                <w:color w:val="333333"/>
                <w:sz w:val="18"/>
              </w:rPr>
              <w:t>Target Audience:</w:t>
            </w:r>
          </w:p>
        </w:tc>
        <w:tc>
          <w:tcPr>
            <w:tcW w:type="dxa" w:w="633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Accredited Assessors, Internal Moderators, and Facilitators</w:t>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b/>
                <w:color w:val="333333"/>
                <w:sz w:val="18"/>
              </w:rPr>
              <w:t>Minimum Benchmark for Competence:</w:t>
            </w:r>
          </w:p>
        </w:tc>
        <w:tc>
          <w:tcPr>
            <w:tcW w:type="dxa" w:w="633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80% Overall Score (40 / 50 Marks)</w:t>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b/>
                <w:color w:val="333333"/>
                <w:sz w:val="18"/>
              </w:rPr>
              <w:t>Language &amp; Style Standard:</w:t>
            </w:r>
          </w:p>
        </w:tc>
        <w:tc>
          <w:tcPr>
            <w:tcW w:type="dxa" w:w="633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UK English / NQF Level 6 Talent Acquisition Professional Standards</w:t>
            </w:r>
          </w:p>
        </w:tc>
      </w:tr>
    </w:tbl>
    <w:p>
      <w:pPr>
        <w:spacing w:after="120"/>
      </w:pPr>
    </w:p>
    <w:tbl>
      <w:tblPr>
        <w:tblW w:type="auto" w:w="0"/>
        <w:jc w:val="center"/>
        <w:tblLook w:firstColumn="1" w:firstRow="1" w:lastColumn="0" w:lastRow="0" w:noHBand="0" w:noVBand="1" w:val="04A0"/>
      </w:tblPr>
      <w:tblGrid>
        <w:gridCol w:w="9936"/>
      </w:tblGrid>
      <w:tr>
        <w:tc>
          <w:tcPr>
            <w:tcW w:type="dxa" w:w="9936"/>
            <w:shd w:fill="F4F6F9"/>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ASSESSOR GUIDELINES &amp; MARKING PRINCIPLES</w:t>
              <w:br/>
            </w:r>
            <w:r>
              <w:rPr>
                <w:color w:val="333333"/>
                <w:sz w:val="19"/>
              </w:rPr>
              <w:t>1. This Assessor Guide contains model solutions, legal benchmarks, and marking schemes for Topic KM0301.</w:t>
            </w:r>
          </w:p>
          <w:p>
            <w:pPr>
              <w:spacing w:before="0" w:after="40"/>
            </w:pPr>
            <w:r>
              <w:rPr>
                <w:color w:val="333333"/>
                <w:sz w:val="19"/>
              </w:rPr>
              <w:t>2. Evaluate learner responses against NQF Level 6 criteria: accurate talent procurement terminology, Employment Equity Code of Good Practice alignment, ATS data analytics interpretation, and cross-functional stakeholder roles.</w:t>
            </w:r>
          </w:p>
          <w:p>
            <w:pPr>
              <w:spacing w:before="0" w:after="40"/>
            </w:pPr>
            <w:r>
              <w:rPr>
                <w:color w:val="333333"/>
                <w:sz w:val="19"/>
              </w:rPr>
              <w:t>3. Partial marks are permitted for open-ended questions and practical scenarios where well-reasoned HR solutions are presented.</w:t>
            </w:r>
          </w:p>
          <w:p>
            <w:pPr>
              <w:spacing w:before="0" w:after="40"/>
            </w:pPr>
            <w:r>
              <w:rPr>
                <w:color w:val="333333"/>
                <w:sz w:val="19"/>
              </w:rPr>
              <w:t>4. Record marks accurately in Section 3 of the Learner Workbook and provide constructive development feedback.</w:t>
            </w:r>
          </w:p>
        </w:tc>
      </w:tr>
    </w:tbl>
    <w:p>
      <w:pPr>
        <w:spacing w:after="80"/>
      </w:pPr>
    </w:p>
    <w:p>
      <w:pPr>
        <w:keepNext/>
        <w:spacing w:before="320" w:after="120"/>
        <w:pBdr>
          <w:bottom w:val="single" w:sz="12" w:space="4" w:color="1B365D"/>
        </w:pBdr>
      </w:pPr>
      <w:r>
        <w:rPr>
          <w:rFonts w:ascii="Arial" w:hAnsi="Arial"/>
          <w:b/>
          <w:color w:val="1B365D"/>
          <w:sz w:val="30"/>
        </w:rPr>
        <w:t>SECTION 1: KNOWLEDGE &amp; UNDERSTANDING MEMORANDUM (30 MARKS)</w:t>
      </w:r>
    </w:p>
    <w:p>
      <w:pPr>
        <w:keepNext/>
        <w:spacing w:before="240" w:after="80"/>
      </w:pPr>
      <w:r>
        <w:rPr>
          <w:rFonts w:ascii="Arial" w:hAnsi="Arial"/>
          <w:b/>
          <w:color w:val="107C41"/>
          <w:sz w:val="25"/>
        </w:rPr>
        <w:t>Part A: Multiple-Choice Questions Memorandum (5 Marks)</w:t>
      </w:r>
    </w:p>
    <w:tbl>
      <w:tblPr>
        <w:tblW w:type="auto" w:w="0"/>
        <w:jc w:val="center"/>
        <w:tblLook w:firstColumn="1" w:firstRow="1" w:lastColumn="0" w:lastRow="0" w:noHBand="0" w:noVBand="1" w:val="04A0"/>
      </w:tblPr>
      <w:tblGrid>
        <w:gridCol w:w="2484"/>
        <w:gridCol w:w="2484"/>
        <w:gridCol w:w="2484"/>
        <w:gridCol w:w="2484"/>
      </w:tblGrid>
      <w:tr>
        <w:trPr>
          <w:cantSplit/>
          <w:tblHeader/>
        </w:trPr>
        <w:tc>
          <w:tcPr>
            <w:tcW w:type="dxa" w:w="864"/>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Q#</w:t>
            </w:r>
          </w:p>
        </w:tc>
        <w:tc>
          <w:tcPr>
            <w:tcW w:type="dxa" w:w="1728"/>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Correct Option</w:t>
            </w:r>
          </w:p>
        </w:tc>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Key Answer / HR Concept</w:t>
            </w:r>
          </w:p>
        </w:tc>
        <w:tc>
          <w:tcPr>
            <w:tcW w:type="dxa" w:w="3744"/>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Mark Allocation &amp; Criteria</w:t>
            </w:r>
          </w:p>
        </w:tc>
      </w:tr>
      <w:tr>
        <w:trPr>
          <w:cantSplit/>
        </w:trPr>
        <w:tc>
          <w:tcPr>
            <w:tcW w:type="dxa" w:w="86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1</w:t>
            </w:r>
          </w:p>
        </w:tc>
        <w:tc>
          <w:tcPr>
            <w:tcW w:type="dxa" w:w="172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B</w:t>
            </w:r>
          </w:p>
        </w:tc>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Onboarding and Placement</w:t>
            </w:r>
          </w:p>
        </w:tc>
        <w:tc>
          <w:tcPr>
            <w:tcW w:type="dxa" w:w="374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1 Mark. Integrates candidate into organisation, team, and role.</w:t>
            </w:r>
          </w:p>
        </w:tc>
      </w:tr>
      <w:tr>
        <w:trPr>
          <w:cantSplit/>
        </w:trPr>
        <w:tc>
          <w:tcPr>
            <w:tcW w:type="dxa" w:w="86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2</w:t>
            </w:r>
          </w:p>
        </w:tc>
        <w:tc>
          <w:tcPr>
            <w:tcW w:type="dxa" w:w="1728"/>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B</w:t>
            </w:r>
          </w:p>
        </w:tc>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Collaborative, candidate-experience focused acquisition</w:t>
            </w:r>
          </w:p>
        </w:tc>
        <w:tc>
          <w:tcPr>
            <w:tcW w:type="dxa" w:w="374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1 Mark. Modern model replacing isolated, reactive hiring.</w:t>
            </w:r>
          </w:p>
        </w:tc>
      </w:tr>
      <w:tr>
        <w:trPr>
          <w:cantSplit/>
        </w:trPr>
        <w:tc>
          <w:tcPr>
            <w:tcW w:type="dxa" w:w="86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3</w:t>
            </w:r>
          </w:p>
        </w:tc>
        <w:tc>
          <w:tcPr>
            <w:tcW w:type="dxa" w:w="172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B</w:t>
            </w:r>
          </w:p>
        </w:tc>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Non-binding professional practice guidelines</w:t>
            </w:r>
          </w:p>
        </w:tc>
        <w:tc>
          <w:tcPr>
            <w:tcW w:type="dxa" w:w="374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1 Mark. EE Code of Good Practice guidelines for non-discriminatory HR.</w:t>
            </w:r>
          </w:p>
        </w:tc>
      </w:tr>
      <w:tr>
        <w:trPr>
          <w:cantSplit/>
        </w:trPr>
        <w:tc>
          <w:tcPr>
            <w:tcW w:type="dxa" w:w="86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4</w:t>
            </w:r>
          </w:p>
        </w:tc>
        <w:tc>
          <w:tcPr>
            <w:tcW w:type="dxa" w:w="1728"/>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B</w:t>
            </w:r>
          </w:p>
        </w:tc>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Compensation and Benefits (C&amp;B) Specialist</w:t>
            </w:r>
          </w:p>
        </w:tc>
        <w:tc>
          <w:tcPr>
            <w:tcW w:type="dxa" w:w="374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1 Mark. Provides market salary data and competitive offer structuring.</w:t>
            </w:r>
          </w:p>
        </w:tc>
      </w:tr>
      <w:tr>
        <w:trPr>
          <w:cantSplit/>
        </w:trPr>
        <w:tc>
          <w:tcPr>
            <w:tcW w:type="dxa" w:w="86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5</w:t>
            </w:r>
          </w:p>
        </w:tc>
        <w:tc>
          <w:tcPr>
            <w:tcW w:type="dxa" w:w="172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B</w:t>
            </w:r>
          </w:p>
        </w:tc>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Streamline, store, parse, and analyse recruitment data</w:t>
            </w:r>
          </w:p>
        </w:tc>
        <w:tc>
          <w:tcPr>
            <w:tcW w:type="dxa" w:w="374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1 Mark. ATS/HR-TMIS central hub for sourcing and pipeline management.</w:t>
            </w:r>
          </w:p>
        </w:tc>
      </w:tr>
    </w:tbl>
    <w:p>
      <w:pPr>
        <w:spacing w:after="120"/>
      </w:pPr>
    </w:p>
    <w:p>
      <w:pPr>
        <w:keepNext/>
        <w:spacing w:before="240" w:after="80"/>
      </w:pPr>
      <w:r>
        <w:rPr>
          <w:rFonts w:ascii="Arial" w:hAnsi="Arial"/>
          <w:b/>
          <w:color w:val="107C41"/>
          <w:sz w:val="25"/>
        </w:rPr>
        <w:t>Part B: True / False Memorandum (5 Marks)</w:t>
      </w:r>
    </w:p>
    <w:tbl>
      <w:tblPr>
        <w:tblW w:type="auto" w:w="0"/>
        <w:jc w:val="center"/>
        <w:tblLook w:firstColumn="1" w:firstRow="1" w:lastColumn="0" w:lastRow="0" w:noHBand="0" w:noVBand="1" w:val="04A0"/>
      </w:tblPr>
      <w:tblGrid>
        <w:gridCol w:w="3312"/>
        <w:gridCol w:w="3312"/>
        <w:gridCol w:w="3312"/>
      </w:tblGrid>
      <w:tr>
        <w:trPr>
          <w:cantSplit/>
          <w:tblHeader/>
        </w:trPr>
        <w:tc>
          <w:tcPr>
            <w:tcW w:type="dxa" w:w="1440"/>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Statement #</w:t>
            </w:r>
          </w:p>
        </w:tc>
        <w:tc>
          <w:tcPr>
            <w:tcW w:type="dxa" w:w="2016"/>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Correct Answer</w:t>
            </w:r>
          </w:p>
        </w:tc>
        <w:tc>
          <w:tcPr>
            <w:tcW w:type="dxa" w:w="6480"/>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Assessment Guidance / Rationale</w:t>
            </w:r>
          </w:p>
        </w:tc>
      </w:tr>
      <w:tr>
        <w:trPr>
          <w:cantSplit/>
        </w:trPr>
        <w:tc>
          <w:tcPr>
            <w:tcW w:type="dxa" w:w="144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1</w:t>
            </w:r>
          </w:p>
        </w:tc>
        <w:tc>
          <w:tcPr>
            <w:tcW w:type="dxa" w:w="201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TRUE</w:t>
            </w:r>
          </w:p>
        </w:tc>
        <w:tc>
          <w:tcPr>
            <w:tcW w:type="dxa" w:w="648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1 Mark. Employer Branding builds a positive market reputation to attract top talent.</w:t>
            </w:r>
          </w:p>
        </w:tc>
      </w:tr>
      <w:tr>
        <w:trPr>
          <w:cantSplit/>
        </w:trPr>
        <w:tc>
          <w:tcPr>
            <w:tcW w:type="dxa" w:w="144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2</w:t>
            </w:r>
          </w:p>
        </w:tc>
        <w:tc>
          <w:tcPr>
            <w:tcW w:type="dxa" w:w="201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FALSE</w:t>
            </w:r>
          </w:p>
        </w:tc>
        <w:tc>
          <w:tcPr>
            <w:tcW w:type="dxa" w:w="648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1 Mark. Codes of Good Practice are guidelines, not parliamentary statutes; they inform policies.</w:t>
            </w:r>
          </w:p>
        </w:tc>
      </w:tr>
      <w:tr>
        <w:trPr>
          <w:cantSplit/>
        </w:trPr>
        <w:tc>
          <w:tcPr>
            <w:tcW w:type="dxa" w:w="144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3</w:t>
            </w:r>
          </w:p>
        </w:tc>
        <w:tc>
          <w:tcPr>
            <w:tcW w:type="dxa" w:w="201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TRUE</w:t>
            </w:r>
          </w:p>
        </w:tc>
        <w:tc>
          <w:tcPr>
            <w:tcW w:type="dxa" w:w="648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1 Mark. People Analytics uses ATS data to measure cost-per-hire, time-to-fill, and sourcing channels.</w:t>
            </w:r>
          </w:p>
        </w:tc>
      </w:tr>
      <w:tr>
        <w:trPr>
          <w:cantSplit/>
        </w:trPr>
        <w:tc>
          <w:tcPr>
            <w:tcW w:type="dxa" w:w="144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4</w:t>
            </w:r>
          </w:p>
        </w:tc>
        <w:tc>
          <w:tcPr>
            <w:tcW w:type="dxa" w:w="201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TRUE</w:t>
            </w:r>
          </w:p>
        </w:tc>
        <w:tc>
          <w:tcPr>
            <w:tcW w:type="dxa" w:w="648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1 Mark. HR Officers ensure anti-discrimination compliance, fair selection, and process integrity.</w:t>
            </w:r>
          </w:p>
        </w:tc>
      </w:tr>
      <w:tr>
        <w:trPr>
          <w:cantSplit/>
        </w:trPr>
        <w:tc>
          <w:tcPr>
            <w:tcW w:type="dxa" w:w="144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5</w:t>
            </w:r>
          </w:p>
        </w:tc>
        <w:tc>
          <w:tcPr>
            <w:tcW w:type="dxa" w:w="201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FALSE</w:t>
            </w:r>
          </w:p>
        </w:tc>
        <w:tc>
          <w:tcPr>
            <w:tcW w:type="dxa" w:w="648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1 Mark. D&amp;I principles must be integrated throughout recruitment, from job posts to interview panels.</w:t>
            </w:r>
          </w:p>
        </w:tc>
      </w:tr>
    </w:tbl>
    <w:p>
      <w:pPr>
        <w:spacing w:after="120"/>
      </w:pPr>
    </w:p>
    <w:p>
      <w:pPr>
        <w:keepNext/>
        <w:spacing w:before="240" w:after="80"/>
      </w:pPr>
      <w:r>
        <w:rPr>
          <w:rFonts w:ascii="Arial" w:hAnsi="Arial"/>
          <w:b/>
          <w:color w:val="107C41"/>
          <w:sz w:val="25"/>
        </w:rPr>
        <w:t>Part C: True / False with Technical Justification Memorandum (5 Marks)</w:t>
      </w:r>
    </w:p>
    <w:p>
      <w:pPr>
        <w:spacing w:before="80" w:after="40"/>
      </w:pPr>
      <w:r>
        <w:rPr>
          <w:b/>
        </w:rPr>
        <w:t>Statement 1: 'Using AI-powered resume screening algorithms in an ATS guarantees 100% elimination of bias in candidate selection without requiring human HR oversight.'</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MODEL ANSWER &amp; MARKING SCHEME</w:t>
              <w:br/>
            </w:r>
            <w:r>
              <w:rPr>
                <w:color w:val="333333"/>
                <w:sz w:val="19"/>
              </w:rPr>
              <w:t>Correct Answer: FALSE (1 Mark)</w:t>
            </w:r>
          </w:p>
          <w:p>
            <w:pPr>
              <w:spacing w:before="0" w:after="40"/>
            </w:pPr>
            <w:r>
              <w:rPr>
                <w:color w:val="333333"/>
                <w:sz w:val="19"/>
              </w:rPr>
              <w:t>Justification Benchmark (1.5 Marks):</w:t>
              <w:br/>
              <w:t>AI screening algorithms are trained on historical data and can replicate or amplify underlying algorithmic biases (e.g., keyword filtering that inadvertently penalizes designated groups). Human HR oversight is essential to audit algorithms, ensure D&amp;I compliance, and contextually evaluate candidate potential.</w:t>
            </w:r>
          </w:p>
        </w:tc>
      </w:tr>
    </w:tbl>
    <w:p>
      <w:pPr>
        <w:spacing w:after="80"/>
      </w:pPr>
    </w:p>
    <w:p>
      <w:pPr>
        <w:spacing w:before="80" w:after="40"/>
      </w:pPr>
      <w:r>
        <w:rPr>
          <w:b/>
        </w:rPr>
        <w:t>Statement 2: 'Involving HR Business Partners (HRBPs) and Line Managers in job analysis ensures that job descriptions accurately reflect current operational demands and strategic departmental goals.'</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MODEL ANSWER &amp; MARKING SCHEME</w:t>
              <w:br/>
            </w:r>
            <w:r>
              <w:rPr>
                <w:color w:val="333333"/>
                <w:sz w:val="19"/>
              </w:rPr>
              <w:t>Correct Answer: TRUE (1 Mark)</w:t>
            </w:r>
          </w:p>
          <w:p>
            <w:pPr>
              <w:spacing w:before="0" w:after="40"/>
            </w:pPr>
            <w:r>
              <w:rPr>
                <w:color w:val="333333"/>
                <w:sz w:val="19"/>
              </w:rPr>
              <w:t>Justification Benchmark (1.5 Marks):</w:t>
              <w:br/>
              <w:t>Job analysis requires operational insights from Line Managers (day-to-day duties and technical competencies) and strategic input from HRBPs (aligning role specifications with departmental business plans). This collaboration creates precise, compliant, and realistic job profiles.</w:t>
            </w:r>
          </w:p>
        </w:tc>
      </w:tr>
    </w:tbl>
    <w:p>
      <w:pPr>
        <w:spacing w:after="80"/>
      </w:pPr>
    </w:p>
    <w:p>
      <w:pPr>
        <w:keepNext/>
        <w:spacing w:before="240" w:after="80"/>
      </w:pPr>
      <w:r>
        <w:rPr>
          <w:rFonts w:ascii="Arial" w:hAnsi="Arial"/>
          <w:b/>
          <w:color w:val="107C41"/>
          <w:sz w:val="25"/>
        </w:rPr>
        <w:t>Part D: Short Answer Conceptual Questions Memorandum (15 Marks)</w:t>
      </w:r>
    </w:p>
    <w:p>
      <w:pPr>
        <w:spacing w:before="120" w:after="40"/>
      </w:pPr>
      <w:r>
        <w:rPr>
          <w:b/>
        </w:rPr>
        <w:t>Question 1 (IAC0101): Recruitment vs. Selection vs. Placement (3 Marks)</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MARKING SCHEME &amp; BENCHMARK</w:t>
              <w:br/>
            </w:r>
            <w:r>
              <w:rPr>
                <w:color w:val="333333"/>
                <w:sz w:val="19"/>
              </w:rPr>
              <w:t>Award 1 Mark per phase correctly defined with activity and output (Max 3 Marks):</w:t>
            </w:r>
          </w:p>
          <w:p>
            <w:pPr>
              <w:spacing w:before="0" w:after="40"/>
            </w:pPr>
            <w:r>
              <w:rPr>
                <w:color w:val="333333"/>
                <w:sz w:val="19"/>
              </w:rPr>
              <w:t>• Recruitment: Attracting qualified candidates for open roles. Activity: Targeted sourcing / job posting. Output: Shortlisted candidate pool.</w:t>
            </w:r>
          </w:p>
          <w:p>
            <w:pPr>
              <w:spacing w:before="0" w:after="40"/>
            </w:pPr>
            <w:r>
              <w:rPr>
                <w:color w:val="333333"/>
                <w:sz w:val="19"/>
              </w:rPr>
              <w:t>• Selection: Evaluating candidates against job requirements. Activity: Competency interviewing / skills testing. Output: Appointed candidate.</w:t>
            </w:r>
          </w:p>
          <w:p>
            <w:pPr>
              <w:spacing w:before="0" w:after="40"/>
            </w:pPr>
            <w:r>
              <w:rPr>
                <w:color w:val="333333"/>
                <w:sz w:val="19"/>
              </w:rPr>
              <w:t>• Placement: Integrating chosen candidate into the role and firm. Activity: Structured onboarding / mentorship. Output: Fully acclimated, productive employee.</w:t>
            </w:r>
          </w:p>
        </w:tc>
      </w:tr>
    </w:tbl>
    <w:p>
      <w:pPr>
        <w:spacing w:after="80"/>
      </w:pPr>
    </w:p>
    <w:p>
      <w:pPr>
        <w:spacing w:before="120" w:after="40"/>
      </w:pPr>
      <w:r>
        <w:rPr>
          <w:b/>
        </w:rPr>
        <w:t>Question 2 (IAC0102): Advantages of Proactive Talent Acquisition (3 Marks)</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MARKING SCHEME &amp; BENCHMARK</w:t>
              <w:br/>
            </w:r>
            <w:r>
              <w:rPr>
                <w:color w:val="333333"/>
                <w:sz w:val="19"/>
              </w:rPr>
              <w:t>Award 1 Mark per valid advantage explained (Max 3 Marks):</w:t>
            </w:r>
          </w:p>
          <w:p>
            <w:pPr>
              <w:spacing w:before="0" w:after="40"/>
            </w:pPr>
            <w:r>
              <w:rPr>
                <w:color w:val="333333"/>
                <w:sz w:val="19"/>
              </w:rPr>
              <w:t>1. Reduced Time-to-Fill: Building talent pipelines and talent pools enables fast filling of critical vacancies.</w:t>
            </w:r>
          </w:p>
          <w:p>
            <w:pPr>
              <w:spacing w:before="0" w:after="40"/>
            </w:pPr>
            <w:r>
              <w:rPr>
                <w:color w:val="333333"/>
                <w:sz w:val="19"/>
              </w:rPr>
              <w:t>2. Enhanced Candidate Experience &amp; Employer Brand: Transparent, communicative processes build strong market reputation.</w:t>
            </w:r>
          </w:p>
          <w:p>
            <w:pPr>
              <w:spacing w:before="0" w:after="40"/>
            </w:pPr>
            <w:r>
              <w:rPr>
                <w:color w:val="333333"/>
                <w:sz w:val="19"/>
              </w:rPr>
              <w:t>3. Higher Quality &amp; Cultural Fit: Skills-based assessments and proactive sourcing ensure better job fit and retention.</w:t>
            </w:r>
          </w:p>
        </w:tc>
      </w:tr>
    </w:tbl>
    <w:p>
      <w:pPr>
        <w:spacing w:after="80"/>
      </w:pPr>
    </w:p>
    <w:p>
      <w:pPr>
        <w:spacing w:before="120" w:after="40"/>
      </w:pPr>
      <w:r>
        <w:rPr>
          <w:b/>
        </w:rPr>
        <w:t>Question 3 (IAC0103): Guidance from EE Code of Good Practice in Recruitment (3 Marks)</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MARKING SCHEME &amp; BENCHMARK</w:t>
              <w:br/>
            </w:r>
            <w:r>
              <w:rPr>
                <w:color w:val="333333"/>
                <w:sz w:val="19"/>
              </w:rPr>
              <w:t>Award 1 Mark per valid principle outlined (Max 3 Marks):</w:t>
            </w:r>
          </w:p>
          <w:p>
            <w:pPr>
              <w:spacing w:before="0" w:after="40"/>
            </w:pPr>
            <w:r>
              <w:rPr>
                <w:color w:val="333333"/>
                <w:sz w:val="19"/>
              </w:rPr>
              <w:t>1. Non-Discriminatory Job Descriptions: Ensuring job criteria are free from unfair discriminatory language and focus on inherent job requirements.</w:t>
            </w:r>
          </w:p>
          <w:p>
            <w:pPr>
              <w:spacing w:before="0" w:after="40"/>
            </w:pPr>
            <w:r>
              <w:rPr>
                <w:color w:val="333333"/>
                <w:sz w:val="19"/>
              </w:rPr>
              <w:t>2. Objective Selection Criteria: Utilizing structured interviews and validated assessments to eliminate subjective bias.</w:t>
            </w:r>
          </w:p>
          <w:p>
            <w:pPr>
              <w:spacing w:before="0" w:after="40"/>
            </w:pPr>
            <w:r>
              <w:rPr>
                <w:color w:val="333333"/>
                <w:sz w:val="19"/>
              </w:rPr>
              <w:t>3. Affirmative Action Integration: Actively sourcing and shortlisting candidates from designated groups to meet EE plan targets.</w:t>
            </w:r>
          </w:p>
        </w:tc>
      </w:tr>
    </w:tbl>
    <w:p>
      <w:pPr>
        <w:spacing w:after="80"/>
      </w:pPr>
    </w:p>
    <w:p>
      <w:pPr>
        <w:spacing w:before="120" w:after="40"/>
      </w:pPr>
      <w:r>
        <w:rPr>
          <w:b/>
        </w:rPr>
        <w:t>Question 4 (IAC0104 &amp; IAC0107): Using ATS Data Analytics for Compliance &amp; Quality (3 Marks)</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MARKING SCHEME &amp; BENCHMARK</w:t>
              <w:br/>
            </w:r>
            <w:r>
              <w:rPr>
                <w:color w:val="333333"/>
                <w:sz w:val="19"/>
              </w:rPr>
              <w:t>Award 1 Mark per analytics application explained (Max 3 Marks):</w:t>
            </w:r>
          </w:p>
          <w:p>
            <w:pPr>
              <w:spacing w:before="0" w:after="40"/>
            </w:pPr>
            <w:r>
              <w:rPr>
                <w:color w:val="333333"/>
                <w:sz w:val="19"/>
              </w:rPr>
              <w:t>1. Diversity Funnel Analytics: Tracking candidate demographics at each hiring stage to identify potential screening bias.</w:t>
            </w:r>
          </w:p>
          <w:p>
            <w:pPr>
              <w:spacing w:before="0" w:after="40"/>
            </w:pPr>
            <w:r>
              <w:rPr>
                <w:color w:val="333333"/>
                <w:sz w:val="19"/>
              </w:rPr>
              <w:t>2. Time-in-Stage Analytics: Monitoring bottleneck delays between interview rounds to streamline decision-making.</w:t>
            </w:r>
          </w:p>
          <w:p>
            <w:pPr>
              <w:spacing w:before="0" w:after="40"/>
            </w:pPr>
            <w:r>
              <w:rPr>
                <w:color w:val="333333"/>
                <w:sz w:val="19"/>
              </w:rPr>
              <w:t>3. Conversion &amp; Acceptance Rates: Measuring offer acceptance rates to evaluate offer competitiveness and candidate satisfaction.</w:t>
            </w:r>
          </w:p>
        </w:tc>
      </w:tr>
    </w:tbl>
    <w:p>
      <w:pPr>
        <w:spacing w:after="80"/>
      </w:pPr>
    </w:p>
    <w:p>
      <w:pPr>
        <w:spacing w:before="120" w:after="40"/>
      </w:pPr>
      <w:r>
        <w:rPr>
          <w:b/>
        </w:rPr>
        <w:t>Question 5 (IAC0105 &amp; IAC0106): Stakeholder Roles in Final Selection &amp; Offer Negotiation (3 Marks)</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MARKING SCHEME &amp; BENCHMARK</w:t>
              <w:br/>
            </w:r>
            <w:r>
              <w:rPr>
                <w:color w:val="333333"/>
                <w:sz w:val="19"/>
              </w:rPr>
              <w:t>• HR Officer (1 Mark): Coordinates panel interviews, conducts reference checks, oversees EE compliance, and leads offer negotiations.</w:t>
            </w:r>
          </w:p>
          <w:p>
            <w:pPr>
              <w:spacing w:before="0" w:after="40"/>
            </w:pPr>
            <w:r>
              <w:rPr>
                <w:color w:val="333333"/>
                <w:sz w:val="19"/>
              </w:rPr>
              <w:t>• Line Manager (1 Mark): Evaluates technical competencies, assesses team cultural fit, and makes final selection decisions.</w:t>
            </w:r>
          </w:p>
          <w:p>
            <w:pPr>
              <w:spacing w:before="0" w:after="40"/>
            </w:pPr>
            <w:r>
              <w:rPr>
                <w:color w:val="333333"/>
                <w:sz w:val="19"/>
              </w:rPr>
              <w:t>• C&amp;B Specialist (1 Mark): Benchmarks market pay rates, models total reward packages, and sets salary offer bands.</w:t>
            </w:r>
          </w:p>
        </w:tc>
      </w:tr>
    </w:tbl>
    <w:p>
      <w:pPr>
        <w:spacing w:after="80"/>
      </w:pPr>
    </w:p>
    <w:p>
      <w:pPr>
        <w:keepNext/>
        <w:spacing w:before="320" w:after="120"/>
        <w:pBdr>
          <w:bottom w:val="single" w:sz="12" w:space="4" w:color="1B365D"/>
        </w:pBdr>
      </w:pPr>
      <w:r>
        <w:rPr>
          <w:rFonts w:ascii="Arial" w:hAnsi="Arial"/>
          <w:b/>
          <w:color w:val="1B365D"/>
          <w:sz w:val="30"/>
        </w:rPr>
        <w:t>SECTION 2: SCENARIO-BASED PRACTICAL TASK MEMO (20 MARKS)</w:t>
      </w:r>
    </w:p>
    <w:p>
      <w:pPr>
        <w:keepNext/>
        <w:spacing w:before="240" w:after="80"/>
      </w:pPr>
      <w:r>
        <w:rPr>
          <w:rFonts w:ascii="Arial" w:hAnsi="Arial"/>
          <w:b/>
          <w:color w:val="107C41"/>
          <w:sz w:val="25"/>
        </w:rPr>
        <w:t>Task 1 Model Answer: Recruitment Bottleneck &amp; ATS Analytics (10 Marks - IAC0102, IAC0107)</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MODEL ANSWER &amp; RUBRIC - PRACTICAL TASK 1</w:t>
              <w:br/>
            </w:r>
            <w:r>
              <w:rPr>
                <w:color w:val="333333"/>
                <w:sz w:val="19"/>
              </w:rPr>
              <w:t>1.1 ATS Analytics Evaluation &amp; Flaw Identification (5 Marks):</w:t>
            </w:r>
          </w:p>
          <w:p>
            <w:pPr>
              <w:spacing w:before="0" w:after="40"/>
            </w:pPr>
            <w:r>
              <w:rPr>
                <w:color w:val="333333"/>
                <w:sz w:val="19"/>
              </w:rPr>
              <w:t>• Flaw 1 (Excessive Friction / Drop-out Rate - 1.7 Marks): 65% drop-out rate caused by a lengthy 8-page manual form. Operational impact: Drives away top-tier candidates who refuse cumbersome applications.</w:t>
            </w:r>
          </w:p>
          <w:p>
            <w:pPr>
              <w:spacing w:before="0" w:after="40"/>
            </w:pPr>
            <w:r>
              <w:rPr>
                <w:color w:val="333333"/>
                <w:sz w:val="19"/>
              </w:rPr>
              <w:t>• Flaw 2 (Interstage Communication Delays - 1.7 Marks): 24-day lag between interviews and decisions, pushing time-to-fill to 85 days. Operational impact: High candidate drop-out and lost productivity in unfilled engineering roles.</w:t>
            </w:r>
          </w:p>
          <w:p>
            <w:pPr>
              <w:spacing w:before="0" w:after="40"/>
            </w:pPr>
            <w:r>
              <w:rPr>
                <w:color w:val="333333"/>
                <w:sz w:val="19"/>
              </w:rPr>
              <w:t>• Flaw 3 (Uncompetitive / Unclear Value Proposition - 1.6 Marks): 42% offer acceptance rate and lack of salary transparency. Operational impact: Wasted recruitment expenditure and lost talent to competitors.</w:t>
            </w:r>
          </w:p>
          <w:p>
            <w:pPr>
              <w:spacing w:before="0" w:after="40"/>
            </w:pPr>
            <w:r>
              <w:rPr>
                <w:color w:val="333333"/>
                <w:sz w:val="19"/>
              </w:rPr>
            </w:r>
          </w:p>
          <w:p>
            <w:pPr>
              <w:spacing w:before="0" w:after="40"/>
            </w:pPr>
            <w:r>
              <w:rPr>
                <w:color w:val="333333"/>
                <w:sz w:val="19"/>
              </w:rPr>
              <w:t>1.2 3-Point Talent Acquisition Improvement Strategy (5 Marks):</w:t>
            </w:r>
          </w:p>
          <w:p>
            <w:pPr>
              <w:spacing w:before="0" w:after="40"/>
            </w:pPr>
            <w:r>
              <w:rPr>
                <w:color w:val="333333"/>
                <w:sz w:val="19"/>
              </w:rPr>
              <w:t>• Award 1.5 - 2 Marks per structured strategy clearly defined (Max 5 Marks):</w:t>
            </w:r>
          </w:p>
          <w:p>
            <w:pPr>
              <w:spacing w:before="0" w:after="40"/>
            </w:pPr>
            <w:r>
              <w:rPr>
                <w:color w:val="333333"/>
                <w:sz w:val="19"/>
              </w:rPr>
              <w:t>1. ATS Workflow Streamlining &amp; One-Click Application: Replace 8-page form with 2-minute mobile-friendly upload and automated parsing.</w:t>
            </w:r>
          </w:p>
          <w:p>
            <w:pPr>
              <w:spacing w:before="0" w:after="40"/>
            </w:pPr>
            <w:r>
              <w:rPr>
                <w:color w:val="333333"/>
                <w:sz w:val="19"/>
              </w:rPr>
              <w:t>2. Candidate Relationship Management (CRM) &amp; SLA Timelines: Mandate a 5-day feedback SLA between interview rounds and automate candidate status updates.</w:t>
            </w:r>
          </w:p>
          <w:p>
            <w:pPr>
              <w:spacing w:before="0" w:after="40"/>
            </w:pPr>
            <w:r>
              <w:rPr>
                <w:color w:val="333333"/>
                <w:sz w:val="19"/>
              </w:rPr>
              <w:t>3. Cross-Functional Selection Alignment: Brief Line Managers on competency profiles and publish transparent compensation bands.</w:t>
            </w:r>
          </w:p>
        </w:tc>
      </w:tr>
    </w:tbl>
    <w:p>
      <w:pPr>
        <w:spacing w:after="80"/>
      </w:pPr>
    </w:p>
    <w:p>
      <w:pPr>
        <w:keepNext/>
        <w:spacing w:before="240" w:after="80"/>
      </w:pPr>
      <w:r>
        <w:rPr>
          <w:rFonts w:ascii="Arial" w:hAnsi="Arial"/>
          <w:b/>
          <w:color w:val="107C41"/>
          <w:sz w:val="25"/>
        </w:rPr>
        <w:t>Task 2 Model Answer: EE Compliance &amp; Selection Audit (10 Marks - IAC0103, IAC0104)</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MODEL ANSWER &amp; RUBRIC - PRACTICAL TASK 2</w:t>
              <w:br/>
            </w:r>
            <w:r>
              <w:rPr>
                <w:color w:val="333333"/>
                <w:sz w:val="19"/>
              </w:rPr>
              <w:t>2.1 Selection Process Audit &amp; Deficiencies Analysis (5 Marks):</w:t>
            </w:r>
          </w:p>
          <w:p>
            <w:pPr>
              <w:spacing w:before="0" w:after="40"/>
            </w:pPr>
            <w:r>
              <w:rPr>
                <w:color w:val="333333"/>
                <w:sz w:val="19"/>
              </w:rPr>
              <w:t>• Non-Diverse Panel Violation (2.5 Marks): Having panels composed entirely of non-designated managers violates EE guidelines regarding panel diversity, creating unconscious affinity bias and legal exposure under the EEA.</w:t>
            </w:r>
          </w:p>
          <w:p>
            <w:pPr>
              <w:spacing w:before="0" w:after="40"/>
            </w:pPr>
            <w:r>
              <w:rPr>
                <w:color w:val="333333"/>
                <w:sz w:val="19"/>
              </w:rPr>
              <w:t>• Subjective Questioning &amp; Lack of Rubrics (2.5 Marks): Asking unstructured questions like 'traditional culture fit' without objective scoring rubrics introduces subjective bias. This explains why designated candidates represented 60% of shortlists but only 10% of hires, constituting indirect discrimination.</w:t>
            </w:r>
          </w:p>
          <w:p>
            <w:pPr>
              <w:spacing w:before="0" w:after="40"/>
            </w:pPr>
            <w:r>
              <w:rPr>
                <w:color w:val="333333"/>
                <w:sz w:val="19"/>
              </w:rPr>
            </w:r>
          </w:p>
          <w:p>
            <w:pPr>
              <w:spacing w:before="0" w:after="40"/>
            </w:pPr>
            <w:r>
              <w:rPr>
                <w:color w:val="333333"/>
                <w:sz w:val="19"/>
              </w:rPr>
              <w:t>2.2 Compliant Selection Framework Design (5 Marks):</w:t>
            </w:r>
          </w:p>
          <w:p>
            <w:pPr>
              <w:spacing w:before="0" w:after="40"/>
            </w:pPr>
            <w:r>
              <w:rPr>
                <w:color w:val="333333"/>
                <w:sz w:val="19"/>
              </w:rPr>
              <w:t>• Award 1 Mark per framework component clearly articulated in sequence (Max 5 Marks):</w:t>
            </w:r>
          </w:p>
          <w:p>
            <w:pPr>
              <w:spacing w:before="0" w:after="40"/>
            </w:pPr>
            <w:r>
              <w:rPr>
                <w:color w:val="333333"/>
                <w:sz w:val="19"/>
              </w:rPr>
              <w:t>1. Diverse Panel Mandate: Require multi-person interview panels including designated group representatives and HR Officers.</w:t>
            </w:r>
          </w:p>
          <w:p>
            <w:pPr>
              <w:spacing w:before="0" w:after="40"/>
            </w:pPr>
            <w:r>
              <w:rPr>
                <w:color w:val="333333"/>
                <w:sz w:val="19"/>
              </w:rPr>
              <w:t>2. Structured Competency Interviewing: Utilize pre-approved, job-related behavioral interview questions aligned with inherent role requirements.</w:t>
            </w:r>
          </w:p>
          <w:p>
            <w:pPr>
              <w:spacing w:before="0" w:after="40"/>
            </w:pPr>
            <w:r>
              <w:rPr>
                <w:color w:val="333333"/>
                <w:sz w:val="19"/>
              </w:rPr>
              <w:t>3. Objective Scoring Rubrics: Implement standardized rating scales (1–5) based on demonstrable evidence.</w:t>
            </w:r>
          </w:p>
          <w:p>
            <w:pPr>
              <w:spacing w:before="0" w:after="40"/>
            </w:pPr>
            <w:r>
              <w:rPr>
                <w:color w:val="333333"/>
                <w:sz w:val="19"/>
              </w:rPr>
              <w:t>4. Work Sample / Skills Assessments: Incorporate objective practical tests evaluated blindly or by multiple panelists.</w:t>
            </w:r>
          </w:p>
          <w:p>
            <w:pPr>
              <w:spacing w:before="0" w:after="40"/>
            </w:pPr>
            <w:r>
              <w:rPr>
                <w:color w:val="333333"/>
                <w:sz w:val="19"/>
              </w:rPr>
              <w:t>5. Employment Equity Target Alignment: Formally document selection decisions against departmental EE numerical goals.</w:t>
            </w:r>
          </w:p>
        </w:tc>
      </w:tr>
    </w:tbl>
    <w:p>
      <w:pPr>
        <w:spacing w:after="80"/>
      </w:pPr>
    </w:p>
    <w:p>
      <w:pPr>
        <w:keepNext/>
        <w:spacing w:before="320" w:after="120"/>
        <w:pBdr>
          <w:bottom w:val="single" w:sz="12" w:space="4" w:color="1B365D"/>
        </w:pBdr>
      </w:pPr>
      <w:r>
        <w:rPr>
          <w:rFonts w:ascii="Arial" w:hAnsi="Arial"/>
          <w:b/>
          <w:color w:val="1B365D"/>
          <w:sz w:val="30"/>
        </w:rPr>
        <w:t>SECTION 3: INTEGRATED MARKING MATRIX &amp; MODERATION FORM</w:t>
      </w:r>
    </w:p>
    <w:tbl>
      <w:tblPr>
        <w:tblW w:type="auto" w:w="0"/>
        <w:jc w:val="center"/>
        <w:tblLook w:firstColumn="1" w:firstRow="1" w:lastColumn="0" w:lastRow="0" w:noHBand="0" w:noVBand="1" w:val="04A0"/>
      </w:tblPr>
      <w:tblGrid>
        <w:gridCol w:w="2484"/>
        <w:gridCol w:w="2484"/>
        <w:gridCol w:w="2484"/>
        <w:gridCol w:w="2484"/>
      </w:tblGrid>
      <w:tr>
        <w:trPr>
          <w:cantSplit/>
          <w:tblHeader/>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Topic KM0301 Task Component</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Maximum Marks</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Learner Score</w:t>
            </w:r>
          </w:p>
        </w:tc>
        <w:tc>
          <w:tcPr>
            <w:tcW w:type="dxa" w:w="3168"/>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Assessor Comments</w:t>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Part A: Multiple Choice Questions</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5</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r>
          </w:p>
        </w:tc>
        <w:tc>
          <w:tcPr>
            <w:tcW w:type="dxa" w:w="31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Part B: True / False Questions</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5</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r>
          </w:p>
        </w:tc>
        <w:tc>
          <w:tcPr>
            <w:tcW w:type="dxa" w:w="3168"/>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Part C: True / False Justification</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5</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r>
          </w:p>
        </w:tc>
        <w:tc>
          <w:tcPr>
            <w:tcW w:type="dxa" w:w="31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Part D: Short Answer Conceptual Questions</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15</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r>
          </w:p>
        </w:tc>
        <w:tc>
          <w:tcPr>
            <w:tcW w:type="dxa" w:w="3168"/>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Practical Task 1: ATS &amp; Process Strategy</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10</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r>
          </w:p>
        </w:tc>
        <w:tc>
          <w:tcPr>
            <w:tcW w:type="dxa" w:w="31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Practical Task 2: EE Selection Framework</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10</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r>
          </w:p>
        </w:tc>
        <w:tc>
          <w:tcPr>
            <w:tcW w:type="dxa" w:w="3168"/>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b/>
                <w:color w:val="333333"/>
                <w:sz w:val="18"/>
              </w:rPr>
              <w:t>TOTAL FORMATIVE ASSESSMENT SCORE</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b/>
                <w:color w:val="333333"/>
                <w:sz w:val="18"/>
              </w:rPr>
              <w:t>50</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b/>
                <w:color w:val="333333"/>
                <w:sz w:val="18"/>
              </w:rPr>
            </w:r>
          </w:p>
        </w:tc>
        <w:tc>
          <w:tcPr>
            <w:tcW w:type="dxa" w:w="31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b/>
                <w:color w:val="333333"/>
                <w:sz w:val="18"/>
              </w:rPr>
              <w:t>Minimum Competence Benchmark: 80% (40 Marks)</w:t>
            </w:r>
          </w:p>
        </w:tc>
      </w:tr>
    </w:tbl>
    <w:p>
      <w:pPr>
        <w:spacing w:after="160"/>
      </w:pPr>
    </w:p>
    <w:p>
      <w:pPr>
        <w:keepNext/>
        <w:spacing w:before="160" w:after="40"/>
      </w:pPr>
      <w:r>
        <w:rPr>
          <w:rFonts w:ascii="Arial" w:hAnsi="Arial"/>
          <w:b/>
          <w:color w:val="1B365D"/>
          <w:sz w:val="22"/>
        </w:rPr>
        <w:t>Assessor &amp; Internal Moderator Sign-off Block</w:t>
      </w:r>
    </w:p>
    <w:tbl>
      <w:tblPr>
        <w:tblW w:type="auto" w:w="0"/>
        <w:jc w:val="center"/>
        <w:tblLook w:firstColumn="1" w:firstRow="1" w:lastColumn="0" w:lastRow="0" w:noHBand="0" w:noVBand="1" w:val="04A0"/>
      </w:tblPr>
      <w:tblGrid>
        <w:gridCol w:w="4968"/>
        <w:gridCol w:w="4968"/>
      </w:tblGrid>
      <w:tr>
        <w:trPr>
          <w:cantSplit/>
          <w:tblHeader/>
        </w:trPr>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Assessor Name: ___________________________</w:t>
              <w:br/>
              <w:t>Signature: _______________________________</w:t>
              <w:br/>
              <w:t>Date: ____________________________________</w:t>
            </w:r>
          </w:p>
        </w:tc>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Final Result:  [  ] COMPETENT (80%+)</w:t>
              <w:br/>
              <w:t xml:space="preserve">               [  ] NOT YET COMPETENT</w:t>
            </w:r>
          </w:p>
        </w:tc>
      </w:tr>
      <w:tr>
        <w:trPr>
          <w:cantSplit/>
        </w:trPr>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Internal Moderator Name: _________________</w:t>
              <w:br/>
              <w:t>Signature: _______________________________</w:t>
              <w:br/>
              <w:t>Date: ____________________________________</w:t>
            </w:r>
          </w:p>
        </w:tc>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Moderation Decision: [  ] Upheld</w:t>
              <w:br/>
              <w:t xml:space="preserve">                     [  ] Overruled</w:t>
              <w:br/>
              <w:t>Comments: ________________________________</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