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08080"/>
          <w:sz w:val="20"/>
        </w:rPr>
        <w:t>ADVANCED OCCUPATIONAL CERTIFICATE: HUMAN RESOURCE MANAGEMENT OFFICER</w:t>
      </w:r>
    </w:p>
    <w:p>
      <w:pPr>
        <w:spacing w:before="0" w:after="120"/>
      </w:pPr>
      <w:r>
        <w:rPr>
          <w:b/>
          <w:color w:val="1B365D"/>
          <w:sz w:val="40"/>
        </w:rPr>
        <w:t>INTERNAL FORMATIVE ASSESSMENT WORKBOOK</w:t>
      </w:r>
    </w:p>
    <w:p>
      <w:pPr>
        <w:spacing w:after="240"/>
      </w:pPr>
      <w:r>
        <w:rPr>
          <w:i/>
          <w:color w:val="646464"/>
          <w:sz w:val="19"/>
        </w:rPr>
        <w:t>Topic KM0304: Implementation Principles and Practices for Learning and Development (Weighting: 15% of KM-03)</w:t>
        <w:br/>
        <w:t>Qualification SAQA ID: 121151 | NQF Level 6 | Curriculum Code: 242303-001-00-00 | Total Marks: 50 Marks</w:t>
      </w:r>
    </w:p>
    <w:p>
      <w:pPr>
        <w:keepNext/>
        <w:spacing w:before="160" w:after="40"/>
      </w:pPr>
      <w:r>
        <w:rPr>
          <w:rFonts w:ascii="Arial" w:hAnsi="Arial"/>
          <w:b/>
          <w:color w:val="1B365D"/>
          <w:sz w:val="22"/>
        </w:rPr>
        <w:t>Learner &amp; Assessment Details</w:t>
      </w:r>
    </w:p>
    <w:tbl>
      <w:tblPr>
        <w:tblW w:type="auto" w:w="0"/>
        <w:jc w:val="center"/>
        <w:tblLook w:firstColumn="1" w:firstRow="1" w:lastColumn="0" w:lastRow="0" w:noHBand="0" w:noVBand="1" w:val="04A0"/>
      </w:tblPr>
      <w:tblGrid>
        <w:gridCol w:w="4968"/>
        <w:gridCol w:w="4968"/>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Full Name: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National ID / Student Number:</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Assessor Name: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Assessment Date: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Assessment Result (Competent / Not Yet Competent):</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bl>
    <w:p>
      <w:pPr>
        <w:spacing w:after="80"/>
      </w:pPr>
    </w:p>
    <w:p>
      <w:pPr>
        <w:keepNext/>
        <w:spacing w:before="160" w:after="40"/>
      </w:pPr>
      <w:r>
        <w:rPr>
          <w:rFonts w:ascii="Arial" w:hAnsi="Arial"/>
          <w:b/>
          <w:color w:val="1B365D"/>
          <w:sz w:val="22"/>
        </w:rPr>
        <w:t>Topic KM0304 Curriculum &amp; Assessment Criteria Alignment</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Knowledge Topic Element (KT)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Internal Assessment Criteria (IAC)</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Workbook Section</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KT05401: Definitions, terminology and concepts related to Learning and Development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IAC0401: Explain and discuss the definitions, terminology and concepts related to Learning and Development and give practical examples</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Part B, Part D (Q1)</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KT0402: Evolving models, processes, and application principles for enhancing the effectiveness of Learning and Development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IAC0402: Discuss the evolving models, processes, and application principles for enhancing the effectiveness of Learning and Development</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A, Part B, Part D (Q2), Part E Task 1</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KT0403: Professional practice standards relating to Learning and Development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IAC0403: Discuss how the professional practice standards relate to Learning and Development in organisations</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Part C (Q1), Part D (Q3)</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KT0404: Monitoring and facilitating compliance with Learning and Development policies and procedures</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IAC0404: Explain how monitoring and facilitating compliance with Learning and Development policies and procedures must take place and elaborate on the benefits of compliance</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Part D (Q4), Part E Task 2</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KT0405: Role of the HRM Officer regarding Learning and Development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IAC0405: Describe the role of the HRM Officer regarding Learning and Development</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B, Part D (Q5), Part E Task 1 &amp; 2</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KT0406: Contributions of other HR stakeholders to Learning and Development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IAC0406: Identify and discuss the contributions of other HR stakeholders to Learning and Development</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A, Part C (Q2), Part E Task 1</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KT0407: Use of HR Learning and Development Information Systems and people analytics</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IAC0407: Explain the use of the HR Learning and Development Information Systems for people analytics</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Part B, Part D (Q4), Part E Task 1</w:t>
            </w:r>
          </w:p>
        </w:tc>
      </w:tr>
    </w:tbl>
    <w:p>
      <w:pPr>
        <w:spacing w:after="120"/>
      </w:pP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FORMATIVE ASSESSMENT INSTRUCTIONS</w:t>
              <w:br/>
            </w:r>
            <w:r>
              <w:rPr>
                <w:color w:val="333333"/>
                <w:sz w:val="19"/>
              </w:rPr>
              <w:t>1. This formative assessment workbook evaluates your theoretical knowledge and practical execution of learning and development frameworks under Topic KM0304.</w:t>
            </w:r>
          </w:p>
          <w:p>
            <w:pPr>
              <w:spacing w:before="0" w:after="40"/>
            </w:pPr>
            <w:r>
              <w:rPr>
                <w:color w:val="333333"/>
                <w:sz w:val="19"/>
              </w:rPr>
              <w:t>2. Complete all tasks using UK English and professional human resource management terminology.</w:t>
            </w:r>
          </w:p>
          <w:p>
            <w:pPr>
              <w:spacing w:before="0" w:after="40"/>
            </w:pPr>
            <w:r>
              <w:rPr>
                <w:color w:val="333333"/>
                <w:sz w:val="19"/>
              </w:rPr>
              <w:t>3. Ensure your answers demonstrate NQF Level 6 depth: NQF statutory frameworks, SETA WSP/ATR reporting, mandatory/discretionary grant claims, LDNA diagnostics, Kirkpatrick evaluation, and LMS analytics.</w:t>
            </w:r>
          </w:p>
          <w:p>
            <w:pPr>
              <w:spacing w:before="0" w:after="40"/>
            </w:pPr>
            <w:r>
              <w:rPr>
                <w:color w:val="333333"/>
                <w:sz w:val="19"/>
              </w:rPr>
              <w:t>4. Total Marks: 50 Marks. Pass Benchmark: 80% (40 Marks).</w:t>
            </w:r>
          </w:p>
        </w:tc>
      </w:tr>
    </w:tbl>
    <w:p>
      <w:pPr>
        <w:spacing w:after="80"/>
      </w:pPr>
    </w:p>
    <w:p>
      <w:pPr>
        <w:keepNext/>
        <w:spacing w:before="320" w:after="120"/>
        <w:pBdr>
          <w:bottom w:val="single" w:sz="12" w:space="4" w:color="1B365D"/>
        </w:pBdr>
      </w:pPr>
      <w:r>
        <w:rPr>
          <w:rFonts w:ascii="Arial" w:hAnsi="Arial"/>
          <w:b/>
          <w:color w:val="1B365D"/>
          <w:sz w:val="30"/>
        </w:rPr>
        <w:t>SECTION 1: KNOWLEDGE &amp; UNDERSTANDING TASKS (30 MARKS)</w:t>
      </w:r>
    </w:p>
    <w:p>
      <w:pPr>
        <w:keepNext/>
        <w:spacing w:before="240" w:after="80"/>
      </w:pPr>
      <w:r>
        <w:rPr>
          <w:rFonts w:ascii="Arial" w:hAnsi="Arial"/>
          <w:b/>
          <w:color w:val="008080"/>
          <w:sz w:val="25"/>
        </w:rPr>
        <w:t>Part A: Multiple-Choice Questions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A</w:t>
              <w:br/>
            </w:r>
            <w:r>
              <w:rPr>
                <w:color w:val="333333"/>
                <w:sz w:val="19"/>
              </w:rPr>
              <w:t>Select the most appropriate answer for each question by placing an 'X' in the corresponding box [ ]. Each question carries 1 mark.</w:t>
            </w:r>
          </w:p>
        </w:tc>
      </w:tr>
    </w:tbl>
    <w:p>
      <w:pPr>
        <w:spacing w:after="80"/>
      </w:pPr>
    </w:p>
    <w:p>
      <w:pPr>
        <w:keepNext/>
        <w:spacing w:before="120" w:after="40"/>
      </w:pPr>
      <w:r>
        <w:rPr>
          <w:b/>
        </w:rPr>
        <w:t>Q1. 1. In South Africa, employers with a payroll exceeding R500,000 per annum pay a 1% Skills Development Levy (SDL). What percentage of the SDL can an employer claim back as a 'Mandatory Grant' upon submitting an approved Workplace Skills Plan (WSP) and Annual Training Report (ATR)?</w:t>
      </w:r>
    </w:p>
    <w:p>
      <w:pPr>
        <w:spacing w:before="0" w:after="20"/>
        <w:ind w:left="360"/>
      </w:pPr>
      <w:r>
        <w:t>[  ]  A) 10%</w:t>
      </w:r>
    </w:p>
    <w:p>
      <w:pPr>
        <w:spacing w:before="0" w:after="20"/>
        <w:ind w:left="360"/>
      </w:pPr>
      <w:r>
        <w:t>[  ]  B) 20%</w:t>
      </w:r>
    </w:p>
    <w:p>
      <w:pPr>
        <w:spacing w:before="0" w:after="20"/>
        <w:ind w:left="360"/>
      </w:pPr>
      <w:r>
        <w:t>[  ]  C) 50%</w:t>
      </w:r>
    </w:p>
    <w:p>
      <w:pPr>
        <w:spacing w:before="0" w:after="20"/>
        <w:ind w:left="360"/>
      </w:pPr>
      <w:r>
        <w:t>[  ]  D) 80%</w:t>
      </w:r>
    </w:p>
    <w:p>
      <w:pPr>
        <w:spacing w:after="40"/>
      </w:pPr>
    </w:p>
    <w:p>
      <w:pPr>
        <w:keepNext/>
        <w:spacing w:before="120" w:after="40"/>
      </w:pPr>
      <w:r>
        <w:rPr>
          <w:b/>
        </w:rPr>
        <w:t>Q2. 2. Which statutory quality council in South Africa holds oversight over occupational qualifications, part-qualifications, and skills development providers (SDPs) on the Occupational Qualifications Sub-Framework (OQSF)?</w:t>
      </w:r>
    </w:p>
    <w:p>
      <w:pPr>
        <w:spacing w:before="0" w:after="20"/>
        <w:ind w:left="360"/>
      </w:pPr>
      <w:r>
        <w:t>[  ]  A) Council on Higher Education (CHE)</w:t>
      </w:r>
    </w:p>
    <w:p>
      <w:pPr>
        <w:spacing w:before="0" w:after="20"/>
        <w:ind w:left="360"/>
      </w:pPr>
      <w:r>
        <w:t>[  ]  B) UMALUSI</w:t>
      </w:r>
    </w:p>
    <w:p>
      <w:pPr>
        <w:spacing w:before="0" w:after="20"/>
        <w:ind w:left="360"/>
      </w:pPr>
      <w:r>
        <w:t>[  ]  C) Quality Council for Trades and Occupations (QCTO)</w:t>
      </w:r>
    </w:p>
    <w:p>
      <w:pPr>
        <w:spacing w:before="0" w:after="20"/>
        <w:ind w:left="360"/>
      </w:pPr>
      <w:r>
        <w:t>[  ]  D) National Skills Authority (NSA)</w:t>
      </w:r>
    </w:p>
    <w:p>
      <w:pPr>
        <w:spacing w:after="40"/>
      </w:pPr>
    </w:p>
    <w:p>
      <w:pPr>
        <w:keepNext/>
        <w:spacing w:before="120" w:after="40"/>
      </w:pPr>
      <w:r>
        <w:rPr>
          <w:b/>
        </w:rPr>
        <w:t>Q3. 3. Delivering bite-sized, highly focused learning modules designed to accommodate short attention spans and fit seamlessly into daily employee workflows is known as:</w:t>
      </w:r>
    </w:p>
    <w:p>
      <w:pPr>
        <w:spacing w:before="0" w:after="20"/>
        <w:ind w:left="360"/>
      </w:pPr>
      <w:r>
        <w:t>[  ]  A) Microlearning</w:t>
      </w:r>
    </w:p>
    <w:p>
      <w:pPr>
        <w:spacing w:before="0" w:after="20"/>
        <w:ind w:left="360"/>
      </w:pPr>
      <w:r>
        <w:t>[  ]  B) Action Research</w:t>
      </w:r>
    </w:p>
    <w:p>
      <w:pPr>
        <w:spacing w:before="0" w:after="20"/>
        <w:ind w:left="360"/>
      </w:pPr>
      <w:r>
        <w:t>[  ]  C) Macro-curriculum Mapping</w:t>
      </w:r>
    </w:p>
    <w:p>
      <w:pPr>
        <w:spacing w:before="0" w:after="20"/>
        <w:ind w:left="360"/>
      </w:pPr>
      <w:r>
        <w:t>[  ]  D) Structural RPL</w:t>
      </w:r>
    </w:p>
    <w:p>
      <w:pPr>
        <w:spacing w:after="40"/>
      </w:pPr>
    </w:p>
    <w:p>
      <w:pPr>
        <w:keepNext/>
        <w:spacing w:before="120" w:after="40"/>
      </w:pPr>
      <w:r>
        <w:rPr>
          <w:b/>
        </w:rPr>
        <w:t>Q4. 4. Which level of Kirkpatrick's Training Evaluation Model measures the degree to which targeted behaviors, skills, and knowledge are practically applied by employees back on the job?</w:t>
      </w:r>
    </w:p>
    <w:p>
      <w:pPr>
        <w:spacing w:before="0" w:after="20"/>
        <w:ind w:left="360"/>
      </w:pPr>
      <w:r>
        <w:t>[  ]  A) Level 1: Reaction</w:t>
      </w:r>
    </w:p>
    <w:p>
      <w:pPr>
        <w:spacing w:before="0" w:after="20"/>
        <w:ind w:left="360"/>
      </w:pPr>
      <w:r>
        <w:t>[  ]  B) Level 2: Learning</w:t>
      </w:r>
    </w:p>
    <w:p>
      <w:pPr>
        <w:spacing w:before="0" w:after="20"/>
        <w:ind w:left="360"/>
      </w:pPr>
      <w:r>
        <w:t>[  ]  C) Level 3: Behaviour</w:t>
      </w:r>
    </w:p>
    <w:p>
      <w:pPr>
        <w:spacing w:before="0" w:after="20"/>
        <w:ind w:left="360"/>
      </w:pPr>
      <w:r>
        <w:t>[  ]  D) Level 4: Results</w:t>
      </w:r>
    </w:p>
    <w:p>
      <w:pPr>
        <w:spacing w:after="40"/>
      </w:pPr>
    </w:p>
    <w:p>
      <w:pPr>
        <w:keepNext/>
        <w:spacing w:before="120" w:after="40"/>
      </w:pPr>
      <w:r>
        <w:rPr>
          <w:b/>
        </w:rPr>
        <w:t>Q5. 5. How do HR Learning Management Systems (LMS) and People Analytics practically enhance L&amp;D management?</w:t>
      </w:r>
    </w:p>
    <w:p>
      <w:pPr>
        <w:spacing w:before="0" w:after="20"/>
        <w:ind w:left="360"/>
      </w:pPr>
      <w:r>
        <w:t>[  ]  A) By replacing all line managers in identifying team skills gaps</w:t>
      </w:r>
    </w:p>
    <w:p>
      <w:pPr>
        <w:spacing w:before="0" w:after="20"/>
        <w:ind w:left="360"/>
      </w:pPr>
      <w:r>
        <w:t>[  ]  B) By tracking course completion rates, evaluating skill acquisition, and linking training data to business outcomes</w:t>
      </w:r>
    </w:p>
    <w:p>
      <w:pPr>
        <w:spacing w:before="0" w:after="20"/>
        <w:ind w:left="360"/>
      </w:pPr>
      <w:r>
        <w:t>[  ]  C) By automatically issuing criminal fines for non-attendance</w:t>
      </w:r>
    </w:p>
    <w:p>
      <w:pPr>
        <w:spacing w:before="0" w:after="20"/>
        <w:ind w:left="360"/>
      </w:pPr>
      <w:r>
        <w:t>[  ]  D) By granting automatic NQF Level 8 degrees without assessment</w:t>
      </w:r>
    </w:p>
    <w:p>
      <w:pPr>
        <w:spacing w:after="40"/>
      </w:pPr>
    </w:p>
    <w:p>
      <w:pPr>
        <w:keepNext/>
        <w:spacing w:before="240" w:after="80"/>
      </w:pPr>
      <w:r>
        <w:rPr>
          <w:rFonts w:ascii="Arial" w:hAnsi="Arial"/>
          <w:b/>
          <w:color w:val="008080"/>
          <w:sz w:val="25"/>
        </w:rPr>
        <w:t>Part B: True / False Questions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B</w:t>
              <w:br/>
            </w:r>
            <w:r>
              <w:rPr>
                <w:color w:val="333333"/>
                <w:sz w:val="19"/>
              </w:rPr>
              <w:t>Indicate whether each statement is True or False by placing an 'X' in the appropriate column.</w:t>
            </w:r>
          </w:p>
        </w:tc>
      </w:tr>
    </w:tbl>
    <w:p>
      <w:pPr>
        <w:spacing w:after="80"/>
      </w:pPr>
    </w:p>
    <w:tbl>
      <w:tblPr>
        <w:tblW w:type="auto" w:w="0"/>
        <w:jc w:val="center"/>
        <w:tblLook w:firstColumn="1" w:firstRow="1" w:lastColumn="0" w:lastRow="0" w:noHBand="0" w:noVBand="1" w:val="04A0"/>
      </w:tblPr>
      <w:tblGrid>
        <w:gridCol w:w="3312"/>
        <w:gridCol w:w="3312"/>
        <w:gridCol w:w="3312"/>
      </w:tblGrid>
      <w:tr>
        <w:trPr>
          <w:cantSplit/>
          <w:tblHeader/>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Statement</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True</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False</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1. Recognition of Prior Learning (RPL) is a formal process acknowledging non-formal or informal learning and work experience toward registered qualifications.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2. 2. Adhering to the South African Board for People Practices (SABPP) Learning and Development Professional Standards is legally mandatory for all private businesses under statutory law.</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3. 3. Blended learning combines formal structured coursework with informal digital, on-the-job, or peer-to-peer learning methods.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4. 4. Line managers contribute to L&amp;D by identifying team skill gaps during performance reviews and facilitating the on-the-job application of new skills.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5. 5. Employers can claim SETA Discretionary Grants even if they have failed to submit their mandatory WSP and ATR documentation.</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bl>
    <w:p>
      <w:pPr>
        <w:spacing w:after="120"/>
      </w:pPr>
    </w:p>
    <w:p>
      <w:pPr>
        <w:keepNext/>
        <w:spacing w:before="240" w:after="80"/>
      </w:pPr>
      <w:r>
        <w:rPr>
          <w:rFonts w:ascii="Arial" w:hAnsi="Arial"/>
          <w:b/>
          <w:color w:val="008080"/>
          <w:sz w:val="25"/>
        </w:rPr>
        <w:t>Part C: True / False with Technical Justification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C</w:t>
              <w:br/>
            </w:r>
            <w:r>
              <w:rPr>
                <w:color w:val="333333"/>
                <w:sz w:val="19"/>
              </w:rPr>
              <w:t>State whether the statement is TRUE or FALSE, and provide an evidence-based HR/legal justification (2–4 sentences). Each item carries 2.5 marks.</w:t>
            </w:r>
          </w:p>
        </w:tc>
      </w:tr>
    </w:tbl>
    <w:p>
      <w:pPr>
        <w:spacing w:after="80"/>
      </w:pPr>
    </w:p>
    <w:p>
      <w:pPr>
        <w:spacing w:before="120" w:after="40"/>
      </w:pPr>
      <w:r>
        <w:rPr>
          <w:b/>
        </w:rPr>
        <w:t>Statement 1: 'Submitting an annual Workplace Skills Plan (WSP) to the relevant SETA is merely an administrative compliance exercise that has no strategic connection to organizational talent management or B-BBEE scorecard points.'</w:t>
      </w:r>
    </w:p>
    <w:tbl>
      <w:tblPr>
        <w:tblW w:type="auto" w:w="0"/>
        <w:tblLook w:firstColumn="1" w:firstRow="1" w:lastColumn="0" w:lastRow="0" w:noHBand="0" w:noVBand="1" w:val="04A0"/>
      </w:tblPr>
      <w:tblGrid>
        <w:gridCol w:w="9936"/>
      </w:tblGrid>
      <w:tr>
        <w:tc>
          <w:tcPr>
            <w:tcW w:type="dxa" w:w="9936"/>
            <w:shd w:fill="F4F6F9"/>
            <w:tcMar>
              <w:top w:w="100" w:type="dxa"/>
              <w:bottom w:w="100" w:type="dxa"/>
              <w:left w:w="120" w:type="dxa"/>
              <w:right w:w="120" w:type="dxa"/>
            </w:tcMar>
          </w:tcPr>
          <w:p>
            <w:r>
              <w:t>Answer (True/False): ____________________</w:t>
              <w:br/>
              <w:t xml:space="preserve">Justification: </w:t>
              <w:br/>
              <w:br/>
              <w:br/>
            </w:r>
          </w:p>
        </w:tc>
      </w:tr>
    </w:tbl>
    <w:p>
      <w:pPr>
        <w:spacing w:after="80"/>
      </w:pPr>
    </w:p>
    <w:p>
      <w:pPr>
        <w:spacing w:before="120" w:after="40"/>
      </w:pPr>
      <w:r>
        <w:rPr>
          <w:b/>
        </w:rPr>
        <w:t>Statement 2: 'Evaluating L&amp;D interventions using Phillips' Return on Investment (ROI) Model requires converting training outcomes into monetary benefits and comparing them against total training costs.'</w:t>
      </w:r>
    </w:p>
    <w:tbl>
      <w:tblPr>
        <w:tblW w:type="auto" w:w="0"/>
        <w:tblLook w:firstColumn="1" w:firstRow="1" w:lastColumn="0" w:lastRow="0" w:noHBand="0" w:noVBand="1" w:val="04A0"/>
      </w:tblPr>
      <w:tblGrid>
        <w:gridCol w:w="9936"/>
      </w:tblGrid>
      <w:tr>
        <w:tc>
          <w:tcPr>
            <w:tcW w:type="dxa" w:w="9936"/>
            <w:shd w:fill="F4F6F9"/>
            <w:tcMar>
              <w:top w:w="100" w:type="dxa"/>
              <w:bottom w:w="100" w:type="dxa"/>
              <w:left w:w="120" w:type="dxa"/>
              <w:right w:w="120" w:type="dxa"/>
            </w:tcMar>
          </w:tcPr>
          <w:p>
            <w:r>
              <w:t>Answer (True/False): ____________________</w:t>
              <w:br/>
              <w:t xml:space="preserve">Justification: </w:t>
              <w:br/>
              <w:br/>
              <w:br/>
            </w:r>
          </w:p>
        </w:tc>
      </w:tr>
    </w:tbl>
    <w:p>
      <w:pPr>
        <w:spacing w:after="80"/>
      </w:pPr>
    </w:p>
    <w:p>
      <w:pPr>
        <w:keepNext/>
        <w:spacing w:before="240" w:after="80"/>
      </w:pPr>
      <w:r>
        <w:rPr>
          <w:rFonts w:ascii="Arial" w:hAnsi="Arial"/>
          <w:b/>
          <w:color w:val="008080"/>
          <w:sz w:val="25"/>
        </w:rPr>
        <w:t>Part D: Short Answer Conceptual Questions (15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D</w:t>
              <w:br/>
            </w:r>
            <w:r>
              <w:rPr>
                <w:color w:val="333333"/>
                <w:sz w:val="19"/>
              </w:rPr>
              <w:t>Answer the following questions concisely based on Topic KM0304 theory guide content and South African skills development frameworks.</w:t>
            </w:r>
          </w:p>
        </w:tc>
      </w:tr>
    </w:tbl>
    <w:p>
      <w:pPr>
        <w:spacing w:after="80"/>
      </w:pPr>
    </w:p>
    <w:p>
      <w:pPr>
        <w:keepNext/>
        <w:spacing w:before="120" w:after="40"/>
      </w:pPr>
      <w:r>
        <w:rPr>
          <w:b/>
        </w:rPr>
        <w:t>Question 1 (IAC0401): Differentiate between 'Formal Learning', 'Informal Learning', and 'Workplace-Based Learning', providing one practical example of each within a corporate environment.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2 (IAC0402): Explain the 4 focus areas of a Learning and Development Needs Analysis (LDNA): Sectoral Analysis, Organisational Analysis, Job/Task Analysis, and Person Analysis.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3 (IAC0403): Discuss how SABPP Learning and Development Standards guide HR Officers in establishing a positive learning culture and evaluating training effectiveness.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4 (IAC0404 &amp; IAC0407): Explain how an organisation uses LMS data analytics (completion rates, skill assessment scores, learning paths) to ensure SDL compliance and track training transfer.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5 (IAC0405 &amp; IAC0406): Detail the distinct responsibilities of the Skills Development Facilitator (SDF), Line Managers, and L&amp;D Specialists during WSP compilation and execution.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320" w:after="120"/>
        <w:pBdr>
          <w:bottom w:val="single" w:sz="12" w:space="4" w:color="1B365D"/>
        </w:pBdr>
      </w:pPr>
      <w:r>
        <w:rPr>
          <w:rFonts w:ascii="Arial" w:hAnsi="Arial"/>
          <w:b/>
          <w:color w:val="1B365D"/>
          <w:sz w:val="30"/>
        </w:rPr>
        <w:t>SECTION 2: SCENARIO-BASED PRACTICAL APPLICATION TASKS (20 MARKS)</w:t>
      </w:r>
    </w:p>
    <w:p>
      <w:pPr>
        <w:keepNext/>
        <w:spacing w:before="240" w:after="80"/>
      </w:pPr>
      <w:r>
        <w:rPr>
          <w:rFonts w:ascii="Arial" w:hAnsi="Arial"/>
          <w:b/>
          <w:color w:val="008080"/>
          <w:sz w:val="25"/>
        </w:rPr>
        <w:t>Practical Task 1: WSP/ATR Non-Compliance &amp; Grant Recovery Scenario (10 Marks - IAC0404, IAC0407)</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PRACTICAL SCENARIO 1 - WSP/ATR &amp; SETA GRANT RECOVERY</w:t>
              <w:br/>
            </w:r>
            <w:r>
              <w:rPr>
                <w:color w:val="333333"/>
                <w:sz w:val="19"/>
              </w:rPr>
              <w:t>SCENARIO CONTEXT - CURIOSA LOGISTICS SKILLS LEVY &amp; COMPLIANCE DISPUTE:</w:t>
            </w:r>
          </w:p>
          <w:p>
            <w:pPr>
              <w:spacing w:before="0" w:after="40"/>
            </w:pPr>
            <w:r>
              <w:rPr>
                <w:color w:val="333333"/>
                <w:sz w:val="19"/>
              </w:rPr>
              <w:t>Curiosa Logistics employs 350 staff in Johannesburg with an annual payroll of R45 Million, contributing R450,000 annually in Skills Development Levies (SDL) via SARS.</w:t>
            </w:r>
          </w:p>
          <w:p>
            <w:pPr>
              <w:spacing w:before="0" w:after="40"/>
            </w:pPr>
            <w:r>
              <w:rPr>
                <w:color w:val="333333"/>
                <w:sz w:val="19"/>
              </w:rPr>
              <w:t>• Compliance Failure: Over the past two years, the executive team failed to submit the annual Workplace Skills Plan (WSP) and Annual Training Report (ATR) to the Services SETA by the 30 April deadline, forfeiting R180,000 in Mandatory Grants.</w:t>
            </w:r>
          </w:p>
          <w:p>
            <w:pPr>
              <w:spacing w:before="0" w:after="40"/>
            </w:pPr>
            <w:r>
              <w:rPr>
                <w:color w:val="333333"/>
                <w:sz w:val="19"/>
              </w:rPr>
              <w:t>• Training Misalignment: Furthermore, training executed was ad-hoc and unaccredited, with no alignment to SETA Sector Skills Plans (SSP) or occupations in high demand (OFO codes).</w:t>
            </w:r>
          </w:p>
          <w:p>
            <w:pPr>
              <w:spacing w:before="0" w:after="40"/>
            </w:pPr>
            <w:r>
              <w:rPr>
                <w:color w:val="333333"/>
                <w:sz w:val="19"/>
              </w:rPr>
              <w:t>• B-BBEE Scorecard Impact: The company lost critical B-BBEE Skills Development element points, dropping two compliance levels and risking key corporate logistics contracts.</w:t>
            </w:r>
          </w:p>
          <w:p>
            <w:pPr>
              <w:spacing w:before="0" w:after="40"/>
            </w:pPr>
            <w:r>
              <w:rPr>
                <w:color w:val="333333"/>
                <w:sz w:val="19"/>
              </w:rPr>
              <w:t>• HR Officer Assignment: The HR Officer is tasked with conducting a compliance audit, restructuring the WSP/ATR process, and establishing a strategy to recover mandatory and discretionary grants.</w:t>
            </w:r>
          </w:p>
        </w:tc>
      </w:tr>
    </w:tbl>
    <w:p>
      <w:pPr>
        <w:spacing w:after="80"/>
      </w:pPr>
    </w:p>
    <w:p>
      <w:pPr>
        <w:keepNext/>
        <w:spacing w:before="160" w:after="40"/>
      </w:pPr>
      <w:r>
        <w:rPr>
          <w:rFonts w:ascii="Arial" w:hAnsi="Arial"/>
          <w:b/>
          <w:color w:val="1B365D"/>
          <w:sz w:val="22"/>
        </w:rPr>
        <w:t>Task 1 Response Worksheets:</w:t>
      </w:r>
    </w:p>
    <w:p>
      <w:r>
        <w:rPr>
          <w:b/>
        </w:rPr>
        <w:t>1.1 Evaluate the financial and compliance impact of failing to submit WSP/ATR documentation. Calculate the lost Mandatory Grant revenue over two years and explain the consequences on the B-BBEE scorecard.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80"/>
      </w:pPr>
    </w:p>
    <w:p>
      <w:r>
        <w:rPr>
          <w:b/>
        </w:rPr>
        <w:t>1.2 Formulate a 4-step Action Plan for the Skills Development Facilitator (SDF) and HR team to align internal training with SETA Sector Skills Plans (SSP), OFO codes, and ensure timely WSP/ATR submission.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120"/>
      </w:pPr>
    </w:p>
    <w:p>
      <w:pPr>
        <w:keepNext/>
        <w:spacing w:before="240" w:after="80"/>
      </w:pPr>
      <w:r>
        <w:rPr>
          <w:rFonts w:ascii="Arial" w:hAnsi="Arial"/>
          <w:b/>
          <w:color w:val="008080"/>
          <w:sz w:val="25"/>
        </w:rPr>
        <w:t>Practical Task 2: LDNA Diagnostics &amp; Kirkpatrick Evaluation Scenario (10 Marks - IAC0402, IAC0405)</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PRACTICAL SCENARIO 2 - LDNA DIAGNOSTICS &amp; EVALUATION</w:t>
              <w:br/>
            </w:r>
            <w:r>
              <w:rPr>
                <w:color w:val="333333"/>
                <w:sz w:val="19"/>
              </w:rPr>
              <w:t>SCENARIO CONTEXT - FAILED CUSTOMER SERVICE TRAINING AT APEX LOGISTICS:</w:t>
            </w:r>
          </w:p>
          <w:p>
            <w:pPr>
              <w:spacing w:before="0" w:after="40"/>
            </w:pPr>
            <w:r>
              <w:rPr>
                <w:color w:val="333333"/>
                <w:sz w:val="19"/>
              </w:rPr>
              <w:t>Apex Logistics spent R300,000 sending 80 Customer Service Consultants through a 3-day external 'Customer Excellence Workshop' to address plummeting CSAT scores.</w:t>
            </w:r>
          </w:p>
          <w:p>
            <w:pPr>
              <w:spacing w:before="0" w:after="40"/>
            </w:pPr>
            <w:r>
              <w:rPr>
                <w:color w:val="333333"/>
                <w:sz w:val="19"/>
              </w:rPr>
              <w:t>• Post-Training Audit: Six months post-training, LMS analytics and performance logs show CSAT scores remained stuck at 58%, call handle times doubled, and employee turnover increased by 15%.</w:t>
            </w:r>
          </w:p>
          <w:p>
            <w:pPr>
              <w:spacing w:before="0" w:after="40"/>
            </w:pPr>
            <w:r>
              <w:rPr>
                <w:color w:val="333333"/>
                <w:sz w:val="19"/>
              </w:rPr>
              <w:t>• Root Cause Discovery: A post-training evaluation revealed that the TNA was never conducted prior to training. Consultants reported that customer complaints stemmed from lagging multi-screen software and uncalibrated quotas, not interpersonal customer service skills.</w:t>
            </w:r>
          </w:p>
          <w:p>
            <w:pPr>
              <w:spacing w:before="0" w:after="40"/>
            </w:pPr>
            <w:r>
              <w:rPr>
                <w:color w:val="333333"/>
                <w:sz w:val="19"/>
              </w:rPr>
              <w:t>• Executive Request: The Managing Director claims L&amp;D is 'a waste of money' and demands that L&amp;D prove training impact or face budget cuts.</w:t>
            </w:r>
          </w:p>
          <w:p>
            <w:pPr>
              <w:spacing w:before="0" w:after="40"/>
            </w:pPr>
            <w:r>
              <w:rPr>
                <w:color w:val="333333"/>
                <w:sz w:val="19"/>
              </w:rPr>
              <w:t>• HR Officer Assignment: The HR Officer must conduct a retrospective evaluation using Kirkpatrick's 4-Level Model and establish a rigorous LDNA framework for future interventions.</w:t>
            </w:r>
          </w:p>
        </w:tc>
      </w:tr>
    </w:tbl>
    <w:p>
      <w:pPr>
        <w:spacing w:after="80"/>
      </w:pPr>
    </w:p>
    <w:p>
      <w:pPr>
        <w:keepNext/>
        <w:spacing w:before="160" w:after="40"/>
      </w:pPr>
      <w:r>
        <w:rPr>
          <w:rFonts w:ascii="Arial" w:hAnsi="Arial"/>
          <w:b/>
          <w:color w:val="1B365D"/>
          <w:sz w:val="22"/>
        </w:rPr>
        <w:t>Task 2 Response Worksheets:</w:t>
      </w:r>
    </w:p>
    <w:p>
      <w:r>
        <w:rPr>
          <w:b/>
        </w:rPr>
        <w:t>2.1 Analyze why the 'Customer Excellence Workshop' failed using Kirkpatrick's 4-Level Evaluation Model (Reaction, Learning, Behaviour, Results). Explain how skipping a proper LDNA caused this failure.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80"/>
      </w:pPr>
    </w:p>
    <w:p>
      <w:r>
        <w:rPr>
          <w:b/>
        </w:rPr>
        <w:t>2.2 Design a comprehensive 4-Phase Learning and Development Needs Analysis (LDNA) Framework for Apex Logistics to ensure future L&amp;D interventions address verified root causes and deliver business ROI.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160"/>
      </w:pPr>
    </w:p>
    <w:p>
      <w:pPr>
        <w:keepNext/>
        <w:spacing w:before="320" w:after="120"/>
        <w:pBdr>
          <w:bottom w:val="single" w:sz="12" w:space="4" w:color="1B365D"/>
        </w:pBdr>
      </w:pPr>
      <w:r>
        <w:rPr>
          <w:rFonts w:ascii="Arial" w:hAnsi="Arial"/>
          <w:b/>
          <w:color w:val="1B365D"/>
          <w:sz w:val="30"/>
        </w:rPr>
        <w:t>SECTION 3: ASSESSOR MARKING RUBRIC &amp; EVALUATION SUMMARY</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ASSESSMENT GRADING GRID</w:t>
              <w:br/>
            </w:r>
            <w:r>
              <w:rPr>
                <w:color w:val="333333"/>
                <w:sz w:val="19"/>
              </w:rPr>
              <w:t>This marking grid is completed by the accredited Assessor to record section marks.</w:t>
            </w:r>
          </w:p>
          <w:p>
            <w:pPr>
              <w:spacing w:before="0" w:after="40"/>
            </w:pPr>
            <w:r>
              <w:rPr>
                <w:color w:val="333333"/>
                <w:sz w:val="19"/>
              </w:rPr>
              <w:t>Benchmark for Competence: 80% overall score (40 / 50 Marks).</w:t>
            </w:r>
          </w:p>
        </w:tc>
      </w:tr>
    </w:tbl>
    <w:p>
      <w:pPr>
        <w:spacing w:after="80"/>
      </w:pP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Assessment Area</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Criteria Reference</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Max Marks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Learner Mark</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Outcome (C / NYC)</w:t>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Multiple Choice</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KT05401 - KT0407 (IAC0401 - IAC0407)</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True / False</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KT05401 - KT0407 (IAC0401 - IAC0407)</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C: True/False Justification</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KT0402, KT0404 (IAC0402, IAC0404)</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D: Short Answer Concepts</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KT05401 - KT0407 (IAC0401 - IAC0407)</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Practical Task 1: WSP/ATR &amp; SETA Grants</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KT0404, KT0405 / IAC0404, IAC0405</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Practical Task 2: LDNA &amp; Kirkpatrick Evaluation</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KT0402, KT0405 / IAC0402, IAC0405</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TOTAL FORMATIVE ASSESSMENT</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Topic KM0304 Integrated Competence</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t>50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r>
    </w:tbl>
    <w:p>
      <w:pPr>
        <w:spacing w:after="120"/>
      </w:pPr>
    </w:p>
    <w:p>
      <w:pPr>
        <w:keepNext/>
        <w:spacing w:before="160" w:after="40"/>
      </w:pPr>
      <w:r>
        <w:rPr>
          <w:rFonts w:ascii="Arial" w:hAnsi="Arial"/>
          <w:b/>
          <w:color w:val="1B365D"/>
          <w:sz w:val="22"/>
        </w:rPr>
        <w:t>Assessor Feedback &amp; Decision Block</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Constructive Feedback:</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Re-assessment / Action Required:</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br/>
              <w:br/>
              <w:br/>
              <w:br/>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br/>
              <w:br/>
              <w:br/>
              <w:br/>
            </w:r>
          </w:p>
        </w:tc>
      </w:tr>
    </w:tbl>
    <w:p>
      <w:pPr>
        <w:spacing w:after="160"/>
      </w:pP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Signature: _______________________</w:t>
              <w:br/>
              <w:t>Date: 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Signature: _______________________</w:t>
              <w:br/>
              <w:t>Date: ___________________</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Moderator Signature (if sampled): _______________________</w:t>
              <w:br/>
              <w:t>Date: 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Moderation Outcome: [  ] Accepted   [  ] Rejected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