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08080"/>
          <w:sz w:val="20"/>
        </w:rPr>
        <w:t>ADVANCED OCCUPATIONAL CERTIFICATE: HUMAN RESOURCE MANAGEMENT OFFICER</w:t>
      </w:r>
    </w:p>
    <w:p>
      <w:pPr>
        <w:spacing w:before="0" w:after="120"/>
      </w:pPr>
      <w:r>
        <w:rPr>
          <w:b/>
          <w:color w:val="1B365D"/>
          <w:sz w:val="40"/>
        </w:rPr>
        <w:t>INTERNAL FORMATIVE ASSESSMENT WORKBOOK</w:t>
      </w:r>
    </w:p>
    <w:p>
      <w:pPr>
        <w:spacing w:after="240"/>
      </w:pPr>
      <w:r>
        <w:rPr>
          <w:i/>
          <w:color w:val="646464"/>
          <w:sz w:val="19"/>
        </w:rPr>
        <w:t>Topic KM0305: Implementation Principles and Practices for Rewards Management (Weighting: 15% of KM-03)</w:t>
        <w:br/>
        <w:t>Qualification SAQA ID: 121151 | NQF Level 6 | Curriculum Code: 242303-001-00-00 | Total Marks: 50 Marks</w:t>
      </w:r>
    </w:p>
    <w:p>
      <w:pPr>
        <w:keepNext/>
        <w:spacing w:before="160" w:after="40"/>
      </w:pPr>
      <w:r>
        <w:rPr>
          <w:rFonts w:ascii="Arial" w:hAnsi="Arial"/>
          <w:b/>
          <w:color w:val="1B365D"/>
          <w:sz w:val="22"/>
        </w:rPr>
        <w:t>Learner &amp; Assessment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Full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National ID / Student Number:</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Assessor Name: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Assessment Date: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Assessment Result (Competent / Not Yet Competent):</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bl>
    <w:p>
      <w:pPr>
        <w:spacing w:after="80"/>
      </w:pPr>
    </w:p>
    <w:p>
      <w:pPr>
        <w:keepNext/>
        <w:spacing w:before="160" w:after="40"/>
      </w:pPr>
      <w:r>
        <w:rPr>
          <w:rFonts w:ascii="Arial" w:hAnsi="Arial"/>
          <w:b/>
          <w:color w:val="1B365D"/>
          <w:sz w:val="22"/>
        </w:rPr>
        <w:t>Topic KM0305 Curriculum &amp; Assessment Criteria Alignment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Knowledge Topic Element (KT)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Internal Assessment Criteria (IAC)</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Workbook Section</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KT0501: Definitions, terminology and concepts related to Rewards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IAC0501: Explain and discuss the definitions, terminology and concepts related to Rewards Management and give practical examples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KT0502: Evolving models, processes, and application principles for enhancing the effectiveness of Rewards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IAC0502: Discuss the evolving models, processes, and application principles for enhancing the effectiveness of Rewards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B, Part D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KT0503: Professional practice standards relating to Rewards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IAC0503: Discuss how the professional practice standards relate to Rewards Management in organisations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C (Q1), Part D (Q3)</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KT0504: Monitoring and facilitating compliance with Rewards Management policies and procedures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IAC0504: Explain how monitoring and facilitating compliance with Rewards Management policies and procedures must take place and elaborate on the benefits of compliance</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Part D (Q4), Part E Task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KT0505: Role of the HRM Officer regarding Rewards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IAC0505: Describe the role of the HRM Officer regarding Rewards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B, Part D (Q5), Part E Task 1 &amp; 2</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KT0506: Contributions of other HR stakeholders to Rewards Management</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IAC0506: Identify and discuss the contributions of other HR stakeholders to Rewards Management</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A, Part C (Q2), Part E Task 1</w:t>
            </w:r>
          </w:p>
        </w:tc>
      </w:tr>
      <w:tr>
        <w:trPr>
          <w:cantSplit/>
        </w:trPr>
        <w:tc>
          <w:tcPr>
            <w:tcW w:type="dxa" w:w="331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KT0507: Use of HR Rewards Management Information Systems and people analytics</w:t>
            </w:r>
          </w:p>
        </w:tc>
        <w:tc>
          <w:tcPr>
            <w:tcW w:type="dxa" w:w="403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IAC0507: Explain the use of the HR Rewards Management Information Systems for people analytics</w:t>
            </w:r>
          </w:p>
        </w:tc>
        <w:tc>
          <w:tcPr>
            <w:tcW w:type="dxa" w:w="259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Part B, Part D (Q4), Part E Task 1</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FORMATIVE ASSESSMENT INSTRUCTIONS</w:t>
              <w:br/>
            </w:r>
            <w:r>
              <w:rPr>
                <w:color w:val="333333"/>
                <w:sz w:val="19"/>
              </w:rPr>
              <w:t>1. This formative assessment workbook evaluates your theoretical knowledge and practical execution of rewards and recognition systems under Topic KM0305.</w:t>
            </w:r>
          </w:p>
          <w:p>
            <w:pPr>
              <w:spacing w:before="0" w:after="40"/>
            </w:pPr>
            <w:r>
              <w:rPr>
                <w:color w:val="333333"/>
                <w:sz w:val="19"/>
              </w:rPr>
              <w:t>2. Complete all tasks using UK English and professional human resource management terminology.</w:t>
            </w:r>
          </w:p>
          <w:p>
            <w:pPr>
              <w:spacing w:before="0" w:after="40"/>
            </w:pPr>
            <w:r>
              <w:rPr>
                <w:color w:val="333333"/>
                <w:sz w:val="19"/>
              </w:rPr>
              <w:t>3. Ensure your answers demonstrate NQF Level 6 depth: Total Rewards framework design, National Minimum Wage (NMW) compliance, equal pay for work of equal value (EEA), SABPP reward governance, and reward analytics.</w:t>
            </w:r>
          </w:p>
          <w:p>
            <w:pPr>
              <w:spacing w:before="0" w:after="40"/>
            </w:pPr>
            <w:r>
              <w:rPr>
                <w:color w:val="333333"/>
                <w:sz w:val="19"/>
              </w:rPr>
              <w:t>4. Total Marks: 50 Marks. Pass Benchmark: 80% (40 Marks).</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TASKS (30 MARKS)</w:t>
      </w:r>
    </w:p>
    <w:p>
      <w:pPr>
        <w:keepNext/>
        <w:spacing w:before="240" w:after="80"/>
      </w:pPr>
      <w:r>
        <w:rPr>
          <w:rFonts w:ascii="Arial" w:hAnsi="Arial"/>
          <w:b/>
          <w:color w:val="008080"/>
          <w:sz w:val="25"/>
        </w:rPr>
        <w:t>Part A: Multiple-Choice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A</w:t>
              <w:br/>
            </w:r>
            <w:r>
              <w:rPr>
                <w:color w:val="333333"/>
                <w:sz w:val="19"/>
              </w:rPr>
              <w:t>Select the most appropriate answer for each question by placing an 'X' in the corresponding box [ ]. Each question carries 1 mark.</w:t>
            </w:r>
          </w:p>
        </w:tc>
      </w:tr>
    </w:tbl>
    <w:p>
      <w:pPr>
        <w:spacing w:after="80"/>
      </w:pPr>
    </w:p>
    <w:p>
      <w:pPr>
        <w:keepNext/>
        <w:spacing w:before="120" w:after="40"/>
      </w:pPr>
      <w:r>
        <w:rPr>
          <w:b/>
        </w:rPr>
        <w:t>Q1. 1. According to the SABPP National People Practices and Governance Standard, 'Total Rewards' encompasses:</w:t>
      </w:r>
    </w:p>
    <w:p>
      <w:pPr>
        <w:spacing w:before="0" w:after="20"/>
        <w:ind w:left="360"/>
      </w:pPr>
      <w:r>
        <w:t>[  ]  A) Base salary and mandatory overtime pay only</w:t>
      </w:r>
    </w:p>
    <w:p>
      <w:pPr>
        <w:spacing w:before="0" w:after="20"/>
        <w:ind w:left="360"/>
      </w:pPr>
      <w:r>
        <w:t>[  ]  B) The entire package of monetary and non-monetary rewards, including benefits, work-life initiatives, and recognition</w:t>
      </w:r>
    </w:p>
    <w:p>
      <w:pPr>
        <w:spacing w:before="0" w:after="20"/>
        <w:ind w:left="360"/>
      </w:pPr>
      <w:r>
        <w:t>[  ]  C) Annual discretionary cash bonuses awarded to senior executives exclusively</w:t>
      </w:r>
    </w:p>
    <w:p>
      <w:pPr>
        <w:spacing w:before="0" w:after="20"/>
        <w:ind w:left="360"/>
      </w:pPr>
      <w:r>
        <w:t>[  ]  D) Reimbursement of travel claims and subsistence allowances</w:t>
      </w:r>
    </w:p>
    <w:p>
      <w:pPr>
        <w:spacing w:after="40"/>
      </w:pPr>
    </w:p>
    <w:p>
      <w:pPr>
        <w:keepNext/>
        <w:spacing w:before="120" w:after="40"/>
      </w:pPr>
      <w:r>
        <w:rPr>
          <w:b/>
        </w:rPr>
        <w:t>Q2. 2. Which reward model focuses on tailoring recognition and benefits packages to individual employee preferences, life stages, and personal motivations rather than enforcing a static, one-size-fits-all structure?</w:t>
      </w:r>
    </w:p>
    <w:p>
      <w:pPr>
        <w:spacing w:before="0" w:after="20"/>
        <w:ind w:left="360"/>
      </w:pPr>
      <w:r>
        <w:t>[  ]  A) Personalised / Flexible Rewards</w:t>
      </w:r>
    </w:p>
    <w:p>
      <w:pPr>
        <w:spacing w:before="0" w:after="20"/>
        <w:ind w:left="360"/>
      </w:pPr>
      <w:r>
        <w:t>[  ]  B) Traditional Fixed Pay Scale</w:t>
      </w:r>
    </w:p>
    <w:p>
      <w:pPr>
        <w:spacing w:before="0" w:after="20"/>
        <w:ind w:left="360"/>
      </w:pPr>
      <w:r>
        <w:t>[  ]  C) Statutory Tariff Allocation</w:t>
      </w:r>
    </w:p>
    <w:p>
      <w:pPr>
        <w:spacing w:before="0" w:after="20"/>
        <w:ind w:left="360"/>
      </w:pPr>
      <w:r>
        <w:t>[  ]  D) Uniform Grade Incentive</w:t>
      </w:r>
    </w:p>
    <w:p>
      <w:pPr>
        <w:spacing w:after="40"/>
      </w:pPr>
    </w:p>
    <w:p>
      <w:pPr>
        <w:keepNext/>
        <w:spacing w:before="120" w:after="40"/>
      </w:pPr>
      <w:r>
        <w:rPr>
          <w:b/>
        </w:rPr>
        <w:t>Q3. 3. In South Africa, which statutory mechanism establishes the legally enforceable floor for employee compensation across all sectors?</w:t>
      </w:r>
    </w:p>
    <w:p>
      <w:pPr>
        <w:spacing w:before="0" w:after="20"/>
        <w:ind w:left="360"/>
      </w:pPr>
      <w:r>
        <w:t>[  ]  A) B-BBEE Procurement Scorecard</w:t>
      </w:r>
    </w:p>
    <w:p>
      <w:pPr>
        <w:spacing w:before="0" w:after="20"/>
        <w:ind w:left="360"/>
      </w:pPr>
      <w:r>
        <w:t>[  ]  B) National Minimum Wage (NMW) Act</w:t>
      </w:r>
    </w:p>
    <w:p>
      <w:pPr>
        <w:spacing w:before="0" w:after="20"/>
        <w:ind w:left="360"/>
      </w:pPr>
      <w:r>
        <w:t>[  ]  C) Income Tax Threshold Regulations</w:t>
      </w:r>
    </w:p>
    <w:p>
      <w:pPr>
        <w:spacing w:before="0" w:after="20"/>
        <w:ind w:left="360"/>
      </w:pPr>
      <w:r>
        <w:t>[  ]  D) SETA Mandatory Grant Cap</w:t>
      </w:r>
    </w:p>
    <w:p>
      <w:pPr>
        <w:spacing w:after="40"/>
      </w:pPr>
    </w:p>
    <w:p>
      <w:pPr>
        <w:keepNext/>
        <w:spacing w:before="120" w:after="40"/>
      </w:pPr>
      <w:r>
        <w:rPr>
          <w:b/>
        </w:rPr>
        <w:t>Q4. 4. Which specialized HR stakeholder group primarily collaborates with HR to ensure financial sustainability, accurate payroll disbursement, and cost optimization of reward programs?</w:t>
      </w:r>
    </w:p>
    <w:p>
      <w:pPr>
        <w:spacing w:before="0" w:after="20"/>
        <w:ind w:left="360"/>
      </w:pPr>
      <w:r>
        <w:t>[  ]  A) Learning and Development (L&amp;D) Team</w:t>
      </w:r>
    </w:p>
    <w:p>
      <w:pPr>
        <w:spacing w:before="0" w:after="20"/>
        <w:ind w:left="360"/>
      </w:pPr>
      <w:r>
        <w:t>[  ]  B) Finance Department &amp; Payroll Specialists</w:t>
      </w:r>
    </w:p>
    <w:p>
      <w:pPr>
        <w:spacing w:before="0" w:after="20"/>
        <w:ind w:left="360"/>
      </w:pPr>
      <w:r>
        <w:t>[  ]  C) Employment Equity Committee</w:t>
      </w:r>
    </w:p>
    <w:p>
      <w:pPr>
        <w:spacing w:before="0" w:after="20"/>
        <w:ind w:left="360"/>
      </w:pPr>
      <w:r>
        <w:t>[  ]  D) External EAP Vendors</w:t>
      </w:r>
    </w:p>
    <w:p>
      <w:pPr>
        <w:spacing w:after="40"/>
      </w:pPr>
    </w:p>
    <w:p>
      <w:pPr>
        <w:keepNext/>
        <w:spacing w:before="120" w:after="40"/>
      </w:pPr>
      <w:r>
        <w:rPr>
          <w:b/>
        </w:rPr>
        <w:t>Q5. 5. How do HR Rewards Management Information Systems (HRIS) and People Analytics practically enhance reward administration?</w:t>
      </w:r>
    </w:p>
    <w:p>
      <w:pPr>
        <w:spacing w:before="0" w:after="20"/>
        <w:ind w:left="360"/>
      </w:pPr>
      <w:r>
        <w:t>[  ]  A) By automatically reducing salaries for employees on maternity leave</w:t>
      </w:r>
    </w:p>
    <w:p>
      <w:pPr>
        <w:spacing w:before="0" w:after="20"/>
        <w:ind w:left="360"/>
      </w:pPr>
      <w:r>
        <w:t>[  ]  B) By automating enrollment, auditing pay equity trends, and evaluating reward ROI</w:t>
      </w:r>
    </w:p>
    <w:p>
      <w:pPr>
        <w:spacing w:before="0" w:after="20"/>
        <w:ind w:left="360"/>
      </w:pPr>
      <w:r>
        <w:t>[  ]  C) By replacing all line manager performance evaluations with cash spot bonuses</w:t>
      </w:r>
    </w:p>
    <w:p>
      <w:pPr>
        <w:spacing w:before="0" w:after="20"/>
        <w:ind w:left="360"/>
      </w:pPr>
      <w:r>
        <w:t>[  ]  D) By granting automatic salary increases without executive approval</w:t>
      </w:r>
    </w:p>
    <w:p>
      <w:pPr>
        <w:spacing w:after="40"/>
      </w:pPr>
    </w:p>
    <w:p>
      <w:pPr>
        <w:keepNext/>
        <w:spacing w:before="240" w:after="80"/>
      </w:pPr>
      <w:r>
        <w:rPr>
          <w:rFonts w:ascii="Arial" w:hAnsi="Arial"/>
          <w:b/>
          <w:color w:val="008080"/>
          <w:sz w:val="25"/>
        </w:rPr>
        <w:t>Part B: True / False Questions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B</w:t>
              <w:br/>
            </w:r>
            <w:r>
              <w:rPr>
                <w:color w:val="333333"/>
                <w:sz w:val="19"/>
              </w:rPr>
              <w:t>Indicate whether each statement is True or False by placing an 'X' in the appropriate column.</w:t>
            </w:r>
          </w:p>
        </w:tc>
      </w:tr>
    </w:tbl>
    <w:p>
      <w:pPr>
        <w:spacing w:after="80"/>
      </w:pPr>
    </w:p>
    <w:tbl>
      <w:tblPr>
        <w:tblW w:type="auto" w:w="0"/>
        <w:jc w:val="center"/>
        <w:tblLook w:firstColumn="1" w:firstRow="1" w:lastColumn="0" w:lastRow="0" w:noHBand="0" w:noVBand="1" w:val="04A0"/>
      </w:tblPr>
      <w:tblGrid>
        <w:gridCol w:w="3312"/>
        <w:gridCol w:w="3312"/>
        <w:gridCol w:w="3312"/>
      </w:tblGrid>
      <w:tr>
        <w:trPr>
          <w:cantSplit/>
          <w:tblHeader/>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Statement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True</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False</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1. Intrinsic rewards refer to non-financial satisfaction derived directly from the work itself, such as a sense of mastery, autonomy, and meaningful accomplishment.</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2. 2. Under the Employment Equity Act (EEA), employers are permitted to maintain unjustified pay differentials between employees performing work of equal value if they belong to different racial or gender groups.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3. 3. Real-time recognition programs provide immediate appreciation for outstanding performance, maximizing the positive reinforcement impact on employee motivation.</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4. 4. Adhering to the SABPP Professional Practice Standard on Reward requires aligning rewards with business strategy, external benchmarking, and internal equity.</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   ]</w:t>
            </w:r>
          </w:p>
        </w:tc>
      </w:tr>
      <w:tr>
        <w:trPr>
          <w:cantSplit/>
        </w:trPr>
        <w:tc>
          <w:tcPr>
            <w:tcW w:type="dxa" w:w="73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5. 5. Line managers have no responsibility in rewards management and should not recommend team members for spot bonuses or performance recognition.</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   ]</w:t>
            </w:r>
          </w:p>
        </w:tc>
      </w:tr>
    </w:tbl>
    <w:p>
      <w:pPr>
        <w:spacing w:after="120"/>
      </w:pPr>
    </w:p>
    <w:p>
      <w:pPr>
        <w:keepNext/>
        <w:spacing w:before="240" w:after="80"/>
      </w:pPr>
      <w:r>
        <w:rPr>
          <w:rFonts w:ascii="Arial" w:hAnsi="Arial"/>
          <w:b/>
          <w:color w:val="008080"/>
          <w:sz w:val="25"/>
        </w:rPr>
        <w:t>Part C: True / False with Technical Justification (5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C</w:t>
              <w:br/>
            </w:r>
            <w:r>
              <w:rPr>
                <w:color w:val="333333"/>
                <w:sz w:val="19"/>
              </w:rPr>
              <w:t>State whether the statement is TRUE or FALSE, and provide an evidence-based HR justification (2–4 sentences). Each item carries 2.5 marks.</w:t>
            </w:r>
          </w:p>
        </w:tc>
      </w:tr>
    </w:tbl>
    <w:p>
      <w:pPr>
        <w:spacing w:after="80"/>
      </w:pPr>
    </w:p>
    <w:p>
      <w:pPr>
        <w:spacing w:before="120" w:after="40"/>
      </w:pPr>
      <w:r>
        <w:rPr>
          <w:b/>
        </w:rPr>
        <w:t>Statement 1: 'Designing a rewards management system based solely on monetary compensation guarantees long-term employee retention and intrinsic motivation without requiring non-monetary recognition.'</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spacing w:before="120" w:after="40"/>
      </w:pPr>
      <w:r>
        <w:rPr>
          <w:b/>
        </w:rPr>
        <w:t>Statement 2: 'Aligning rewards management practices with Broad-Based Black Economic Empowerment (B-BBEE) principles and the Employment Equity Act (EEA) promotes fair workplace transformation and pay equity.'</w:t>
      </w:r>
    </w:p>
    <w:tbl>
      <w:tblPr>
        <w:tblW w:type="auto" w:w="0"/>
        <w:tblLook w:firstColumn="1" w:firstRow="1" w:lastColumn="0" w:lastRow="0" w:noHBand="0" w:noVBand="1" w:val="04A0"/>
      </w:tblPr>
      <w:tblGrid>
        <w:gridCol w:w="9936"/>
      </w:tblGrid>
      <w:tr>
        <w:tc>
          <w:tcPr>
            <w:tcW w:type="dxa" w:w="9936"/>
            <w:shd w:fill="F4F6F9"/>
            <w:tcMar>
              <w:top w:w="100" w:type="dxa"/>
              <w:bottom w:w="100" w:type="dxa"/>
              <w:left w:w="120" w:type="dxa"/>
              <w:right w:w="120" w:type="dxa"/>
            </w:tcMar>
          </w:tcPr>
          <w:p>
            <w:r>
              <w:t>Answer (True/False): ____________________</w:t>
              <w:br/>
              <w:t xml:space="preserve">Justification: </w:t>
              <w:br/>
              <w:br/>
              <w:br/>
            </w:r>
          </w:p>
        </w:tc>
      </w:tr>
    </w:tbl>
    <w:p>
      <w:pPr>
        <w:spacing w:after="80"/>
      </w:pPr>
    </w:p>
    <w:p>
      <w:pPr>
        <w:keepNext/>
        <w:spacing w:before="240" w:after="80"/>
      </w:pPr>
      <w:r>
        <w:rPr>
          <w:rFonts w:ascii="Arial" w:hAnsi="Arial"/>
          <w:b/>
          <w:color w:val="008080"/>
          <w:sz w:val="25"/>
        </w:rPr>
        <w:t>Part D: Short Answer Conceptual Questions (15 Marks)</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INSTRUCTIONS - PART D</w:t>
              <w:br/>
            </w:r>
            <w:r>
              <w:rPr>
                <w:color w:val="333333"/>
                <w:sz w:val="19"/>
              </w:rPr>
              <w:t>Answer the following questions concisely based on Topic KM0305 theory guide content and South African rewards governance practices.</w:t>
            </w:r>
          </w:p>
        </w:tc>
      </w:tr>
    </w:tbl>
    <w:p>
      <w:pPr>
        <w:spacing w:after="80"/>
      </w:pPr>
    </w:p>
    <w:p>
      <w:pPr>
        <w:keepNext/>
        <w:spacing w:before="120" w:after="40"/>
      </w:pPr>
      <w:r>
        <w:rPr>
          <w:b/>
        </w:rPr>
        <w:t>Question 1 (IAC0501): Define 'Total Rewards' according to SABPP standards, differentiating between Monetary Rewards, Non-Monetary Rewards, Intrinsic Rewards, and Extrinsic Rewards.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2 (IAC0502): Discuss three (3) evolving trends in modern rewards management (e.g., peer-to-peer recognition, real-time rewards, flexible benefits) and their impact on employee engagement.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3 (IAC0503): Explain how SABPP Reward Standards and the National Minimum Wage (NMW) Act guide HR Officers in establishing fair, competitive, and transparent compensation structures.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4 (IAC0504 &amp; IAC0507): Describe how HR Officers use rewards analytics and HRIS data (pay equity audits, cost-benefit analysis, reward program utilization) to monitor compliance and evaluate ROI.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120" w:after="40"/>
      </w:pPr>
      <w:r>
        <w:rPr>
          <w:b/>
        </w:rPr>
        <w:t>Question 5 (IAC0505 &amp; IAC0506): Detail the distinct responsibilities of the HR Officer, Senior Management, Finance, and Line Managers in designing and administering an organizational Rewards and Recognition Policy. (3 Marks)</w:t>
      </w:r>
    </w:p>
    <w:tbl>
      <w:tblPr>
        <w:tblW w:type="auto" w:w="0"/>
        <w:tblLook w:firstColumn="1" w:firstRow="1" w:lastColumn="0" w:lastRow="0" w:noHBand="0" w:noVBand="1" w:val="04A0"/>
      </w:tblPr>
      <w:tblGrid>
        <w:gridCol w:w="9936"/>
      </w:tblGrid>
      <w:tr>
        <w:tc>
          <w:tcPr>
            <w:tcW w:type="dxa" w:w="9936"/>
            <w:shd w:fill="FFFFFF"/>
            <w:tcMar>
              <w:top w:w="80" w:type="dxa"/>
              <w:bottom w:w="80" w:type="dxa"/>
              <w:left w:w="100" w:type="dxa"/>
              <w:right w:w="100" w:type="dxa"/>
            </w:tcMar>
          </w:tcPr>
          <w:p>
            <w:r>
              <w:br/>
              <w:br/>
              <w:br/>
            </w:r>
          </w:p>
        </w:tc>
      </w:tr>
    </w:tbl>
    <w:p>
      <w:pPr>
        <w:spacing w:after="80"/>
      </w:pPr>
    </w:p>
    <w:p>
      <w:pPr>
        <w:keepNext/>
        <w:spacing w:before="320" w:after="120"/>
        <w:pBdr>
          <w:bottom w:val="single" w:sz="12" w:space="4" w:color="1B365D"/>
        </w:pBdr>
      </w:pPr>
      <w:r>
        <w:rPr>
          <w:rFonts w:ascii="Arial" w:hAnsi="Arial"/>
          <w:b/>
          <w:color w:val="1B365D"/>
          <w:sz w:val="30"/>
        </w:rPr>
        <w:t>SECTION 2: SCENARIO-BASED PRACTICAL APPLICATION TASKS (20 MARKS)</w:t>
      </w:r>
    </w:p>
    <w:p>
      <w:pPr>
        <w:keepNext/>
        <w:spacing w:before="240" w:after="80"/>
      </w:pPr>
      <w:r>
        <w:rPr>
          <w:rFonts w:ascii="Arial" w:hAnsi="Arial"/>
          <w:b/>
          <w:color w:val="008080"/>
          <w:sz w:val="25"/>
        </w:rPr>
        <w:t>Practical Task 1: Pay Equity Audit &amp; EEA Compliance Scenario (10 Marks - IAC0503, IAC0504)</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1 - PAY EQUITY AUDIT &amp; EEA COMPLIANCE</w:t>
              <w:br/>
            </w:r>
            <w:r>
              <w:rPr>
                <w:color w:val="333333"/>
                <w:sz w:val="19"/>
              </w:rPr>
              <w:t>SCENARIO CONTEXT - CURIOSA MANUFACTURING PAY EQUITY AUDIT:</w:t>
            </w:r>
          </w:p>
          <w:p>
            <w:pPr>
              <w:spacing w:before="0" w:after="40"/>
            </w:pPr>
            <w:r>
              <w:rPr>
                <w:color w:val="333333"/>
                <w:sz w:val="19"/>
              </w:rPr>
              <w:t>Curiosa Manufacturing conducted an internal compensation audit across its Senior Logistics Supervisor roles (Job Grade C4, equal job evaluation points).</w:t>
            </w:r>
          </w:p>
          <w:p>
            <w:pPr>
              <w:spacing w:before="0" w:after="40"/>
            </w:pPr>
            <w:r>
              <w:rPr>
                <w:color w:val="333333"/>
                <w:sz w:val="19"/>
              </w:rPr>
              <w:t>• Audit Findings: The audit revealed significant wage disparities among six supervisors performing identical duties with equal length of service:</w:t>
            </w:r>
          </w:p>
          <w:p>
            <w:pPr>
              <w:spacing w:before="0" w:after="40"/>
            </w:pPr>
            <w:r>
              <w:rPr>
                <w:color w:val="333333"/>
                <w:sz w:val="19"/>
              </w:rPr>
              <w:t xml:space="preserve">   - Male Supervisors (3 staff): Average salary = R38,000 per month.</w:t>
            </w:r>
          </w:p>
          <w:p>
            <w:pPr>
              <w:spacing w:before="0" w:after="40"/>
            </w:pPr>
            <w:r>
              <w:rPr>
                <w:color w:val="333333"/>
                <w:sz w:val="19"/>
              </w:rPr>
              <w:t xml:space="preserve">   - Female Supervisors (3 staff, designated group): Average salary = R29,000 per month (23.7% pay gap).</w:t>
            </w:r>
          </w:p>
          <w:p>
            <w:pPr>
              <w:spacing w:before="0" w:after="40"/>
            </w:pPr>
            <w:r>
              <w:rPr>
                <w:color w:val="333333"/>
                <w:sz w:val="19"/>
              </w:rPr>
              <w:t>• Executive Argument: The Operations Director argues that the male supervisors negotiated higher starting salaries upon hire and that 'market forces dictate individual pay rates'.</w:t>
            </w:r>
          </w:p>
          <w:p>
            <w:pPr>
              <w:spacing w:before="0" w:after="40"/>
            </w:pPr>
            <w:r>
              <w:rPr>
                <w:color w:val="333333"/>
                <w:sz w:val="19"/>
              </w:rPr>
              <w:t>• Legal Exposure: A formal complaint has been raised with the Employment Equity Committee alleging unfair discrimination under Section 6(4) of the Employment Equity Act (Equal Pay for Work of Equal Value).</w:t>
            </w:r>
          </w:p>
          <w:p>
            <w:pPr>
              <w:spacing w:before="0" w:after="40"/>
            </w:pPr>
            <w:r>
              <w:rPr>
                <w:color w:val="333333"/>
                <w:sz w:val="19"/>
              </w:rPr>
              <w:t>• HR Mandate: As the HR Officer, you must audit this pay gap, evaluate legal risks under the EEA, and formulate an income differential adjustment strategy.</w:t>
            </w:r>
          </w:p>
        </w:tc>
      </w:tr>
    </w:tbl>
    <w:p>
      <w:pPr>
        <w:spacing w:after="80"/>
      </w:pPr>
    </w:p>
    <w:p>
      <w:pPr>
        <w:keepNext/>
        <w:spacing w:before="160" w:after="40"/>
      </w:pPr>
      <w:r>
        <w:rPr>
          <w:rFonts w:ascii="Arial" w:hAnsi="Arial"/>
          <w:b/>
          <w:color w:val="1B365D"/>
          <w:sz w:val="22"/>
        </w:rPr>
        <w:t>Task 1 Response Worksheets:</w:t>
      </w:r>
    </w:p>
    <w:p>
      <w:r>
        <w:rPr>
          <w:b/>
        </w:rPr>
        <w:t>1.1 Evaluate the pay gap findings against Section 6(4) of the Employment Equity Act (EEA) and the Code of Good Practice on Equal Pay for Work of Equal Value. Explain why the Operations Director's 'market forces' defense is legally insufficient.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1.2 Formulate a 3-step Pay Parity Remediation Plan for Curiosa Manufacturing, detailing salary benchmarking, budget allocation with Finance, and EE income differential reporting.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20"/>
      </w:pPr>
    </w:p>
    <w:p>
      <w:pPr>
        <w:keepNext/>
        <w:spacing w:before="240" w:after="80"/>
      </w:pPr>
      <w:r>
        <w:rPr>
          <w:rFonts w:ascii="Arial" w:hAnsi="Arial"/>
          <w:b/>
          <w:color w:val="008080"/>
          <w:sz w:val="25"/>
        </w:rPr>
        <w:t>Practical Task 2: Total Rewards Strategy &amp; Non-Monetary Recognition Redesign (10 Marks - IAC0502, IAC0505)</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PRACTICAL SCENARIO 2 - TOTAL REWARDS &amp; RECOGNITION REDESIGN</w:t>
              <w:br/>
            </w:r>
            <w:r>
              <w:rPr>
                <w:color w:val="333333"/>
                <w:sz w:val="19"/>
              </w:rPr>
              <w:t>SCENARIO CONTEXT - REWARD REDESIGN AT APEX LOGISTICS:</w:t>
            </w:r>
          </w:p>
          <w:p>
            <w:pPr>
              <w:spacing w:before="0" w:after="40"/>
            </w:pPr>
            <w:r>
              <w:rPr>
                <w:color w:val="333333"/>
                <w:sz w:val="19"/>
              </w:rPr>
              <w:t>Apex Logistics experienced a 28% annual turnover rate in its Customer Support Division due to employee burnout, rigid shift structures, and lack of performance appreciation.</w:t>
            </w:r>
          </w:p>
          <w:p>
            <w:pPr>
              <w:spacing w:before="0" w:after="40"/>
            </w:pPr>
            <w:r>
              <w:rPr>
                <w:color w:val="333333"/>
                <w:sz w:val="19"/>
              </w:rPr>
              <w:t>• Previous Incentive Model: Apex relied solely on an annual cash bonus awarded to top 5% performers. 95% of consultants received zero recognition throughout the year.</w:t>
            </w:r>
          </w:p>
          <w:p>
            <w:pPr>
              <w:spacing w:before="0" w:after="40"/>
            </w:pPr>
            <w:r>
              <w:rPr>
                <w:color w:val="333333"/>
                <w:sz w:val="19"/>
              </w:rPr>
              <w:t>• Employee Survey Feedback: 78% of consultants reported feeling undervalued, citing that unachievable cash bonus targets created toxic competition, while daily efforts went unacknowledged.</w:t>
            </w:r>
          </w:p>
          <w:p>
            <w:pPr>
              <w:spacing w:before="0" w:after="40"/>
            </w:pPr>
            <w:r>
              <w:rPr>
                <w:color w:val="333333"/>
                <w:sz w:val="19"/>
              </w:rPr>
              <w:t>• Financial Constraint: Finance capped the overall reward budget at 1.5% of payroll, making large across-the-board cash salary increases unfeasible.</w:t>
            </w:r>
          </w:p>
          <w:p>
            <w:pPr>
              <w:spacing w:before="0" w:after="40"/>
            </w:pPr>
            <w:r>
              <w:rPr>
                <w:color w:val="333333"/>
                <w:sz w:val="19"/>
              </w:rPr>
              <w:t>• HR Officer Assignment: The HR Officer must redesign the reward framework into a modern Total Rewards Model incorporating non-monetary recognition, flexible work incentives, and peer-to-peer appreciation.</w:t>
            </w:r>
          </w:p>
        </w:tc>
      </w:tr>
    </w:tbl>
    <w:p>
      <w:pPr>
        <w:spacing w:after="80"/>
      </w:pPr>
    </w:p>
    <w:p>
      <w:pPr>
        <w:keepNext/>
        <w:spacing w:before="160" w:after="40"/>
      </w:pPr>
      <w:r>
        <w:rPr>
          <w:rFonts w:ascii="Arial" w:hAnsi="Arial"/>
          <w:b/>
          <w:color w:val="1B365D"/>
          <w:sz w:val="22"/>
        </w:rPr>
        <w:t>Task 2 Response Worksheets:</w:t>
      </w:r>
    </w:p>
    <w:p>
      <w:r>
        <w:rPr>
          <w:b/>
        </w:rPr>
        <w:t>2.1 Analyze the flaws in Apex Logistics' previous annual cash-only bonus model. Explain why relying exclusively on annual monetary incentives failed to motivate staff and damaged workplace culture.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80"/>
      </w:pPr>
    </w:p>
    <w:p>
      <w:r>
        <w:rPr>
          <w:b/>
        </w:rPr>
        <w:t>2.2 Design a comprehensive Total Rewards Program for Apex Logistics within the 1.5% budget cap, incorporating real-time recognition, flexible shift arrangements, peer-to-peer awards, and professional development opportunities. (5 Marks):</w:t>
      </w:r>
    </w:p>
    <w:tbl>
      <w:tblPr>
        <w:tblW w:type="auto" w:w="0"/>
        <w:tblLook w:firstColumn="1" w:firstRow="1" w:lastColumn="0" w:lastRow="0" w:noHBand="0" w:noVBand="1" w:val="04A0"/>
      </w:tblPr>
      <w:tblGrid>
        <w:gridCol w:w="9936"/>
      </w:tblGrid>
      <w:tr>
        <w:tc>
          <w:tcPr>
            <w:tcW w:type="dxa" w:w="9936"/>
            <w:shd w:fill="FFFFFF"/>
            <w:tcMar>
              <w:top w:w="100" w:type="dxa"/>
              <w:bottom w:w="100" w:type="dxa"/>
              <w:left w:w="100" w:type="dxa"/>
              <w:right w:w="100" w:type="dxa"/>
            </w:tcMar>
          </w:tcPr>
          <w:p>
            <w:r>
              <w:br/>
              <w:br/>
              <w:br/>
              <w:br/>
              <w:br/>
              <w:br/>
            </w:r>
          </w:p>
        </w:tc>
      </w:tr>
    </w:tbl>
    <w:p>
      <w:pPr>
        <w:spacing w:after="160"/>
      </w:pPr>
    </w:p>
    <w:p>
      <w:pPr>
        <w:keepNext/>
        <w:spacing w:before="320" w:after="120"/>
        <w:pBdr>
          <w:bottom w:val="single" w:sz="12" w:space="4" w:color="1B365D"/>
        </w:pBdr>
      </w:pPr>
      <w:r>
        <w:rPr>
          <w:rFonts w:ascii="Arial" w:hAnsi="Arial"/>
          <w:b/>
          <w:color w:val="1B365D"/>
          <w:sz w:val="30"/>
        </w:rPr>
        <w:t>SECTION 3: ASSESSOR MARKING RUBRIC &amp; EVALUATION SUMMARY</w:t>
      </w: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B365D"/>
              <w:top w:val="none"/>
              <w:right w:val="none"/>
              <w:bottom w:val="none"/>
            </w:tcBorders>
            <w:tcMar>
              <w:top w:w="140" w:type="dxa"/>
              <w:bottom w:w="140" w:type="dxa"/>
              <w:left w:w="200" w:type="dxa"/>
              <w:right w:w="150" w:type="dxa"/>
            </w:tcMar>
          </w:tcPr>
          <w:p>
            <w:pPr>
              <w:spacing w:before="0" w:after="40"/>
            </w:pPr>
            <w:r>
              <w:rPr>
                <w:b/>
                <w:color w:val="1B365D"/>
                <w:sz w:val="21"/>
              </w:rPr>
              <w:t>■ ASSESSMENT GRADING GRID</w:t>
              <w:br/>
            </w:r>
            <w:r>
              <w:rPr>
                <w:color w:val="333333"/>
                <w:sz w:val="19"/>
              </w:rPr>
              <w:t>This marking grid is completed by the accredited Assessor to record section marks.</w:t>
            </w:r>
          </w:p>
          <w:p>
            <w:pPr>
              <w:spacing w:before="0" w:after="40"/>
            </w:pPr>
            <w:r>
              <w:rPr>
                <w:color w:val="333333"/>
                <w:sz w:val="19"/>
              </w:rPr>
              <w:t>Benchmark for Competence: 80% overall score (40 / 50 Marks).</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Area</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Criteria Reference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 Marks</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Mark</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Outcome (C / NYC)</w:t>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KT0501 - KT0507 (IAC0501 - IAC0507)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KT0501 - KT0507 (IAC0501 - IAC0507)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True/False Justification</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KT0501, KT0503 (IAC0501, IAC0503)</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Concepts</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KT0501 - KT0507 (IAC0501 - IAC0507)</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Pay Equity Audit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KT0503, KT0504 / IAC0503, IAC0504</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Total Rewards Strategy</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KT0502, KT0505 / IAC0502, IAC0505</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r>
      <w:tr>
        <w:trPr>
          <w:cantSplit/>
        </w:trPr>
        <w:tc>
          <w:tcPr>
            <w:tcW w:type="dxa" w:w="28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w:t>
            </w:r>
          </w:p>
        </w:tc>
        <w:tc>
          <w:tcPr>
            <w:tcW w:type="dxa" w:w="345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Topic KM0305 Integrated Competence</w:t>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29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1152"/>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r>
    </w:tbl>
    <w:p>
      <w:pPr>
        <w:spacing w:after="120"/>
      </w:pPr>
    </w:p>
    <w:p>
      <w:pPr>
        <w:keepNext/>
        <w:spacing w:before="160" w:after="40"/>
      </w:pPr>
      <w:r>
        <w:rPr>
          <w:rFonts w:ascii="Arial" w:hAnsi="Arial"/>
          <w:b/>
          <w:color w:val="1B365D"/>
          <w:sz w:val="22"/>
        </w:rPr>
        <w:t>Assessor Feedback &amp; Decision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Constructive Feedback:</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Re-assessment / Action Required:</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br/>
              <w:br/>
              <w:br/>
              <w:br/>
            </w:r>
          </w:p>
        </w:tc>
      </w:tr>
    </w:tbl>
    <w:p>
      <w:pPr>
        <w:spacing w:after="160"/>
      </w:pP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Learner Signature: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Signature: _______________________</w:t>
              <w:br/>
              <w:t>Date: ___________________</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Moderator Signature (if sampled): _______________________</w:t>
              <w:br/>
              <w:t>Date: 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Outcome: [  ] Accepted   [  ] Rejected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