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07C41"/>
          <w:sz w:val="20"/>
        </w:rPr>
        <w:t>ADVANCED OCCUPATIONAL CERTIFICATE: HUMAN RESOURCE MANAGEMENT OFFICER</w:t>
      </w:r>
    </w:p>
    <w:p>
      <w:pPr>
        <w:spacing w:before="0" w:after="120"/>
      </w:pPr>
      <w:r>
        <w:rPr>
          <w:b/>
          <w:color w:val="1B365D"/>
          <w:sz w:val="40"/>
        </w:rPr>
        <w:t>ASSESSOR GUIDE &amp; MARKING MEMORANDUM</w:t>
      </w:r>
    </w:p>
    <w:p>
      <w:pPr>
        <w:spacing w:after="240"/>
      </w:pPr>
      <w:r>
        <w:rPr>
          <w:i/>
          <w:color w:val="646464"/>
          <w:sz w:val="19"/>
        </w:rPr>
        <w:t>Topic KM0306: Implementation Principles and Practices for Organisational Development (Weighting: 15% of KM-03)</w:t>
        <w:br/>
        <w:t>Qualification SAQA ID: 121151 | NQF Level 6 | Curriculum Code: 242303-001-00-00 | Total Marks: 50 Marks</w:t>
      </w:r>
    </w:p>
    <w:p>
      <w:pPr>
        <w:keepNext/>
        <w:spacing w:before="160" w:after="40"/>
      </w:pPr>
      <w:r>
        <w:rPr>
          <w:rFonts w:ascii="Arial" w:hAnsi="Arial"/>
          <w:b/>
          <w:color w:val="1B365D"/>
          <w:sz w:val="22"/>
        </w:rPr>
        <w:t>Assessor &amp; Quality Governance Details</w:t>
      </w:r>
    </w:p>
    <w:tbl>
      <w:tblPr>
        <w:tblW w:type="auto" w:w="0"/>
        <w:jc w:val="center"/>
        <w:tblLook w:firstColumn="1" w:firstRow="1" w:lastColumn="0" w:lastRow="0" w:noHBand="0" w:noVBand="1" w:val="04A0"/>
      </w:tblPr>
      <w:tblGrid>
        <w:gridCol w:w="4968"/>
        <w:gridCol w:w="4968"/>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Document Type: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KM0306 Assessor Guide &amp; Model Answer Memorandum</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Target Audience: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Accredited Assessors, Internal Moderators, and Facilitators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b/>
                <w:color w:val="333333"/>
                <w:sz w:val="18"/>
              </w:rPr>
              <w:t>Minimum Benchmark for Competence:</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80% Overall Score (40 / 50 Marks)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Language &amp; Style Standard:</w:t>
            </w:r>
          </w:p>
        </w:tc>
        <w:tc>
          <w:tcPr>
            <w:tcW w:type="dxa" w:w="633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UK English / NQF Level 6 Organisational Development Professional Standards</w:t>
            </w:r>
          </w:p>
        </w:tc>
      </w:tr>
    </w:tbl>
    <w:p>
      <w:pPr>
        <w:spacing w:after="120"/>
      </w:pPr>
    </w:p>
    <w:tbl>
      <w:tblPr>
        <w:tblW w:type="auto" w:w="0"/>
        <w:jc w:val="center"/>
        <w:tblLook w:firstColumn="1" w:firstRow="1" w:lastColumn="0" w:lastRow="0" w:noHBand="0" w:noVBand="1" w:val="04A0"/>
      </w:tblPr>
      <w:tblGrid>
        <w:gridCol w:w="9936"/>
      </w:tblGrid>
      <w:tr>
        <w:tc>
          <w:tcPr>
            <w:tcW w:type="dxa" w:w="9936"/>
            <w:shd w:fill="F4F6F9"/>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ASSESSOR GUIDELINES &amp; MARKING PRINCIPLES</w:t>
              <w:br/>
            </w:r>
            <w:r>
              <w:rPr>
                <w:color w:val="333333"/>
                <w:sz w:val="19"/>
              </w:rPr>
              <w:t>1. This Assessor Guide contains model solutions, legal benchmarks, and marking schemes for Topic KM0306.</w:t>
            </w:r>
          </w:p>
          <w:p>
            <w:pPr>
              <w:spacing w:before="0" w:after="40"/>
            </w:pPr>
            <w:r>
              <w:rPr>
                <w:color w:val="333333"/>
                <w:sz w:val="19"/>
              </w:rPr>
              <w:t>2. Evaluate learner responses against NQF Level 6 criteria: accurate OD terminology, SABPP Element 10 process frameworks, Appreciative Inquiry, Lewin's Change Model, Force Field Analysis, and OD analytics.</w:t>
            </w:r>
          </w:p>
          <w:p>
            <w:pPr>
              <w:spacing w:before="0" w:after="40"/>
            </w:pPr>
            <w:r>
              <w:rPr>
                <w:color w:val="333333"/>
                <w:sz w:val="19"/>
              </w:rPr>
              <w:t>3. Partial marks are permitted for open-ended questions and practical scenarios where well-reasoned HR OD solutions are presented.</w:t>
            </w:r>
          </w:p>
          <w:p>
            <w:pPr>
              <w:spacing w:before="0" w:after="40"/>
            </w:pPr>
            <w:r>
              <w:rPr>
                <w:color w:val="333333"/>
                <w:sz w:val="19"/>
              </w:rPr>
              <w:t>4. Record marks accurately in Section 3 of the Learner Workbook and provide constructive development feedback.</w:t>
            </w:r>
          </w:p>
        </w:tc>
      </w:tr>
    </w:tbl>
    <w:p>
      <w:pPr>
        <w:spacing w:after="80"/>
      </w:pPr>
    </w:p>
    <w:p>
      <w:pPr>
        <w:keepNext/>
        <w:spacing w:before="320" w:after="120"/>
        <w:pBdr>
          <w:bottom w:val="single" w:sz="12" w:space="4" w:color="1B365D"/>
        </w:pBdr>
      </w:pPr>
      <w:r>
        <w:rPr>
          <w:rFonts w:ascii="Arial" w:hAnsi="Arial"/>
          <w:b/>
          <w:color w:val="1B365D"/>
          <w:sz w:val="30"/>
        </w:rPr>
        <w:t>SECTION 1: KNOWLEDGE &amp; UNDERSTANDING MEMORANDUM (30 MARKS)</w:t>
      </w:r>
    </w:p>
    <w:p>
      <w:pPr>
        <w:keepNext/>
        <w:spacing w:before="240" w:after="80"/>
      </w:pPr>
      <w:r>
        <w:rPr>
          <w:rFonts w:ascii="Arial" w:hAnsi="Arial"/>
          <w:b/>
          <w:color w:val="107C41"/>
          <w:sz w:val="25"/>
        </w:rPr>
        <w:t>Part A: Multiple-Choice Questions Memorandum (5 Marks)</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Q#</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Option</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Key Answer / HR Concept</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Mark Allocation &amp; Criteria</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Evidence-based approach to systemic effectiveness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SABPP Element 10 definition of Organisational Development.</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Appreciative Inquiry (AI)</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OD model focusing on identifying and leveraging organizational strengths.</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Unfreeze, Change, Refreeze</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Sequential 3-stage change management model by Kurt Lewin.</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B</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Line Managers</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Implementation champions cascading change and fostering team psychological safety.</w:t>
            </w:r>
          </w:p>
        </w:tc>
      </w:tr>
      <w:tr>
        <w:trPr>
          <w:cantSplit/>
        </w:trPr>
        <w:tc>
          <w:tcPr>
            <w:tcW w:type="dxa" w:w="86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72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A</w:t>
            </w:r>
          </w:p>
        </w:tc>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Consolidate survey data, track trends &amp; measure ROI</w:t>
            </w:r>
          </w:p>
        </w:tc>
        <w:tc>
          <w:tcPr>
            <w:tcW w:type="dxa" w:w="374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Core function of HRIS and People Analytics in OD.</w:t>
            </w:r>
          </w:p>
        </w:tc>
      </w:tr>
    </w:tbl>
    <w:p>
      <w:pPr>
        <w:spacing w:after="120"/>
      </w:pPr>
    </w:p>
    <w:p>
      <w:pPr>
        <w:keepNext/>
        <w:spacing w:before="240" w:after="80"/>
      </w:pPr>
      <w:r>
        <w:rPr>
          <w:rFonts w:ascii="Arial" w:hAnsi="Arial"/>
          <w:b/>
          <w:color w:val="107C41"/>
          <w:sz w:val="25"/>
        </w:rPr>
        <w:t>Part B: True / False Memorandum (5 Marks)</w:t>
      </w:r>
    </w:p>
    <w:tbl>
      <w:tblPr>
        <w:tblW w:type="auto" w:w="0"/>
        <w:jc w:val="center"/>
        <w:tblLook w:firstColumn="1" w:firstRow="1" w:lastColumn="0" w:lastRow="0" w:noHBand="0" w:noVBand="1" w:val="04A0"/>
      </w:tblPr>
      <w:tblGrid>
        <w:gridCol w:w="3312"/>
        <w:gridCol w:w="3312"/>
        <w:gridCol w:w="3312"/>
      </w:tblGrid>
      <w:tr>
        <w:trPr>
          <w:cantSplit/>
          <w:tblHeader/>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Statement #</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Correct Answer</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Assessment Guidance / Rationale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Force Field Analysis weighs driving forces against restraining forces during change.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2</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South African OD must align with national transformation priorities (B-BBEE and EE).</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3</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Agile OD adapts iterative project management principles for flexible, real-time adjustments.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4</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FALSE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1 Mark. There is no dedicated statutory OD Act; OD follows voluntary standards (SABPP) and general labour laws.</w:t>
            </w:r>
          </w:p>
        </w:tc>
      </w:tr>
      <w:tr>
        <w:trPr>
          <w:cantSplit/>
        </w:trPr>
        <w:tc>
          <w:tcPr>
            <w:tcW w:type="dxa" w:w="144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2016"/>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TRUE</w:t>
            </w:r>
          </w:p>
        </w:tc>
        <w:tc>
          <w:tcPr>
            <w:tcW w:type="dxa" w:w="648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1 Mark. Action Research is a collaborative cycle of diagnosis, evidence-based action, and evaluation.</w:t>
            </w:r>
          </w:p>
        </w:tc>
      </w:tr>
    </w:tbl>
    <w:p>
      <w:pPr>
        <w:spacing w:after="120"/>
      </w:pPr>
    </w:p>
    <w:p>
      <w:pPr>
        <w:keepNext/>
        <w:spacing w:before="240" w:after="80"/>
      </w:pPr>
      <w:r>
        <w:rPr>
          <w:rFonts w:ascii="Arial" w:hAnsi="Arial"/>
          <w:b/>
          <w:color w:val="107C41"/>
          <w:sz w:val="25"/>
        </w:rPr>
        <w:t>Part C: True / False with Technical Justification Memorandum (5 Marks)</w:t>
      </w:r>
    </w:p>
    <w:p>
      <w:pPr>
        <w:spacing w:before="80" w:after="40"/>
      </w:pPr>
      <w:r>
        <w:rPr>
          <w:b/>
        </w:rPr>
        <w:t>Statement 1: 'Organisational Development (OD) is a one-time event that ends immediately once a new organizational structure or culture workshop is completed.'</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FALSE (1 Mark)</w:t>
            </w:r>
          </w:p>
          <w:p>
            <w:pPr>
              <w:spacing w:before="0" w:after="40"/>
            </w:pPr>
            <w:r>
              <w:rPr>
                <w:color w:val="333333"/>
                <w:sz w:val="19"/>
              </w:rPr>
              <w:t>Justification Benchmark (1.5 Marks):</w:t>
              <w:br/>
              <w:t>OD is a continuous, long-range systemic process of organizational learning, renewal, and continuous improvement. It requires ongoing monitoring, evaluation, and adaptation to maintain cultural alignment and business effectiveness over time.</w:t>
            </w:r>
          </w:p>
        </w:tc>
      </w:tr>
    </w:tbl>
    <w:p>
      <w:pPr>
        <w:spacing w:after="80"/>
      </w:pPr>
    </w:p>
    <w:p>
      <w:pPr>
        <w:spacing w:before="80" w:after="40"/>
      </w:pPr>
      <w:r>
        <w:rPr>
          <w:b/>
        </w:rPr>
        <w:t>Statement 2: 'Involving employees at all levels during OD interventions increases psychological safety, reduces change resistance, and builds long-term sustainability.'</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MARKING SCHEME</w:t>
              <w:br/>
            </w:r>
            <w:r>
              <w:rPr>
                <w:color w:val="333333"/>
                <w:sz w:val="19"/>
              </w:rPr>
              <w:t>Correct Answer: TRUE (1 Mark)</w:t>
            </w:r>
          </w:p>
          <w:p>
            <w:pPr>
              <w:spacing w:before="0" w:after="40"/>
            </w:pPr>
            <w:r>
              <w:rPr>
                <w:color w:val="333333"/>
                <w:sz w:val="19"/>
              </w:rPr>
              <w:t>Justification Benchmark (1.5 Marks):</w:t>
              <w:br/>
              <w:t>Participatory change management builds employee ownership, addresses underlying fears proactively, and fosters psychological safety. When employees co-create solutions during OD interventions, resistance decreases and long-term cultural adoption is achieved.</w:t>
            </w:r>
          </w:p>
        </w:tc>
      </w:tr>
    </w:tbl>
    <w:p>
      <w:pPr>
        <w:spacing w:after="80"/>
      </w:pPr>
    </w:p>
    <w:p>
      <w:pPr>
        <w:keepNext/>
        <w:spacing w:before="240" w:after="80"/>
      </w:pPr>
      <w:r>
        <w:rPr>
          <w:rFonts w:ascii="Arial" w:hAnsi="Arial"/>
          <w:b/>
          <w:color w:val="107C41"/>
          <w:sz w:val="25"/>
        </w:rPr>
        <w:t>Part D: Short Answer Conceptual Questions Memorandum (15 Marks)</w:t>
      </w:r>
    </w:p>
    <w:p>
      <w:pPr>
        <w:spacing w:before="120" w:after="40"/>
      </w:pPr>
      <w:r>
        <w:rPr>
          <w:b/>
        </w:rPr>
        <w:t>Question 1 (IAC0601): SABPP OD Definition &amp; Core Elements Alignment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SABPP Definition (1 Mark): Evidence-based approach to designing and supporting systemic organizational responses that improve effectiveness, capabilities, and sustainability.</w:t>
            </w:r>
          </w:p>
          <w:p>
            <w:pPr>
              <w:spacing w:before="0" w:after="40"/>
            </w:pPr>
            <w:r>
              <w:rPr>
                <w:color w:val="333333"/>
                <w:sz w:val="19"/>
              </w:rPr>
              <w:t>• Core Elements Alignment (2 Marks): Linking Organisational Purpose (strategic vision), Organisational Design (structures/workflows), and Organisational Culture (shared values/behaviors) to maximize overall People Effectiveness.</w:t>
            </w:r>
          </w:p>
        </w:tc>
      </w:tr>
    </w:tbl>
    <w:p>
      <w:pPr>
        <w:spacing w:after="80"/>
      </w:pPr>
    </w:p>
    <w:p>
      <w:pPr>
        <w:spacing w:before="120" w:after="40"/>
      </w:pPr>
      <w:r>
        <w:rPr>
          <w:b/>
        </w:rPr>
        <w:t>Question 2 (IAC0602): Appreciative Inquiry vs. Deficit-Based Problem Solving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Appreciative Inquiry (1.5 Marks): Focuses on identifying and expanding existing organizational strengths, successes, and positive core capabilities (e.g. studying high-performing teams to replicate success).</w:t>
            </w:r>
          </w:p>
          <w:p>
            <w:pPr>
              <w:spacing w:before="0" w:after="40"/>
            </w:pPr>
            <w:r>
              <w:rPr>
                <w:color w:val="333333"/>
                <w:sz w:val="19"/>
              </w:rPr>
              <w:t>• Deficit-Based Solving (1.5 Marks): Focuses strictly on identifying flaws, gaps, and failures to fix (e.g. auditing high turnover departments to eliminate poor management practices).</w:t>
            </w:r>
          </w:p>
        </w:tc>
      </w:tr>
    </w:tbl>
    <w:p>
      <w:pPr>
        <w:spacing w:after="80"/>
      </w:pPr>
    </w:p>
    <w:p>
      <w:pPr>
        <w:spacing w:before="120" w:after="40"/>
      </w:pPr>
      <w:r>
        <w:rPr>
          <w:b/>
        </w:rPr>
        <w:t>Question 3 (IAC0603): SABPP Standards &amp; ISO Quality Alignment in OD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1.5 Marks per framework application explained (Max 3 Marks):</w:t>
            </w:r>
          </w:p>
          <w:p>
            <w:pPr>
              <w:spacing w:before="0" w:after="40"/>
            </w:pPr>
            <w:r>
              <w:rPr>
                <w:color w:val="333333"/>
                <w:sz w:val="19"/>
              </w:rPr>
              <w:t>• SABPP Change Management Standards: Provide structured guidelines for stakeholder consultation, impact assessment, and change communication.</w:t>
            </w:r>
          </w:p>
          <w:p>
            <w:pPr>
              <w:spacing w:before="0" w:after="40"/>
            </w:pPr>
            <w:r>
              <w:rPr>
                <w:color w:val="333333"/>
                <w:sz w:val="19"/>
              </w:rPr>
              <w:t>• ISO Quality Systems (e.g. ISO 9001): Provide frameworks for continuous improvement, process mapping, and quality assurance during structural transitions.</w:t>
            </w:r>
          </w:p>
        </w:tc>
      </w:tr>
    </w:tbl>
    <w:p>
      <w:pPr>
        <w:spacing w:after="80"/>
      </w:pPr>
    </w:p>
    <w:p>
      <w:pPr>
        <w:spacing w:before="120" w:after="40"/>
      </w:pPr>
      <w:r>
        <w:rPr>
          <w:b/>
        </w:rPr>
        <w:t>Question 4 (IAC0604 &amp; IAC0607): Using OD Analytics for Compliance and Outcome Tracking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Award 1 Mark per analytics application explained (Max 3 Marks):</w:t>
            </w:r>
          </w:p>
          <w:p>
            <w:pPr>
              <w:spacing w:before="0" w:after="40"/>
            </w:pPr>
            <w:r>
              <w:rPr>
                <w:color w:val="333333"/>
                <w:sz w:val="19"/>
              </w:rPr>
              <w:t>1. Pre- and Post-Intervention Sentiment Auditing: Measuring changes in employee engagement and trust scores.</w:t>
            </w:r>
          </w:p>
          <w:p>
            <w:pPr>
              <w:spacing w:before="0" w:after="40"/>
            </w:pPr>
            <w:r>
              <w:rPr>
                <w:color w:val="333333"/>
                <w:sz w:val="19"/>
              </w:rPr>
              <w:t>2. Productivity &amp; Turnover Metrics: Tracking operational performance improvement following structural or cultural changes.</w:t>
            </w:r>
          </w:p>
          <w:p>
            <w:pPr>
              <w:spacing w:before="0" w:after="40"/>
            </w:pPr>
            <w:r>
              <w:rPr>
                <w:color w:val="333333"/>
                <w:sz w:val="19"/>
              </w:rPr>
              <w:t>3. ROI Analysis: Calculating financial savings (reduced turnover, increased output) against total OD intervention costs.</w:t>
            </w:r>
          </w:p>
        </w:tc>
      </w:tr>
    </w:tbl>
    <w:p>
      <w:pPr>
        <w:spacing w:after="80"/>
      </w:pPr>
    </w:p>
    <w:p>
      <w:pPr>
        <w:spacing w:before="120" w:after="40"/>
      </w:pPr>
      <w:r>
        <w:rPr>
          <w:b/>
        </w:rPr>
        <w:t>Question 5 (IAC0605 &amp; IAC0606): Stakeholder Roles in Culture Transformation (3 Marks)</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MARKING SCHEME &amp; BENCHMARK</w:t>
              <w:br/>
            </w:r>
            <w:r>
              <w:rPr>
                <w:color w:val="333333"/>
                <w:sz w:val="19"/>
              </w:rPr>
              <w:t>• HR Officer (0.75 Marks): Designing OD strategy, conducting diagnostics, facilitating workshops, and tracking metrics.</w:t>
            </w:r>
          </w:p>
          <w:p>
            <w:pPr>
              <w:spacing w:before="0" w:after="40"/>
            </w:pPr>
            <w:r>
              <w:rPr>
                <w:color w:val="333333"/>
                <w:sz w:val="19"/>
              </w:rPr>
              <w:t>• Senior Management (0.75 Marks): Executive sponsorship, strategic vision alignment, and allocating necessary resources.</w:t>
            </w:r>
          </w:p>
          <w:p>
            <w:pPr>
              <w:spacing w:before="0" w:after="40"/>
            </w:pPr>
            <w:r>
              <w:rPr>
                <w:color w:val="333333"/>
                <w:sz w:val="19"/>
              </w:rPr>
              <w:t>• Line Managers (0.75 Marks): Cascading change communication, role-modelling new behaviors, and supporting daily team alignment.</w:t>
            </w:r>
          </w:p>
          <w:p>
            <w:pPr>
              <w:spacing w:before="0" w:after="40"/>
            </w:pPr>
            <w:r>
              <w:rPr>
                <w:color w:val="333333"/>
                <w:sz w:val="19"/>
              </w:rPr>
              <w:t>• L&amp;D Specialists (0.75 Marks): Designing leadership development and skill retraining modules to support new behaviors.</w:t>
            </w:r>
          </w:p>
        </w:tc>
      </w:tr>
    </w:tbl>
    <w:p>
      <w:pPr>
        <w:spacing w:after="80"/>
      </w:pPr>
    </w:p>
    <w:p>
      <w:pPr>
        <w:keepNext/>
        <w:spacing w:before="320" w:after="120"/>
        <w:pBdr>
          <w:bottom w:val="single" w:sz="12" w:space="4" w:color="1B365D"/>
        </w:pBdr>
      </w:pPr>
      <w:r>
        <w:rPr>
          <w:rFonts w:ascii="Arial" w:hAnsi="Arial"/>
          <w:b/>
          <w:color w:val="1B365D"/>
          <w:sz w:val="30"/>
        </w:rPr>
        <w:t>SECTION 2: SCENARIO-BASED PRACTICAL TASK MEMO (20 MARKS)</w:t>
      </w:r>
    </w:p>
    <w:p>
      <w:pPr>
        <w:keepNext/>
        <w:spacing w:before="240" w:after="80"/>
      </w:pPr>
      <w:r>
        <w:rPr>
          <w:rFonts w:ascii="Arial" w:hAnsi="Arial"/>
          <w:b/>
          <w:color w:val="107C41"/>
          <w:sz w:val="25"/>
        </w:rPr>
        <w:t>Task 1 Model Answer: Force Field Analysis &amp; Culture Transformation (10 Marks - IAC0602, IAC0607)</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1</w:t>
              <w:br/>
            </w:r>
            <w:r>
              <w:rPr>
                <w:color w:val="333333"/>
                <w:sz w:val="19"/>
              </w:rPr>
              <w:t>1.1 Force Field Analysis Identification (5 Marks):</w:t>
            </w:r>
          </w:p>
          <w:p>
            <w:pPr>
              <w:spacing w:before="0" w:after="40"/>
            </w:pPr>
            <w:r>
              <w:rPr>
                <w:color w:val="333333"/>
                <w:sz w:val="19"/>
              </w:rPr>
              <w:t>• Driving Forces (2.5 Marks): 1. CEO leadership mandate ('Ignite the Future'); 2. Need to survive market competition post-merger; 3. Employee desire for clearer vision and reduced uncertainty.</w:t>
            </w:r>
          </w:p>
          <w:p>
            <w:pPr>
              <w:spacing w:before="0" w:after="40"/>
            </w:pPr>
            <w:r>
              <w:rPr>
                <w:color w:val="333333"/>
                <w:sz w:val="19"/>
              </w:rPr>
              <w:t>• Restraining Forces (2.5 Marks): 1. Senior manager resistance to agile workflows; 2. Employee fear of job retrenchment; 3. Historical departmental silos and low engagement scores (32%).</w:t>
            </w:r>
          </w:p>
          <w:p>
            <w:pPr>
              <w:spacing w:before="0" w:after="40"/>
            </w:pPr>
            <w:r>
              <w:rPr>
                <w:color w:val="333333"/>
                <w:sz w:val="19"/>
              </w:rPr>
            </w:r>
          </w:p>
          <w:p>
            <w:pPr>
              <w:spacing w:before="0" w:after="40"/>
            </w:pPr>
            <w:r>
              <w:rPr>
                <w:color w:val="333333"/>
                <w:sz w:val="19"/>
              </w:rPr>
              <w:t>1.2 3-Phase OD Framework (Lewin's Model) (5 Marks):</w:t>
            </w:r>
          </w:p>
          <w:p>
            <w:pPr>
              <w:spacing w:before="0" w:after="40"/>
            </w:pPr>
            <w:r>
              <w:rPr>
                <w:color w:val="333333"/>
                <w:sz w:val="19"/>
              </w:rPr>
              <w:t>• Award 1.6 Marks per phase clearly articulated in sequence (Max 5 Marks):</w:t>
            </w:r>
          </w:p>
          <w:p>
            <w:pPr>
              <w:spacing w:before="0" w:after="40"/>
            </w:pPr>
            <w:r>
              <w:rPr>
                <w:color w:val="333333"/>
                <w:sz w:val="19"/>
              </w:rPr>
              <w:t>1. Phase 1: Unfreeze: Conduct Appreciative Inquiry focus groups to surface shared values, address retrenchment fears transparently, and establish psychological safety.</w:t>
            </w:r>
          </w:p>
          <w:p>
            <w:pPr>
              <w:spacing w:before="0" w:after="40"/>
            </w:pPr>
            <w:r>
              <w:rPr>
                <w:color w:val="333333"/>
                <w:sz w:val="19"/>
              </w:rPr>
              <w:t>2. Phase 2: Change: Roll out cross-functional team-building workshops, agile workflow training, and leadership coaching for senior managers.</w:t>
            </w:r>
          </w:p>
          <w:p>
            <w:pPr>
              <w:spacing w:before="0" w:after="40"/>
            </w:pPr>
            <w:r>
              <w:rPr>
                <w:color w:val="333333"/>
                <w:sz w:val="19"/>
              </w:rPr>
              <w:t>3. Phase 3: Refreeze: Embed new collaborative behaviors into performance reviews, celebrate quick wins, and track engagement recovery metrics via HRIS.</w:t>
            </w:r>
          </w:p>
        </w:tc>
      </w:tr>
    </w:tbl>
    <w:p>
      <w:pPr>
        <w:spacing w:after="80"/>
      </w:pPr>
    </w:p>
    <w:p>
      <w:pPr>
        <w:keepNext/>
        <w:spacing w:before="240" w:after="80"/>
      </w:pPr>
      <w:r>
        <w:rPr>
          <w:rFonts w:ascii="Arial" w:hAnsi="Arial"/>
          <w:b/>
          <w:color w:val="107C41"/>
          <w:sz w:val="25"/>
        </w:rPr>
        <w:t>Task 2 Model Answer: Restructuring &amp; Stakeholder Management (10 Marks - IAC0604, IAC0605)</w:t>
      </w:r>
    </w:p>
    <w:tbl>
      <w:tblPr>
        <w:tblW w:type="auto" w:w="0"/>
        <w:jc w:val="center"/>
        <w:tblLook w:firstColumn="1" w:firstRow="1" w:lastColumn="0" w:lastRow="0" w:noHBand="0" w:noVBand="1" w:val="04A0"/>
      </w:tblPr>
      <w:tblGrid>
        <w:gridCol w:w="9936"/>
      </w:tblGrid>
      <w:tr>
        <w:tc>
          <w:tcPr>
            <w:tcW w:type="dxa" w:w="9936"/>
            <w:shd w:fill="F0F7F4"/>
            <w:tcBorders>
              <w:left w:val="single" w:sz="24" w:space="0" w:color="107C41"/>
              <w:top w:val="none"/>
              <w:right w:val="none"/>
              <w:bottom w:val="none"/>
            </w:tcBorders>
            <w:tcMar>
              <w:top w:w="140" w:type="dxa"/>
              <w:bottom w:w="140" w:type="dxa"/>
              <w:left w:w="200" w:type="dxa"/>
              <w:right w:w="150" w:type="dxa"/>
            </w:tcMar>
          </w:tcPr>
          <w:p>
            <w:pPr>
              <w:spacing w:before="0" w:after="40"/>
            </w:pPr>
            <w:r>
              <w:rPr>
                <w:b/>
                <w:color w:val="107C41"/>
                <w:sz w:val="21"/>
              </w:rPr>
              <w:t>■ MODEL ANSWER &amp; RUBRIC - PRACTICAL TASK 2</w:t>
              <w:br/>
            </w:r>
            <w:r>
              <w:rPr>
                <w:color w:val="333333"/>
                <w:sz w:val="19"/>
              </w:rPr>
              <w:t>2.1 Evaluation of Strike Threat &amp; Consultation Failure (5 Marks):</w:t>
            </w:r>
          </w:p>
          <w:p>
            <w:pPr>
              <w:spacing w:before="0" w:after="40"/>
            </w:pPr>
            <w:r>
              <w:rPr>
                <w:color w:val="333333"/>
                <w:sz w:val="19"/>
              </w:rPr>
              <w:t>• Statutory Consultation Failure (2.5 Marks): Implementing structural changes affecting job security or work conditions without prior trade union consultation violates LRA Section 189 consultation principles and workplace forum rights, exposing the company to strike action and CCMA disputes.</w:t>
            </w:r>
          </w:p>
          <w:p>
            <w:pPr>
              <w:spacing w:before="0" w:after="40"/>
            </w:pPr>
            <w:r>
              <w:rPr>
                <w:color w:val="333333"/>
                <w:sz w:val="19"/>
              </w:rPr>
              <w:t>• Importance of Transparent Engagement (2.5 Marks): Transparent consultation builds trust, aligns union leaders with business realities, minimizes operational disruption, and satisfies B-BBEE skills re-training guidelines.</w:t>
            </w:r>
          </w:p>
          <w:p>
            <w:pPr>
              <w:spacing w:before="0" w:after="40"/>
            </w:pPr>
            <w:r>
              <w:rPr>
                <w:color w:val="333333"/>
                <w:sz w:val="19"/>
              </w:rPr>
            </w:r>
          </w:p>
          <w:p>
            <w:pPr>
              <w:spacing w:before="0" w:after="40"/>
            </w:pPr>
            <w:r>
              <w:rPr>
                <w:color w:val="333333"/>
                <w:sz w:val="19"/>
              </w:rPr>
              <w:t>2.2 Stakeholder Change Strategy Design (5 Marks):</w:t>
            </w:r>
          </w:p>
          <w:p>
            <w:pPr>
              <w:spacing w:before="0" w:after="40"/>
            </w:pPr>
            <w:r>
              <w:rPr>
                <w:color w:val="333333"/>
                <w:sz w:val="19"/>
              </w:rPr>
              <w:t>• Award 1.25 Marks per stakeholder group strategy clearly defined (Max 5 Marks):</w:t>
            </w:r>
          </w:p>
          <w:p>
            <w:pPr>
              <w:spacing w:before="0" w:after="40"/>
            </w:pPr>
            <w:r>
              <w:rPr>
                <w:color w:val="333333"/>
                <w:sz w:val="19"/>
              </w:rPr>
              <w:t>1. Senior Leadership: Establish a clear change vision, communicate economic necessity, and sponsor the OD mandate publicly.</w:t>
            </w:r>
          </w:p>
          <w:p>
            <w:pPr>
              <w:spacing w:before="0" w:after="40"/>
            </w:pPr>
            <w:r>
              <w:rPr>
                <w:color w:val="333333"/>
                <w:sz w:val="19"/>
              </w:rPr>
              <w:t>2. Line Managers: Provide 'Leading Through Change' coaching, clear communication scripts, and operational support.</w:t>
            </w:r>
          </w:p>
          <w:p>
            <w:pPr>
              <w:spacing w:before="0" w:after="40"/>
            </w:pPr>
            <w:r>
              <w:rPr>
                <w:color w:val="333333"/>
                <w:sz w:val="19"/>
              </w:rPr>
              <w:t>3. Organized Labour / Unions: Initiate formal LRA consultation forums, present re-skilling plans, and agree on non-retrenchment guarantees.</w:t>
            </w:r>
          </w:p>
          <w:p>
            <w:pPr>
              <w:spacing w:before="0" w:after="40"/>
            </w:pPr>
            <w:r>
              <w:rPr>
                <w:color w:val="333333"/>
                <w:sz w:val="19"/>
              </w:rPr>
              <w:t>4. Employees: Conduct weekly town halls, establish transparent Q&amp;A channels, and provide digital re-skilling pathways.</w:t>
            </w:r>
          </w:p>
        </w:tc>
      </w:tr>
    </w:tbl>
    <w:p>
      <w:pPr>
        <w:spacing w:after="80"/>
      </w:pPr>
    </w:p>
    <w:p>
      <w:pPr>
        <w:keepNext/>
        <w:spacing w:before="320" w:after="120"/>
        <w:pBdr>
          <w:bottom w:val="single" w:sz="12" w:space="4" w:color="1B365D"/>
        </w:pBdr>
      </w:pPr>
      <w:r>
        <w:rPr>
          <w:rFonts w:ascii="Arial" w:hAnsi="Arial"/>
          <w:b/>
          <w:color w:val="1B365D"/>
          <w:sz w:val="30"/>
        </w:rPr>
        <w:t>SECTION 3: INTEGRATED MARKING MATRIX &amp; MODERATION FORM</w:t>
      </w:r>
    </w:p>
    <w:tbl>
      <w:tblPr>
        <w:tblW w:type="auto" w:w="0"/>
        <w:jc w:val="center"/>
        <w:tblLook w:firstColumn="1" w:firstRow="1" w:lastColumn="0" w:lastRow="0" w:noHBand="0" w:noVBand="1" w:val="04A0"/>
      </w:tblPr>
      <w:tblGrid>
        <w:gridCol w:w="2484"/>
        <w:gridCol w:w="2484"/>
        <w:gridCol w:w="2484"/>
        <w:gridCol w:w="2484"/>
      </w:tblGrid>
      <w:tr>
        <w:trPr>
          <w:cantSplit/>
          <w:tblHeader/>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Topic KM0306 Task Component</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Maximum Marks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center"/>
            </w:pPr>
            <w:r>
              <w:rPr>
                <w:b/>
                <w:color w:val="FFFFFF"/>
                <w:sz w:val="19"/>
              </w:rPr>
              <w:t>Learner Score</w:t>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Comments</w:t>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A: Multiple Choice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B: True / False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Part C: True / False Justification</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Part D: Short Answer Conceptual Questions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15</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Practical Task 1: Force Field &amp; Change Framework</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t>Practical Task 2: Restructuring &amp; Stakeholders</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t>10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center"/>
            </w:pPr>
            <w:r>
              <w:rPr>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4F6F9"/>
          </w:tcPr>
          <w:p>
            <w:pPr>
              <w:jc w:val="left"/>
            </w:pPr>
            <w:r>
              <w:rPr>
                <w:color w:val="333333"/>
                <w:sz w:val="18"/>
              </w:rPr>
            </w:r>
          </w:p>
        </w:tc>
      </w:tr>
      <w:tr>
        <w:trPr>
          <w:cantSplit/>
        </w:trPr>
        <w:tc>
          <w:tcPr>
            <w:tcW w:type="dxa" w:w="3600"/>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TOTAL FORMATIVE ASSESSMENT SCORE</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t>50</w:t>
            </w:r>
          </w:p>
        </w:tc>
        <w:tc>
          <w:tcPr>
            <w:tcW w:type="dxa" w:w="1584"/>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center"/>
            </w:pPr>
            <w:r>
              <w:rPr>
                <w:b/>
                <w:color w:val="333333"/>
                <w:sz w:val="18"/>
              </w:rPr>
            </w:r>
          </w:p>
        </w:tc>
        <w:tc>
          <w:tcPr>
            <w:tcW w:type="dxa" w:w="31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b/>
                <w:color w:val="333333"/>
                <w:sz w:val="18"/>
              </w:rPr>
              <w:t>Minimum Competence Benchmark: 80% (40 Marks)</w:t>
            </w:r>
          </w:p>
        </w:tc>
      </w:tr>
    </w:tbl>
    <w:p>
      <w:pPr>
        <w:spacing w:after="160"/>
      </w:pPr>
    </w:p>
    <w:p>
      <w:pPr>
        <w:keepNext/>
        <w:spacing w:before="160" w:after="40"/>
      </w:pPr>
      <w:r>
        <w:rPr>
          <w:rFonts w:ascii="Arial" w:hAnsi="Arial"/>
          <w:b/>
          <w:color w:val="1B365D"/>
          <w:sz w:val="22"/>
        </w:rPr>
        <w:t>Assessor &amp; Internal Moderator Sign-off Block</w:t>
      </w:r>
    </w:p>
    <w:tbl>
      <w:tblPr>
        <w:tblW w:type="auto" w:w="0"/>
        <w:jc w:val="center"/>
        <w:tblLook w:firstColumn="1" w:firstRow="1" w:lastColumn="0" w:lastRow="0" w:noHBand="0" w:noVBand="1" w:val="04A0"/>
      </w:tblPr>
      <w:tblGrid>
        <w:gridCol w:w="4968"/>
        <w:gridCol w:w="4968"/>
      </w:tblGrid>
      <w:tr>
        <w:trPr>
          <w:cantSplit/>
          <w:tblHeader/>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Assessor Name: ___________________________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1B365D"/>
          </w:tcPr>
          <w:p>
            <w:pPr>
              <w:jc w:val="left"/>
            </w:pPr>
            <w:r>
              <w:rPr>
                <w:b/>
                <w:color w:val="FFFFFF"/>
                <w:sz w:val="19"/>
              </w:rPr>
              <w:t>Final Result:  [  ] COMPETENT (80%+)</w:t>
              <w:br/>
              <w:t xml:space="preserve">               [  ] NOT YET COMPETENT</w:t>
            </w:r>
          </w:p>
        </w:tc>
      </w:tr>
      <w:tr>
        <w:trPr>
          <w:cantSplit/>
        </w:trPr>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Internal Moderator Name: _________________</w:t>
              <w:br/>
              <w:t>Signature: _______________________________</w:t>
              <w:br/>
              <w:t>Date: ____________________________________</w:t>
            </w:r>
          </w:p>
        </w:tc>
        <w:tc>
          <w:tcPr>
            <w:tcW w:type="dxa" w:w="4968"/>
            <w:vAlign w:val="center"/>
            <w:tcMar>
              <w:top w:w="100" w:type="dxa"/>
              <w:bottom w:w="100" w:type="dxa"/>
              <w:left w:w="120" w:type="dxa"/>
              <w:right w:w="120" w:type="dxa"/>
            </w:tcMar>
            <w:tcBorders>
              <w:top w:val="single" w:sz="4" w:space="0" w:color="CCCCCC"/>
              <w:bottom w:val="single" w:sz="4" w:space="0" w:color="CCCCCC"/>
              <w:left w:val="none"/>
              <w:right w:val="none"/>
            </w:tcBorders>
            <w:shd w:fill="FFFFFF"/>
          </w:tcPr>
          <w:p>
            <w:pPr>
              <w:jc w:val="left"/>
            </w:pPr>
            <w:r>
              <w:rPr>
                <w:color w:val="333333"/>
                <w:sz w:val="18"/>
              </w:rPr>
              <w:t>Moderation Decision: [  ] Upheld</w:t>
              <w:br/>
              <w:t xml:space="preserve">                     [  ] Overruled</w:t>
              <w:br/>
              <w:t>Comments: 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