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008080"/>
          <w:sz w:val="20"/>
        </w:rPr>
        <w:t>ADVANCED OCCUPATIONAL CERTIFICATE: HUMAN RESOURCE MANAGEMENT OFFICER</w:t>
      </w:r>
    </w:p>
    <w:p>
      <w:pPr>
        <w:spacing w:before="0" w:after="120"/>
      </w:pPr>
      <w:r>
        <w:rPr>
          <w:b/>
          <w:color w:val="1B365D"/>
          <w:sz w:val="40"/>
        </w:rPr>
        <w:t>INTERNAL FORMATIVE ASSESSMENT WORKBOOK</w:t>
      </w:r>
    </w:p>
    <w:p>
      <w:pPr>
        <w:spacing w:after="240"/>
      </w:pPr>
      <w:r>
        <w:rPr>
          <w:i/>
          <w:color w:val="646464"/>
          <w:sz w:val="19"/>
        </w:rPr>
        <w:t>Topic KM0307: Implementation Principles and Practices for Career Management (Weighting: 10% of KM-03)</w:t>
        <w:br/>
        <w:t>Qualification SAQA ID: 121151 | NQF Level 6 | Curriculum Code: 242303-001-00-00 | Total Marks: 50 Marks</w:t>
      </w:r>
    </w:p>
    <w:p>
      <w:pPr>
        <w:keepNext/>
        <w:spacing w:before="160" w:after="40"/>
      </w:pPr>
      <w:r>
        <w:rPr>
          <w:rFonts w:ascii="Arial" w:hAnsi="Arial"/>
          <w:b/>
          <w:color w:val="1B365D"/>
          <w:sz w:val="22"/>
        </w:rPr>
        <w:t>Learner &amp; Assessment Details</w:t>
      </w:r>
    </w:p>
    <w:tbl>
      <w:tblPr>
        <w:tblW w:type="auto" w:w="0"/>
        <w:jc w:val="center"/>
        <w:tblLook w:firstColumn="1" w:firstRow="1" w:lastColumn="0" w:lastRow="0" w:noHBand="0" w:noVBand="1" w:val="04A0"/>
      </w:tblPr>
      <w:tblGrid>
        <w:gridCol w:w="4968"/>
        <w:gridCol w:w="4968"/>
      </w:tblGrid>
      <w:tr>
        <w:trPr>
          <w:cantSplit/>
          <w:tblHeader/>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Learner Full Name:</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b/>
                <w:color w:val="333333"/>
                <w:sz w:val="18"/>
              </w:rPr>
              <w:t>National ID / Student Number:</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b/>
                <w:color w:val="333333"/>
                <w:sz w:val="18"/>
              </w:rPr>
              <w:t>Assessor Name:</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b/>
                <w:color w:val="333333"/>
                <w:sz w:val="18"/>
              </w:rPr>
              <w:t>Assessment Date:</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b/>
                <w:color w:val="333333"/>
                <w:sz w:val="18"/>
              </w:rPr>
              <w:t>Assessment Result (Competent / Not Yet Competent):</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r>
          </w:p>
        </w:tc>
      </w:tr>
    </w:tbl>
    <w:p>
      <w:pPr>
        <w:spacing w:after="80"/>
      </w:pPr>
    </w:p>
    <w:p>
      <w:pPr>
        <w:keepNext/>
        <w:spacing w:before="160" w:after="40"/>
      </w:pPr>
      <w:r>
        <w:rPr>
          <w:rFonts w:ascii="Arial" w:hAnsi="Arial"/>
          <w:b/>
          <w:color w:val="1B365D"/>
          <w:sz w:val="22"/>
        </w:rPr>
        <w:t>Topic KM0307 Curriculum &amp; Assessment Criteria Alignment</w:t>
      </w:r>
    </w:p>
    <w:tbl>
      <w:tblPr>
        <w:tblW w:type="auto" w:w="0"/>
        <w:jc w:val="center"/>
        <w:tblLook w:firstColumn="1" w:firstRow="1" w:lastColumn="0" w:lastRow="0" w:noHBand="0" w:noVBand="1" w:val="04A0"/>
      </w:tblPr>
      <w:tblGrid>
        <w:gridCol w:w="3312"/>
        <w:gridCol w:w="3312"/>
        <w:gridCol w:w="3312"/>
      </w:tblGrid>
      <w:tr>
        <w:trPr>
          <w:cantSplit/>
          <w:tblHeader/>
        </w:trPr>
        <w:tc>
          <w:tcPr>
            <w:tcW w:type="dxa" w:w="3312"/>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Knowledge Topic Element (KT)</w:t>
            </w:r>
          </w:p>
        </w:tc>
        <w:tc>
          <w:tcPr>
            <w:tcW w:type="dxa" w:w="4032"/>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Internal Assessment Criteria (IAC)</w:t>
            </w:r>
          </w:p>
        </w:tc>
        <w:tc>
          <w:tcPr>
            <w:tcW w:type="dxa" w:w="2592"/>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Workbook Section</w:t>
            </w:r>
          </w:p>
        </w:tc>
      </w:tr>
      <w:tr>
        <w:trPr>
          <w:cantSplit/>
        </w:trPr>
        <w:tc>
          <w:tcPr>
            <w:tcW w:type="dxa" w:w="331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KT0701: Definitions, terminology and concepts related to career management</w:t>
            </w:r>
          </w:p>
        </w:tc>
        <w:tc>
          <w:tcPr>
            <w:tcW w:type="dxa" w:w="403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IAC0701: Explain and discuss the definitions, terminology and concepts related to career management and give practical examples</w:t>
            </w:r>
          </w:p>
        </w:tc>
        <w:tc>
          <w:tcPr>
            <w:tcW w:type="dxa" w:w="259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Part A, Part B, Part D (Q1)</w:t>
            </w:r>
          </w:p>
        </w:tc>
      </w:tr>
      <w:tr>
        <w:trPr>
          <w:cantSplit/>
        </w:trPr>
        <w:tc>
          <w:tcPr>
            <w:tcW w:type="dxa" w:w="331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KT0702: Evolving models, processes, and application principles for enhancing the effectiveness of career management</w:t>
            </w:r>
          </w:p>
        </w:tc>
        <w:tc>
          <w:tcPr>
            <w:tcW w:type="dxa" w:w="403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IAC0702: Discuss the Evolving models, processes, and application principles for enhancing the effectiveness of career management</w:t>
            </w:r>
          </w:p>
        </w:tc>
        <w:tc>
          <w:tcPr>
            <w:tcW w:type="dxa" w:w="259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Part A, Part B, Part D (Q2), Part E Task 1</w:t>
            </w:r>
          </w:p>
        </w:tc>
      </w:tr>
      <w:tr>
        <w:trPr>
          <w:cantSplit/>
        </w:trPr>
        <w:tc>
          <w:tcPr>
            <w:tcW w:type="dxa" w:w="331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KT0703: Professional practice standards relating to career management</w:t>
            </w:r>
          </w:p>
        </w:tc>
        <w:tc>
          <w:tcPr>
            <w:tcW w:type="dxa" w:w="403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IAC0703: Discuss how the professional practice standards relate to career management in organisations</w:t>
            </w:r>
          </w:p>
        </w:tc>
        <w:tc>
          <w:tcPr>
            <w:tcW w:type="dxa" w:w="259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Part A, Part C (Q1), Part D (Q3)</w:t>
            </w:r>
          </w:p>
        </w:tc>
      </w:tr>
      <w:tr>
        <w:trPr>
          <w:cantSplit/>
        </w:trPr>
        <w:tc>
          <w:tcPr>
            <w:tcW w:type="dxa" w:w="331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KT0704: Monitoring and facilitating compliance with career management policies and procedures</w:t>
            </w:r>
          </w:p>
        </w:tc>
        <w:tc>
          <w:tcPr>
            <w:tcW w:type="dxa" w:w="403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IAC0704: Explain how monitoring and facilitating compliance with career management policies and procedures must take place and elaborate on the benefits of compliance</w:t>
            </w:r>
          </w:p>
        </w:tc>
        <w:tc>
          <w:tcPr>
            <w:tcW w:type="dxa" w:w="259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Part B, Part D (Q4), Part E Task 2</w:t>
            </w:r>
          </w:p>
        </w:tc>
      </w:tr>
      <w:tr>
        <w:trPr>
          <w:cantSplit/>
        </w:trPr>
        <w:tc>
          <w:tcPr>
            <w:tcW w:type="dxa" w:w="331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KT0705: Role of the HRM Officer regarding career management</w:t>
            </w:r>
          </w:p>
        </w:tc>
        <w:tc>
          <w:tcPr>
            <w:tcW w:type="dxa" w:w="403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IAC0705: Describe the role of the HRM Officer regarding career management</w:t>
            </w:r>
          </w:p>
        </w:tc>
        <w:tc>
          <w:tcPr>
            <w:tcW w:type="dxa" w:w="259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Part B, Part D (Q5), Part E Task 1 &amp; 2</w:t>
            </w:r>
          </w:p>
        </w:tc>
      </w:tr>
      <w:tr>
        <w:trPr>
          <w:cantSplit/>
        </w:trPr>
        <w:tc>
          <w:tcPr>
            <w:tcW w:type="dxa" w:w="331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KT0706: Contributions of other HR stakeholders to career management</w:t>
            </w:r>
          </w:p>
        </w:tc>
        <w:tc>
          <w:tcPr>
            <w:tcW w:type="dxa" w:w="403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IAC0706: Identify and discuss the contributions of other HR stakeholders to career management</w:t>
            </w:r>
          </w:p>
        </w:tc>
        <w:tc>
          <w:tcPr>
            <w:tcW w:type="dxa" w:w="259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Part A, Part C (Q2), Part E Task 1</w:t>
            </w:r>
          </w:p>
        </w:tc>
      </w:tr>
      <w:tr>
        <w:trPr>
          <w:cantSplit/>
        </w:trPr>
        <w:tc>
          <w:tcPr>
            <w:tcW w:type="dxa" w:w="331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KT0707: Use of HR career management Information Systems and people analytics</w:t>
            </w:r>
          </w:p>
        </w:tc>
        <w:tc>
          <w:tcPr>
            <w:tcW w:type="dxa" w:w="403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IAC0707: Explain the use of the HR career management Information Systems for people analytics</w:t>
            </w:r>
          </w:p>
        </w:tc>
        <w:tc>
          <w:tcPr>
            <w:tcW w:type="dxa" w:w="259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Part A, Part B, Part D (Q4), Part E Task 1</w:t>
            </w:r>
          </w:p>
        </w:tc>
      </w:tr>
    </w:tbl>
    <w:p>
      <w:pPr>
        <w:spacing w:after="120"/>
      </w:pPr>
    </w:p>
    <w:tbl>
      <w:tblPr>
        <w:tblW w:type="auto" w:w="0"/>
        <w:jc w:val="center"/>
        <w:tblLook w:firstColumn="1" w:firstRow="1" w:lastColumn="0" w:lastRow="0" w:noHBand="0" w:noVBand="1" w:val="04A0"/>
      </w:tblPr>
      <w:tblGrid>
        <w:gridCol w:w="9936"/>
      </w:tblGrid>
      <w:tr>
        <w:tc>
          <w:tcPr>
            <w:tcW w:type="dxa" w:w="9936"/>
            <w:shd w:fill="F4F6F9"/>
            <w:tcBorders>
              <w:left w:val="single" w:sz="24" w:space="0" w:color="1B365D"/>
              <w:top w:val="none"/>
              <w:right w:val="none"/>
              <w:bottom w:val="none"/>
            </w:tcBorders>
            <w:tcMar>
              <w:top w:w="140" w:type="dxa"/>
              <w:bottom w:w="140" w:type="dxa"/>
              <w:left w:w="200" w:type="dxa"/>
              <w:right w:w="150" w:type="dxa"/>
            </w:tcMar>
          </w:tcPr>
          <w:p>
            <w:pPr>
              <w:spacing w:before="0" w:after="40"/>
            </w:pPr>
            <w:r>
              <w:rPr>
                <w:b/>
                <w:color w:val="1B365D"/>
                <w:sz w:val="21"/>
              </w:rPr>
              <w:t>■ FORMATIVE ASSESSMENT INSTRUCTIONS</w:t>
              <w:br/>
            </w:r>
            <w:r>
              <w:rPr>
                <w:color w:val="333333"/>
                <w:sz w:val="19"/>
              </w:rPr>
              <w:t>1. This formative assessment workbook evaluates your theoretical knowledge and practical execution of career management under Topic KM0307.</w:t>
            </w:r>
          </w:p>
          <w:p>
            <w:pPr>
              <w:spacing w:before="0" w:after="40"/>
            </w:pPr>
            <w:r>
              <w:rPr>
                <w:color w:val="333333"/>
                <w:sz w:val="19"/>
              </w:rPr>
              <w:t>2. Complete all tasks using UK English and professional human resource management terminology.</w:t>
            </w:r>
          </w:p>
          <w:p>
            <w:pPr>
              <w:spacing w:before="0" w:after="40"/>
            </w:pPr>
            <w:r>
              <w:rPr>
                <w:color w:val="333333"/>
                <w:sz w:val="19"/>
              </w:rPr>
              <w:t>3. Ensure your answers demonstrate NQF Level 6 depth: career anchors, modern career models (Protean/Boundaryless), SABPP practice standards, SACDA alignment, HR-CMIS analytics, and succession pathing.</w:t>
            </w:r>
          </w:p>
          <w:p>
            <w:pPr>
              <w:spacing w:before="0" w:after="40"/>
            </w:pPr>
            <w:r>
              <w:rPr>
                <w:color w:val="333333"/>
                <w:sz w:val="19"/>
              </w:rPr>
              <w:t>4. Total Marks: 50 Marks. Pass Benchmark: 80% (40 Marks).</w:t>
            </w:r>
          </w:p>
        </w:tc>
      </w:tr>
    </w:tbl>
    <w:p>
      <w:pPr>
        <w:spacing w:after="80"/>
      </w:pPr>
    </w:p>
    <w:p>
      <w:pPr>
        <w:keepNext/>
        <w:spacing w:before="320" w:after="120"/>
        <w:pBdr>
          <w:bottom w:val="single" w:sz="12" w:space="4" w:color="1B365D"/>
        </w:pBdr>
      </w:pPr>
      <w:r>
        <w:rPr>
          <w:rFonts w:ascii="Arial" w:hAnsi="Arial"/>
          <w:b/>
          <w:color w:val="1B365D"/>
          <w:sz w:val="30"/>
        </w:rPr>
        <w:t>SECTION 1: KNOWLEDGE &amp; UNDERSTANDING TASKS (30 MARKS)</w:t>
      </w:r>
    </w:p>
    <w:p>
      <w:pPr>
        <w:keepNext/>
        <w:spacing w:before="240" w:after="80"/>
      </w:pPr>
      <w:r>
        <w:rPr>
          <w:rFonts w:ascii="Arial" w:hAnsi="Arial"/>
          <w:b/>
          <w:color w:val="008080"/>
          <w:sz w:val="25"/>
        </w:rPr>
        <w:t>Part A: Multiple-Choice Questions (5 Marks)</w:t>
      </w:r>
    </w:p>
    <w:tbl>
      <w:tblPr>
        <w:tblW w:type="auto" w:w="0"/>
        <w:jc w:val="center"/>
        <w:tblLook w:firstColumn="1" w:firstRow="1" w:lastColumn="0" w:lastRow="0" w:noHBand="0" w:noVBand="1" w:val="04A0"/>
      </w:tblPr>
      <w:tblGrid>
        <w:gridCol w:w="9936"/>
      </w:tblGrid>
      <w:tr>
        <w:tc>
          <w:tcPr>
            <w:tcW w:type="dxa" w:w="9936"/>
            <w:shd w:fill="F4F6F9"/>
            <w:tcBorders>
              <w:left w:val="single" w:sz="24" w:space="0" w:color="1B365D"/>
              <w:top w:val="none"/>
              <w:right w:val="none"/>
              <w:bottom w:val="none"/>
            </w:tcBorders>
            <w:tcMar>
              <w:top w:w="140" w:type="dxa"/>
              <w:bottom w:w="140" w:type="dxa"/>
              <w:left w:w="200" w:type="dxa"/>
              <w:right w:w="150" w:type="dxa"/>
            </w:tcMar>
          </w:tcPr>
          <w:p>
            <w:pPr>
              <w:spacing w:before="0" w:after="40"/>
            </w:pPr>
            <w:r>
              <w:rPr>
                <w:b/>
                <w:color w:val="1B365D"/>
                <w:sz w:val="21"/>
              </w:rPr>
              <w:t>■ INSTRUCTIONS - PART A</w:t>
              <w:br/>
            </w:r>
            <w:r>
              <w:rPr>
                <w:color w:val="333333"/>
                <w:sz w:val="19"/>
              </w:rPr>
              <w:t>Select the most appropriate answer for each question by placing an 'X' in the corresponding box [ ]. Each question carries 1 mark.</w:t>
            </w:r>
          </w:p>
        </w:tc>
      </w:tr>
    </w:tbl>
    <w:p>
      <w:pPr>
        <w:spacing w:after="80"/>
      </w:pPr>
    </w:p>
    <w:p>
      <w:pPr>
        <w:keepNext/>
        <w:spacing w:before="120" w:after="40"/>
      </w:pPr>
      <w:r>
        <w:rPr>
          <w:b/>
        </w:rPr>
        <w:t>Q1. 1. In career management terminology, deep-seated personal values, drivers, and motivations that guide an individual's career choices and work preferences (e.g. security, autonomy, creativity) are defined as:</w:t>
      </w:r>
    </w:p>
    <w:p>
      <w:pPr>
        <w:spacing w:before="0" w:after="20"/>
        <w:ind w:left="360"/>
      </w:pPr>
      <w:r>
        <w:t>[  ]  A) Career Ladders</w:t>
      </w:r>
    </w:p>
    <w:p>
      <w:pPr>
        <w:spacing w:before="0" w:after="20"/>
        <w:ind w:left="360"/>
      </w:pPr>
      <w:r>
        <w:t>[  ]  B) Career Anchors</w:t>
      </w:r>
    </w:p>
    <w:p>
      <w:pPr>
        <w:spacing w:before="0" w:after="20"/>
        <w:ind w:left="360"/>
      </w:pPr>
      <w:r>
        <w:t>[  ]  C) Succession Metrics</w:t>
      </w:r>
    </w:p>
    <w:p>
      <w:pPr>
        <w:spacing w:before="0" w:after="20"/>
        <w:ind w:left="360"/>
      </w:pPr>
      <w:r>
        <w:t>[  ]  D) Portfolio Matrices</w:t>
      </w:r>
    </w:p>
    <w:p>
      <w:pPr>
        <w:spacing w:after="40"/>
      </w:pPr>
    </w:p>
    <w:p>
      <w:pPr>
        <w:keepNext/>
        <w:spacing w:before="120" w:after="40"/>
      </w:pPr>
      <w:r>
        <w:rPr>
          <w:b/>
        </w:rPr>
        <w:t>Q2. 2. Which modern career model focuses on self-directed individuals who take personal ownership of their career development, prioritizing personal values and continuous learning over single-company promotions?</w:t>
      </w:r>
    </w:p>
    <w:p>
      <w:pPr>
        <w:spacing w:before="0" w:after="20"/>
        <w:ind w:left="360"/>
      </w:pPr>
      <w:r>
        <w:t>[  ]  A) The Protean Career Model</w:t>
      </w:r>
    </w:p>
    <w:p>
      <w:pPr>
        <w:spacing w:before="0" w:after="20"/>
        <w:ind w:left="360"/>
      </w:pPr>
      <w:r>
        <w:t>[  ]  B) The Traditional Linear Ladder</w:t>
      </w:r>
    </w:p>
    <w:p>
      <w:pPr>
        <w:spacing w:before="0" w:after="20"/>
        <w:ind w:left="360"/>
      </w:pPr>
      <w:r>
        <w:t>[  ]  C) The Static Bureaucratic Path</w:t>
      </w:r>
    </w:p>
    <w:p>
      <w:pPr>
        <w:spacing w:before="0" w:after="20"/>
        <w:ind w:left="360"/>
      </w:pPr>
      <w:r>
        <w:t>[  ]  D) The Hierarchical Tariff Structure</w:t>
      </w:r>
    </w:p>
    <w:p>
      <w:pPr>
        <w:spacing w:after="40"/>
      </w:pPr>
    </w:p>
    <w:p>
      <w:pPr>
        <w:keepNext/>
        <w:spacing w:before="120" w:after="40"/>
      </w:pPr>
      <w:r>
        <w:rPr>
          <w:b/>
        </w:rPr>
        <w:t>Q3. 3. In South Africa, which professional body oversees the ethical regulation and professional development of Career Development Practitioners?</w:t>
      </w:r>
    </w:p>
    <w:p>
      <w:pPr>
        <w:spacing w:before="0" w:after="20"/>
        <w:ind w:left="360"/>
      </w:pPr>
      <w:r>
        <w:t>[  ]  A) South African Reward Association (SARA)</w:t>
      </w:r>
    </w:p>
    <w:p>
      <w:pPr>
        <w:spacing w:before="0" w:after="20"/>
        <w:ind w:left="360"/>
      </w:pPr>
      <w:r>
        <w:t>[  ]  B) South African Career Development Association (SACDA)</w:t>
      </w:r>
    </w:p>
    <w:p>
      <w:pPr>
        <w:spacing w:before="0" w:after="20"/>
        <w:ind w:left="360"/>
      </w:pPr>
      <w:r>
        <w:t>[  ]  C) Quality Council for Trades and Occupations (QCTO)</w:t>
      </w:r>
    </w:p>
    <w:p>
      <w:pPr>
        <w:spacing w:before="0" w:after="20"/>
        <w:ind w:left="360"/>
      </w:pPr>
      <w:r>
        <w:t>[  ]  D) National Skills Authority (NSA)</w:t>
      </w:r>
    </w:p>
    <w:p>
      <w:pPr>
        <w:spacing w:after="40"/>
      </w:pPr>
    </w:p>
    <w:p>
      <w:pPr>
        <w:keepNext/>
        <w:spacing w:before="120" w:after="40"/>
      </w:pPr>
      <w:r>
        <w:rPr>
          <w:b/>
        </w:rPr>
        <w:t>Q4. 4. Which HR stakeholder group primarily contributes to career management by conducting development-focused performance reviews, acting as internal mentors, and offering on-the-job project delegations?</w:t>
      </w:r>
    </w:p>
    <w:p>
      <w:pPr>
        <w:spacing w:before="0" w:after="20"/>
        <w:ind w:left="360"/>
      </w:pPr>
      <w:r>
        <w:t>[  ]  A) External B-BBEE Verifiers</w:t>
      </w:r>
    </w:p>
    <w:p>
      <w:pPr>
        <w:spacing w:before="0" w:after="20"/>
        <w:ind w:left="360"/>
      </w:pPr>
      <w:r>
        <w:t>[  ]  B) Line Managers</w:t>
      </w:r>
    </w:p>
    <w:p>
      <w:pPr>
        <w:spacing w:before="0" w:after="20"/>
        <w:ind w:left="360"/>
      </w:pPr>
      <w:r>
        <w:t>[  ]  C) Payroll Administrators</w:t>
      </w:r>
    </w:p>
    <w:p>
      <w:pPr>
        <w:spacing w:before="0" w:after="20"/>
        <w:ind w:left="360"/>
      </w:pPr>
      <w:r>
        <w:t>[  ]  D) SETA Financial Auditors</w:t>
      </w:r>
    </w:p>
    <w:p>
      <w:pPr>
        <w:spacing w:after="40"/>
      </w:pPr>
    </w:p>
    <w:p>
      <w:pPr>
        <w:keepNext/>
        <w:spacing w:before="120" w:after="40"/>
      </w:pPr>
      <w:r>
        <w:rPr>
          <w:b/>
        </w:rPr>
        <w:t>Q5. 5. How do HR Career Management Information Systems (HR-CMIS) and People Analytics practically enhance organizational career management?</w:t>
      </w:r>
    </w:p>
    <w:p>
      <w:pPr>
        <w:spacing w:before="0" w:after="20"/>
        <w:ind w:left="360"/>
      </w:pPr>
      <w:r>
        <w:t>[  ]  A) By centralising skills profiles, mapping career pathways, identifying high-potential talent for succession, and predicting turnover risk</w:t>
      </w:r>
    </w:p>
    <w:p>
      <w:pPr>
        <w:spacing w:before="0" w:after="20"/>
        <w:ind w:left="360"/>
      </w:pPr>
      <w:r>
        <w:t>[  ]  B) By automatically terminating staff who do not apply for internal promotions within 12 months</w:t>
      </w:r>
    </w:p>
    <w:p>
      <w:pPr>
        <w:spacing w:before="0" w:after="20"/>
        <w:ind w:left="360"/>
      </w:pPr>
      <w:r>
        <w:t>[  ]  C) By enforcing mandatory career switches across all departments regardless of employee interest</w:t>
      </w:r>
    </w:p>
    <w:p>
      <w:pPr>
        <w:spacing w:before="0" w:after="20"/>
        <w:ind w:left="360"/>
      </w:pPr>
      <w:r>
        <w:t>[  ]  D) By replacing all line manager coaching with automated emails</w:t>
      </w:r>
    </w:p>
    <w:p>
      <w:pPr>
        <w:spacing w:after="40"/>
      </w:pPr>
    </w:p>
    <w:p>
      <w:pPr>
        <w:keepNext/>
        <w:spacing w:before="240" w:after="80"/>
      </w:pPr>
      <w:r>
        <w:rPr>
          <w:rFonts w:ascii="Arial" w:hAnsi="Arial"/>
          <w:b/>
          <w:color w:val="008080"/>
          <w:sz w:val="25"/>
        </w:rPr>
        <w:t>Part B: True / False Questions (5 Marks)</w:t>
      </w:r>
    </w:p>
    <w:tbl>
      <w:tblPr>
        <w:tblW w:type="auto" w:w="0"/>
        <w:jc w:val="center"/>
        <w:tblLook w:firstColumn="1" w:firstRow="1" w:lastColumn="0" w:lastRow="0" w:noHBand="0" w:noVBand="1" w:val="04A0"/>
      </w:tblPr>
      <w:tblGrid>
        <w:gridCol w:w="9936"/>
      </w:tblGrid>
      <w:tr>
        <w:tc>
          <w:tcPr>
            <w:tcW w:type="dxa" w:w="9936"/>
            <w:shd w:fill="F4F6F9"/>
            <w:tcBorders>
              <w:left w:val="single" w:sz="24" w:space="0" w:color="1B365D"/>
              <w:top w:val="none"/>
              <w:right w:val="none"/>
              <w:bottom w:val="none"/>
            </w:tcBorders>
            <w:tcMar>
              <w:top w:w="140" w:type="dxa"/>
              <w:bottom w:w="140" w:type="dxa"/>
              <w:left w:w="200" w:type="dxa"/>
              <w:right w:w="150" w:type="dxa"/>
            </w:tcMar>
          </w:tcPr>
          <w:p>
            <w:pPr>
              <w:spacing w:before="0" w:after="40"/>
            </w:pPr>
            <w:r>
              <w:rPr>
                <w:b/>
                <w:color w:val="1B365D"/>
                <w:sz w:val="21"/>
              </w:rPr>
              <w:t>■ INSTRUCTIONS - PART B</w:t>
              <w:br/>
            </w:r>
            <w:r>
              <w:rPr>
                <w:color w:val="333333"/>
                <w:sz w:val="19"/>
              </w:rPr>
              <w:t>Indicate whether each statement is True or False by placing an 'X' in the appropriate column.</w:t>
            </w:r>
          </w:p>
        </w:tc>
      </w:tr>
    </w:tbl>
    <w:p>
      <w:pPr>
        <w:spacing w:after="80"/>
      </w:pPr>
    </w:p>
    <w:tbl>
      <w:tblPr>
        <w:tblW w:type="auto" w:w="0"/>
        <w:jc w:val="center"/>
        <w:tblLook w:firstColumn="1" w:firstRow="1" w:lastColumn="0" w:lastRow="0" w:noHBand="0" w:noVBand="1" w:val="04A0"/>
      </w:tblPr>
      <w:tblGrid>
        <w:gridCol w:w="3312"/>
        <w:gridCol w:w="3312"/>
        <w:gridCol w:w="3312"/>
      </w:tblGrid>
      <w:tr>
        <w:trPr>
          <w:cantSplit/>
          <w:tblHeader/>
        </w:trPr>
        <w:tc>
          <w:tcPr>
            <w:tcW w:type="dxa" w:w="7344"/>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Statement</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True</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False</w:t>
            </w:r>
          </w:p>
        </w:tc>
      </w:tr>
      <w:tr>
        <w:trPr>
          <w:cantSplit/>
        </w:trPr>
        <w:tc>
          <w:tcPr>
            <w:tcW w:type="dxa" w:w="734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1. 1. While career planning sets goals and roadmaps, career management is the active process of implementing, monitoring, and adapting those plans.</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   ]</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   ]</w:t>
            </w:r>
          </w:p>
        </w:tc>
      </w:tr>
      <w:tr>
        <w:trPr>
          <w:cantSplit/>
        </w:trPr>
        <w:tc>
          <w:tcPr>
            <w:tcW w:type="dxa" w:w="734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2. 2. In South Africa, there is a dedicated Parliamentary Act that mandates identical career pathing steps for all private sector employees.</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   ]</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   ]</w:t>
            </w:r>
          </w:p>
        </w:tc>
      </w:tr>
      <w:tr>
        <w:trPr>
          <w:cantSplit/>
        </w:trPr>
        <w:tc>
          <w:tcPr>
            <w:tcW w:type="dxa" w:w="734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3. 3. A 'Boundaryless Career' model emphasizes transferable skills and adaptability, enabling professionals to build careers across multiple companies and industries.</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   ]</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   ]</w:t>
            </w:r>
          </w:p>
        </w:tc>
      </w:tr>
      <w:tr>
        <w:trPr>
          <w:cantSplit/>
        </w:trPr>
        <w:tc>
          <w:tcPr>
            <w:tcW w:type="dxa" w:w="734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4. 4. The SABPP HR standards indirectly support career management through Talent Management, Learning &amp; Development, and Performance Management standards.</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   ]</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   ]</w:t>
            </w:r>
          </w:p>
        </w:tc>
      </w:tr>
      <w:tr>
        <w:trPr>
          <w:cantSplit/>
        </w:trPr>
        <w:tc>
          <w:tcPr>
            <w:tcW w:type="dxa" w:w="734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5. 5. Career management policies should benefit only senior executive management, excluding junior or operational employees.</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   ]</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   ]</w:t>
            </w:r>
          </w:p>
        </w:tc>
      </w:tr>
    </w:tbl>
    <w:p>
      <w:pPr>
        <w:spacing w:after="120"/>
      </w:pPr>
    </w:p>
    <w:p>
      <w:pPr>
        <w:keepNext/>
        <w:spacing w:before="240" w:after="80"/>
      </w:pPr>
      <w:r>
        <w:rPr>
          <w:rFonts w:ascii="Arial" w:hAnsi="Arial"/>
          <w:b/>
          <w:color w:val="008080"/>
          <w:sz w:val="25"/>
        </w:rPr>
        <w:t>Part C: True / False with Technical Justification (5 Marks)</w:t>
      </w:r>
    </w:p>
    <w:tbl>
      <w:tblPr>
        <w:tblW w:type="auto" w:w="0"/>
        <w:jc w:val="center"/>
        <w:tblLook w:firstColumn="1" w:firstRow="1" w:lastColumn="0" w:lastRow="0" w:noHBand="0" w:noVBand="1" w:val="04A0"/>
      </w:tblPr>
      <w:tblGrid>
        <w:gridCol w:w="9936"/>
      </w:tblGrid>
      <w:tr>
        <w:tc>
          <w:tcPr>
            <w:tcW w:type="dxa" w:w="9936"/>
            <w:shd w:fill="F4F6F9"/>
            <w:tcBorders>
              <w:left w:val="single" w:sz="24" w:space="0" w:color="1B365D"/>
              <w:top w:val="none"/>
              <w:right w:val="none"/>
              <w:bottom w:val="none"/>
            </w:tcBorders>
            <w:tcMar>
              <w:top w:w="140" w:type="dxa"/>
              <w:bottom w:w="140" w:type="dxa"/>
              <w:left w:w="200" w:type="dxa"/>
              <w:right w:w="150" w:type="dxa"/>
            </w:tcMar>
          </w:tcPr>
          <w:p>
            <w:pPr>
              <w:spacing w:before="0" w:after="40"/>
            </w:pPr>
            <w:r>
              <w:rPr>
                <w:b/>
                <w:color w:val="1B365D"/>
                <w:sz w:val="21"/>
              </w:rPr>
              <w:t>■ INSTRUCTIONS - PART C</w:t>
              <w:br/>
            </w:r>
            <w:r>
              <w:rPr>
                <w:color w:val="333333"/>
                <w:sz w:val="19"/>
              </w:rPr>
              <w:t>State whether the statement is TRUE or FALSE, and provide an evidence-based HR justification (2–4 sentences). Each item carries 2.5 marks.</w:t>
            </w:r>
          </w:p>
        </w:tc>
      </w:tr>
    </w:tbl>
    <w:p>
      <w:pPr>
        <w:spacing w:after="80"/>
      </w:pPr>
    </w:p>
    <w:p>
      <w:pPr>
        <w:spacing w:before="120" w:after="40"/>
      </w:pPr>
      <w:r>
        <w:rPr>
          <w:b/>
        </w:rPr>
        <w:t>Statement 1: 'Organisations that implement transparent career pathing and internal promotion frameworks experience higher employee engagement and lower voluntary turnover.'</w:t>
      </w:r>
    </w:p>
    <w:tbl>
      <w:tblPr>
        <w:tblW w:type="auto" w:w="0"/>
        <w:tblLook w:firstColumn="1" w:firstRow="1" w:lastColumn="0" w:lastRow="0" w:noHBand="0" w:noVBand="1" w:val="04A0"/>
      </w:tblPr>
      <w:tblGrid>
        <w:gridCol w:w="9936"/>
      </w:tblGrid>
      <w:tr>
        <w:tc>
          <w:tcPr>
            <w:tcW w:type="dxa" w:w="9936"/>
            <w:shd w:fill="F4F6F9"/>
            <w:tcMar>
              <w:top w:w="100" w:type="dxa"/>
              <w:bottom w:w="100" w:type="dxa"/>
              <w:left w:w="120" w:type="dxa"/>
              <w:right w:w="120" w:type="dxa"/>
            </w:tcMar>
          </w:tcPr>
          <w:p>
            <w:r>
              <w:t>Answer (True/False): ____________________</w:t>
              <w:br/>
              <w:t xml:space="preserve">Justification: </w:t>
              <w:br/>
              <w:br/>
              <w:br/>
            </w:r>
          </w:p>
        </w:tc>
      </w:tr>
    </w:tbl>
    <w:p>
      <w:pPr>
        <w:spacing w:after="80"/>
      </w:pPr>
    </w:p>
    <w:p>
      <w:pPr>
        <w:spacing w:before="120" w:after="40"/>
      </w:pPr>
      <w:r>
        <w:rPr>
          <w:b/>
        </w:rPr>
        <w:t>Statement 2: 'Modern career management relies entirely on line managers making decisions for employees, requiring no self-assessment or goal ownership from employees themselves.'</w:t>
      </w:r>
    </w:p>
    <w:tbl>
      <w:tblPr>
        <w:tblW w:type="auto" w:w="0"/>
        <w:tblLook w:firstColumn="1" w:firstRow="1" w:lastColumn="0" w:lastRow="0" w:noHBand="0" w:noVBand="1" w:val="04A0"/>
      </w:tblPr>
      <w:tblGrid>
        <w:gridCol w:w="9936"/>
      </w:tblGrid>
      <w:tr>
        <w:tc>
          <w:tcPr>
            <w:tcW w:type="dxa" w:w="9936"/>
            <w:shd w:fill="F4F6F9"/>
            <w:tcMar>
              <w:top w:w="100" w:type="dxa"/>
              <w:bottom w:w="100" w:type="dxa"/>
              <w:left w:w="120" w:type="dxa"/>
              <w:right w:w="120" w:type="dxa"/>
            </w:tcMar>
          </w:tcPr>
          <w:p>
            <w:r>
              <w:t>Answer (True/False): ____________________</w:t>
              <w:br/>
              <w:t xml:space="preserve">Justification: </w:t>
              <w:br/>
              <w:br/>
              <w:br/>
            </w:r>
          </w:p>
        </w:tc>
      </w:tr>
    </w:tbl>
    <w:p>
      <w:pPr>
        <w:spacing w:after="80"/>
      </w:pPr>
    </w:p>
    <w:p>
      <w:pPr>
        <w:keepNext/>
        <w:spacing w:before="240" w:after="80"/>
      </w:pPr>
      <w:r>
        <w:rPr>
          <w:rFonts w:ascii="Arial" w:hAnsi="Arial"/>
          <w:b/>
          <w:color w:val="008080"/>
          <w:sz w:val="25"/>
        </w:rPr>
        <w:t>Part D: Short Answer Conceptual Questions (15 Marks)</w:t>
      </w:r>
    </w:p>
    <w:tbl>
      <w:tblPr>
        <w:tblW w:type="auto" w:w="0"/>
        <w:jc w:val="center"/>
        <w:tblLook w:firstColumn="1" w:firstRow="1" w:lastColumn="0" w:lastRow="0" w:noHBand="0" w:noVBand="1" w:val="04A0"/>
      </w:tblPr>
      <w:tblGrid>
        <w:gridCol w:w="9936"/>
      </w:tblGrid>
      <w:tr>
        <w:tc>
          <w:tcPr>
            <w:tcW w:type="dxa" w:w="9936"/>
            <w:shd w:fill="F4F6F9"/>
            <w:tcBorders>
              <w:left w:val="single" w:sz="24" w:space="0" w:color="1B365D"/>
              <w:top w:val="none"/>
              <w:right w:val="none"/>
              <w:bottom w:val="none"/>
            </w:tcBorders>
            <w:tcMar>
              <w:top w:w="140" w:type="dxa"/>
              <w:bottom w:w="140" w:type="dxa"/>
              <w:left w:w="200" w:type="dxa"/>
              <w:right w:w="150" w:type="dxa"/>
            </w:tcMar>
          </w:tcPr>
          <w:p>
            <w:pPr>
              <w:spacing w:before="0" w:after="40"/>
            </w:pPr>
            <w:r>
              <w:rPr>
                <w:b/>
                <w:color w:val="1B365D"/>
                <w:sz w:val="21"/>
              </w:rPr>
              <w:t>■ INSTRUCTIONS - PART D</w:t>
              <w:br/>
            </w:r>
            <w:r>
              <w:rPr>
                <w:color w:val="333333"/>
                <w:sz w:val="19"/>
              </w:rPr>
              <w:t>Answer the following questions concisely based on Topic KM0307 theory guide content and South African career management best practices.</w:t>
            </w:r>
          </w:p>
        </w:tc>
      </w:tr>
    </w:tbl>
    <w:p>
      <w:pPr>
        <w:spacing w:after="80"/>
      </w:pPr>
    </w:p>
    <w:p>
      <w:pPr>
        <w:keepNext/>
        <w:spacing w:before="120" w:after="40"/>
      </w:pPr>
      <w:r>
        <w:rPr>
          <w:b/>
        </w:rPr>
        <w:t>Question 1 (IAC0701): Define 'Career Management' according to Wärnich et al., and explain the difference between a 'Career Ladder', a 'Career Path', and a 'Portfolio Career'. (3 Marks)</w:t>
      </w:r>
    </w:p>
    <w:tbl>
      <w:tblPr>
        <w:tblW w:type="auto" w:w="0"/>
        <w:tblLook w:firstColumn="1" w:firstRow="1" w:lastColumn="0" w:lastRow="0" w:noHBand="0" w:noVBand="1" w:val="04A0"/>
      </w:tblPr>
      <w:tblGrid>
        <w:gridCol w:w="9936"/>
      </w:tblGrid>
      <w:tr>
        <w:tc>
          <w:tcPr>
            <w:tcW w:type="dxa" w:w="9936"/>
            <w:shd w:fill="FFFFFF"/>
            <w:tcMar>
              <w:top w:w="80" w:type="dxa"/>
              <w:bottom w:w="80" w:type="dxa"/>
              <w:left w:w="100" w:type="dxa"/>
              <w:right w:w="100" w:type="dxa"/>
            </w:tcMar>
          </w:tcPr>
          <w:p>
            <w:r>
              <w:br/>
              <w:br/>
              <w:br/>
            </w:r>
          </w:p>
        </w:tc>
      </w:tr>
    </w:tbl>
    <w:p>
      <w:pPr>
        <w:spacing w:after="80"/>
      </w:pPr>
    </w:p>
    <w:p>
      <w:pPr>
        <w:keepNext/>
        <w:spacing w:before="120" w:after="40"/>
      </w:pPr>
      <w:r>
        <w:rPr>
          <w:b/>
        </w:rPr>
        <w:t>Question 2 (IAC0702): Compare the 'Protean Career Model' with the 'Boundaryless Career Model', outlining how employees adapt to modern talent markets. (3 Marks)</w:t>
      </w:r>
    </w:p>
    <w:tbl>
      <w:tblPr>
        <w:tblW w:type="auto" w:w="0"/>
        <w:tblLook w:firstColumn="1" w:firstRow="1" w:lastColumn="0" w:lastRow="0" w:noHBand="0" w:noVBand="1" w:val="04A0"/>
      </w:tblPr>
      <w:tblGrid>
        <w:gridCol w:w="9936"/>
      </w:tblGrid>
      <w:tr>
        <w:tc>
          <w:tcPr>
            <w:tcW w:type="dxa" w:w="9936"/>
            <w:shd w:fill="FFFFFF"/>
            <w:tcMar>
              <w:top w:w="80" w:type="dxa"/>
              <w:bottom w:w="80" w:type="dxa"/>
              <w:left w:w="100" w:type="dxa"/>
              <w:right w:w="100" w:type="dxa"/>
            </w:tcMar>
          </w:tcPr>
          <w:p>
            <w:r>
              <w:br/>
              <w:br/>
              <w:br/>
            </w:r>
          </w:p>
        </w:tc>
      </w:tr>
    </w:tbl>
    <w:p>
      <w:pPr>
        <w:spacing w:after="80"/>
      </w:pPr>
    </w:p>
    <w:p>
      <w:pPr>
        <w:keepNext/>
        <w:spacing w:before="120" w:after="40"/>
      </w:pPr>
      <w:r>
        <w:rPr>
          <w:b/>
        </w:rPr>
        <w:t>Question 3 (IAC0703): Discuss how SABPP practice standards (Talent Management, L&amp;D, Performance Management) and SACDA guidelines support organizational career development. (3 Marks)</w:t>
      </w:r>
    </w:p>
    <w:tbl>
      <w:tblPr>
        <w:tblW w:type="auto" w:w="0"/>
        <w:tblLook w:firstColumn="1" w:firstRow="1" w:lastColumn="0" w:lastRow="0" w:noHBand="0" w:noVBand="1" w:val="04A0"/>
      </w:tblPr>
      <w:tblGrid>
        <w:gridCol w:w="9936"/>
      </w:tblGrid>
      <w:tr>
        <w:tc>
          <w:tcPr>
            <w:tcW w:type="dxa" w:w="9936"/>
            <w:shd w:fill="FFFFFF"/>
            <w:tcMar>
              <w:top w:w="80" w:type="dxa"/>
              <w:bottom w:w="80" w:type="dxa"/>
              <w:left w:w="100" w:type="dxa"/>
              <w:right w:w="100" w:type="dxa"/>
            </w:tcMar>
          </w:tcPr>
          <w:p>
            <w:r>
              <w:br/>
              <w:br/>
              <w:br/>
            </w:r>
          </w:p>
        </w:tc>
      </w:tr>
    </w:tbl>
    <w:p>
      <w:pPr>
        <w:spacing w:after="80"/>
      </w:pPr>
    </w:p>
    <w:p>
      <w:pPr>
        <w:keepNext/>
        <w:spacing w:before="120" w:after="40"/>
      </w:pPr>
      <w:r>
        <w:rPr>
          <w:b/>
        </w:rPr>
        <w:t>Question 4 (IAC0704 &amp; IAC0707): Describe how HR Officers use HR-CMIS data and analytics (skills inventories, succession metrics, turnover risk) to monitor career policy compliance and pipeline readiness. (3 Marks)</w:t>
      </w:r>
    </w:p>
    <w:tbl>
      <w:tblPr>
        <w:tblW w:type="auto" w:w="0"/>
        <w:tblLook w:firstColumn="1" w:firstRow="1" w:lastColumn="0" w:lastRow="0" w:noHBand="0" w:noVBand="1" w:val="04A0"/>
      </w:tblPr>
      <w:tblGrid>
        <w:gridCol w:w="9936"/>
      </w:tblGrid>
      <w:tr>
        <w:tc>
          <w:tcPr>
            <w:tcW w:type="dxa" w:w="9936"/>
            <w:shd w:fill="FFFFFF"/>
            <w:tcMar>
              <w:top w:w="80" w:type="dxa"/>
              <w:bottom w:w="80" w:type="dxa"/>
              <w:left w:w="100" w:type="dxa"/>
              <w:right w:w="100" w:type="dxa"/>
            </w:tcMar>
          </w:tcPr>
          <w:p>
            <w:r>
              <w:br/>
              <w:br/>
              <w:br/>
            </w:r>
          </w:p>
        </w:tc>
      </w:tr>
    </w:tbl>
    <w:p>
      <w:pPr>
        <w:spacing w:after="80"/>
      </w:pPr>
    </w:p>
    <w:p>
      <w:pPr>
        <w:keepNext/>
        <w:spacing w:before="120" w:after="40"/>
      </w:pPr>
      <w:r>
        <w:rPr>
          <w:b/>
        </w:rPr>
        <w:t>Question 5 (IAC0705 &amp; IAC0706): Detail the distinct responsibilities of the HR Officer, Line Managers, Senior Leadership, and Individual Employees in executing career development plans. (3 Marks)</w:t>
      </w:r>
    </w:p>
    <w:tbl>
      <w:tblPr>
        <w:tblW w:type="auto" w:w="0"/>
        <w:tblLook w:firstColumn="1" w:firstRow="1" w:lastColumn="0" w:lastRow="0" w:noHBand="0" w:noVBand="1" w:val="04A0"/>
      </w:tblPr>
      <w:tblGrid>
        <w:gridCol w:w="9936"/>
      </w:tblGrid>
      <w:tr>
        <w:tc>
          <w:tcPr>
            <w:tcW w:type="dxa" w:w="9936"/>
            <w:shd w:fill="FFFFFF"/>
            <w:tcMar>
              <w:top w:w="80" w:type="dxa"/>
              <w:bottom w:w="80" w:type="dxa"/>
              <w:left w:w="100" w:type="dxa"/>
              <w:right w:w="100" w:type="dxa"/>
            </w:tcMar>
          </w:tcPr>
          <w:p>
            <w:r>
              <w:br/>
              <w:br/>
              <w:br/>
            </w:r>
          </w:p>
        </w:tc>
      </w:tr>
    </w:tbl>
    <w:p>
      <w:pPr>
        <w:spacing w:after="80"/>
      </w:pPr>
    </w:p>
    <w:p>
      <w:pPr>
        <w:keepNext/>
        <w:spacing w:before="320" w:after="120"/>
        <w:pBdr>
          <w:bottom w:val="single" w:sz="12" w:space="4" w:color="1B365D"/>
        </w:pBdr>
      </w:pPr>
      <w:r>
        <w:rPr>
          <w:rFonts w:ascii="Arial" w:hAnsi="Arial"/>
          <w:b/>
          <w:color w:val="1B365D"/>
          <w:sz w:val="30"/>
        </w:rPr>
        <w:t>SECTION 2: SCENARIO-BASED PRACTICAL APPLICATION TASKS (20 MARKS)</w:t>
      </w:r>
    </w:p>
    <w:p>
      <w:pPr>
        <w:keepNext/>
        <w:spacing w:before="240" w:after="80"/>
      </w:pPr>
      <w:r>
        <w:rPr>
          <w:rFonts w:ascii="Arial" w:hAnsi="Arial"/>
          <w:b/>
          <w:color w:val="008080"/>
          <w:sz w:val="25"/>
        </w:rPr>
        <w:t>Practical Task 1: Stagnation &amp; Succession Planning Scenario (10 Marks - IAC0702, IAC0707)</w:t>
      </w:r>
    </w:p>
    <w:tbl>
      <w:tblPr>
        <w:tblW w:type="auto" w:w="0"/>
        <w:jc w:val="center"/>
        <w:tblLook w:firstColumn="1" w:firstRow="1" w:lastColumn="0" w:lastRow="0" w:noHBand="0" w:noVBand="1" w:val="04A0"/>
      </w:tblPr>
      <w:tblGrid>
        <w:gridCol w:w="9936"/>
      </w:tblGrid>
      <w:tr>
        <w:tc>
          <w:tcPr>
            <w:tcW w:type="dxa" w:w="9936"/>
            <w:shd w:fill="F4F6F9"/>
            <w:tcBorders>
              <w:left w:val="single" w:sz="24" w:space="0" w:color="1B365D"/>
              <w:top w:val="none"/>
              <w:right w:val="none"/>
              <w:bottom w:val="none"/>
            </w:tcBorders>
            <w:tcMar>
              <w:top w:w="140" w:type="dxa"/>
              <w:bottom w:w="140" w:type="dxa"/>
              <w:left w:w="200" w:type="dxa"/>
              <w:right w:w="150" w:type="dxa"/>
            </w:tcMar>
          </w:tcPr>
          <w:p>
            <w:pPr>
              <w:spacing w:before="0" w:after="40"/>
            </w:pPr>
            <w:r>
              <w:rPr>
                <w:b/>
                <w:color w:val="1B365D"/>
                <w:sz w:val="21"/>
              </w:rPr>
              <w:t>■ PRACTICAL SCENARIO 1 - CAREER STAGNATION &amp; SUCCESSION</w:t>
              <w:br/>
            </w:r>
            <w:r>
              <w:rPr>
                <w:color w:val="333333"/>
                <w:sz w:val="19"/>
              </w:rPr>
              <w:t>SCENARIO CONTEXT - CURIOSA TECH SOLUTIONS CAREER STAGNATION CRISIS:</w:t>
            </w:r>
          </w:p>
          <w:p>
            <w:pPr>
              <w:spacing w:before="0" w:after="40"/>
            </w:pPr>
            <w:r>
              <w:rPr>
                <w:color w:val="333333"/>
                <w:sz w:val="19"/>
              </w:rPr>
              <w:t>Curiosa Tech Solutions noticed a 28% turnover rate among mid-level software developers over the past year. Exit interviews revealed that 72% of departing developers cited 'lack of clear career progression and growth pathways' as their primary reason for leaving.</w:t>
            </w:r>
          </w:p>
          <w:p>
            <w:pPr>
              <w:spacing w:before="0" w:after="40"/>
            </w:pPr>
            <w:r>
              <w:rPr>
                <w:color w:val="333333"/>
                <w:sz w:val="19"/>
              </w:rPr>
              <w:t>• Operational Finding: The company lacked defined career paths. Junior and mid-level developers had no visibility on how to progress to Senior Developer, Tech Lead, or Solutions Architect roles.</w:t>
            </w:r>
          </w:p>
          <w:p>
            <w:pPr>
              <w:spacing w:before="0" w:after="40"/>
            </w:pPr>
            <w:r>
              <w:rPr>
                <w:color w:val="333333"/>
                <w:sz w:val="19"/>
              </w:rPr>
              <w:t>• Succession Risk: Key senior roles remain vacant for an average of 90 days because no internal succession pipeline exists, forcing expensive external recruitment.</w:t>
            </w:r>
          </w:p>
          <w:p>
            <w:pPr>
              <w:spacing w:before="0" w:after="40"/>
            </w:pPr>
            <w:r>
              <w:rPr>
                <w:color w:val="333333"/>
                <w:sz w:val="19"/>
              </w:rPr>
              <w:t>• HR-CMIS Data: An audit of the HRIS revealed that skills inventories were outdated and no individual career development discussions were occurring during annual performance reviews.</w:t>
            </w:r>
          </w:p>
          <w:p>
            <w:pPr>
              <w:spacing w:before="0" w:after="40"/>
            </w:pPr>
            <w:r>
              <w:rPr>
                <w:color w:val="333333"/>
                <w:sz w:val="19"/>
              </w:rPr>
              <w:t>• HR Officer Assignment: The HR Officer must analyze the career stagnation data, establish transparent career pathways, and design an HR-CMIS succession planning model.</w:t>
            </w:r>
          </w:p>
        </w:tc>
      </w:tr>
    </w:tbl>
    <w:p>
      <w:pPr>
        <w:spacing w:after="80"/>
      </w:pPr>
    </w:p>
    <w:p>
      <w:pPr>
        <w:keepNext/>
        <w:spacing w:before="160" w:after="40"/>
      </w:pPr>
      <w:r>
        <w:rPr>
          <w:rFonts w:ascii="Arial" w:hAnsi="Arial"/>
          <w:b/>
          <w:color w:val="1B365D"/>
          <w:sz w:val="22"/>
        </w:rPr>
        <w:t>Task 1 Response Worksheets:</w:t>
      </w:r>
    </w:p>
    <w:p>
      <w:r>
        <w:rPr>
          <w:b/>
        </w:rPr>
        <w:t>1.1 Evaluate the turnover and exit survey findings at Curiosa Tech Solutions. Explain why the lack of transparent career pathing and succession planning creates severe operational and financial risks for the business. (5 Marks):</w:t>
      </w:r>
    </w:p>
    <w:tbl>
      <w:tblPr>
        <w:tblW w:type="auto" w:w="0"/>
        <w:tblLook w:firstColumn="1" w:firstRow="1" w:lastColumn="0" w:lastRow="0" w:noHBand="0" w:noVBand="1" w:val="04A0"/>
      </w:tblPr>
      <w:tblGrid>
        <w:gridCol w:w="9936"/>
      </w:tblGrid>
      <w:tr>
        <w:tc>
          <w:tcPr>
            <w:tcW w:type="dxa" w:w="9936"/>
            <w:shd w:fill="FFFFFF"/>
            <w:tcMar>
              <w:top w:w="100" w:type="dxa"/>
              <w:bottom w:w="100" w:type="dxa"/>
              <w:left w:w="100" w:type="dxa"/>
              <w:right w:w="100" w:type="dxa"/>
            </w:tcMar>
          </w:tcPr>
          <w:p>
            <w:r>
              <w:br/>
              <w:br/>
              <w:br/>
              <w:br/>
              <w:br/>
              <w:br/>
            </w:r>
          </w:p>
        </w:tc>
      </w:tr>
    </w:tbl>
    <w:p>
      <w:pPr>
        <w:spacing w:after="80"/>
      </w:pPr>
    </w:p>
    <w:p>
      <w:r>
        <w:rPr>
          <w:b/>
        </w:rPr>
        <w:t>1.2 Design a 3-Tier Technical Career Progression Framework (Junior -&gt; Senior -&gt; Specialist/Lead) for Curiosa Tech Solutions, incorporating HR-CMIS skill mapping, competency benchmarks, and mentorship pairing. (5 Marks):</w:t>
      </w:r>
    </w:p>
    <w:tbl>
      <w:tblPr>
        <w:tblW w:type="auto" w:w="0"/>
        <w:tblLook w:firstColumn="1" w:firstRow="1" w:lastColumn="0" w:lastRow="0" w:noHBand="0" w:noVBand="1" w:val="04A0"/>
      </w:tblPr>
      <w:tblGrid>
        <w:gridCol w:w="9936"/>
      </w:tblGrid>
      <w:tr>
        <w:tc>
          <w:tcPr>
            <w:tcW w:type="dxa" w:w="9936"/>
            <w:shd w:fill="FFFFFF"/>
            <w:tcMar>
              <w:top w:w="100" w:type="dxa"/>
              <w:bottom w:w="100" w:type="dxa"/>
              <w:left w:w="100" w:type="dxa"/>
              <w:right w:w="100" w:type="dxa"/>
            </w:tcMar>
          </w:tcPr>
          <w:p>
            <w:r>
              <w:br/>
              <w:br/>
              <w:br/>
              <w:br/>
              <w:br/>
              <w:br/>
            </w:r>
          </w:p>
        </w:tc>
      </w:tr>
    </w:tbl>
    <w:p>
      <w:pPr>
        <w:spacing w:after="120"/>
      </w:pPr>
    </w:p>
    <w:p>
      <w:pPr>
        <w:keepNext/>
        <w:spacing w:before="240" w:after="80"/>
      </w:pPr>
      <w:r>
        <w:rPr>
          <w:rFonts w:ascii="Arial" w:hAnsi="Arial"/>
          <w:b/>
          <w:color w:val="008080"/>
          <w:sz w:val="25"/>
        </w:rPr>
        <w:t>Practical Task 2: Policy Compliance &amp; Mentorship Implementation Scenario (10 Marks - IAC0704, IAC0705)</w:t>
      </w:r>
    </w:p>
    <w:tbl>
      <w:tblPr>
        <w:tblW w:type="auto" w:w="0"/>
        <w:jc w:val="center"/>
        <w:tblLook w:firstColumn="1" w:firstRow="1" w:lastColumn="0" w:lastRow="0" w:noHBand="0" w:noVBand="1" w:val="04A0"/>
      </w:tblPr>
      <w:tblGrid>
        <w:gridCol w:w="9936"/>
      </w:tblGrid>
      <w:tr>
        <w:tc>
          <w:tcPr>
            <w:tcW w:type="dxa" w:w="9936"/>
            <w:shd w:fill="F4F6F9"/>
            <w:tcBorders>
              <w:left w:val="single" w:sz="24" w:space="0" w:color="1B365D"/>
              <w:top w:val="none"/>
              <w:right w:val="none"/>
              <w:bottom w:val="none"/>
            </w:tcBorders>
            <w:tcMar>
              <w:top w:w="140" w:type="dxa"/>
              <w:bottom w:w="140" w:type="dxa"/>
              <w:left w:w="200" w:type="dxa"/>
              <w:right w:w="150" w:type="dxa"/>
            </w:tcMar>
          </w:tcPr>
          <w:p>
            <w:pPr>
              <w:spacing w:before="0" w:after="40"/>
            </w:pPr>
            <w:r>
              <w:rPr>
                <w:b/>
                <w:color w:val="1B365D"/>
                <w:sz w:val="21"/>
              </w:rPr>
              <w:t>■ PRACTICAL SCENARIO 2 - POLICY COMPLIANCE &amp; MENTORSHIP</w:t>
              <w:br/>
            </w:r>
            <w:r>
              <w:rPr>
                <w:color w:val="333333"/>
                <w:sz w:val="19"/>
              </w:rPr>
              <w:t>SCENARIO CONTEXT - CAREER MANAGEMENT POLICY ROLLOUT AT APEX LOGISTICS:</w:t>
            </w:r>
          </w:p>
          <w:p>
            <w:pPr>
              <w:spacing w:before="0" w:after="40"/>
            </w:pPr>
            <w:r>
              <w:rPr>
                <w:color w:val="333333"/>
                <w:sz w:val="19"/>
              </w:rPr>
              <w:t>Apex Logistics formulated a formal Career Management Policy aiming to improve internal mobility, support Employment Equity (EE) candidate advancement, and foster continuous learning.</w:t>
            </w:r>
          </w:p>
          <w:p>
            <w:pPr>
              <w:spacing w:before="0" w:after="40"/>
            </w:pPr>
            <w:r>
              <w:rPr>
                <w:color w:val="333333"/>
                <w:sz w:val="19"/>
              </w:rPr>
              <w:t>• Manager Resistance: Operations Managers are resisting the policy rollout, refusing to release high-performing staff for cross-functional training or internal promotions, stating: 'If I develop my best staff, I lose them to other departments and my depot targets suffer.'</w:t>
            </w:r>
          </w:p>
          <w:p>
            <w:pPr>
              <w:spacing w:before="0" w:after="40"/>
            </w:pPr>
            <w:r>
              <w:rPr>
                <w:color w:val="333333"/>
                <w:sz w:val="19"/>
              </w:rPr>
              <w:t>• Employee Frustration: High-potential junior staff in designated groups report feeling blocked by manager hoarding, leading to low engagement and grievance threats.</w:t>
            </w:r>
          </w:p>
          <w:p>
            <w:pPr>
              <w:spacing w:before="0" w:after="40"/>
            </w:pPr>
            <w:r>
              <w:rPr>
                <w:color w:val="333333"/>
                <w:sz w:val="19"/>
              </w:rPr>
              <w:t>• HR Officer Assignment: The HR Officer must enforce policy compliance, align manager incentives with talent development, establish a formal Mentorship Program, and resolve the departmental hoarding conflict.</w:t>
            </w:r>
          </w:p>
        </w:tc>
      </w:tr>
    </w:tbl>
    <w:p>
      <w:pPr>
        <w:spacing w:after="80"/>
      </w:pPr>
    </w:p>
    <w:p>
      <w:pPr>
        <w:keepNext/>
        <w:spacing w:before="160" w:after="40"/>
      </w:pPr>
      <w:r>
        <w:rPr>
          <w:rFonts w:ascii="Arial" w:hAnsi="Arial"/>
          <w:b/>
          <w:color w:val="1B365D"/>
          <w:sz w:val="22"/>
        </w:rPr>
        <w:t>Task 2 Response Worksheets:</w:t>
      </w:r>
    </w:p>
    <w:p>
      <w:r>
        <w:rPr>
          <w:b/>
        </w:rPr>
        <w:t>2.1 Critically evaluate the managers' 'talent hoarding' resistance against Apex Logistics' Career Management Policy and EE transformation goals. Explain why blocking internal mobility damages overall organizational performance. (5 Marks):</w:t>
      </w:r>
    </w:p>
    <w:tbl>
      <w:tblPr>
        <w:tblW w:type="auto" w:w="0"/>
        <w:tblLook w:firstColumn="1" w:firstRow="1" w:lastColumn="0" w:lastRow="0" w:noHBand="0" w:noVBand="1" w:val="04A0"/>
      </w:tblPr>
      <w:tblGrid>
        <w:gridCol w:w="9936"/>
      </w:tblGrid>
      <w:tr>
        <w:tc>
          <w:tcPr>
            <w:tcW w:type="dxa" w:w="9936"/>
            <w:shd w:fill="FFFFFF"/>
            <w:tcMar>
              <w:top w:w="100" w:type="dxa"/>
              <w:bottom w:w="100" w:type="dxa"/>
              <w:left w:w="100" w:type="dxa"/>
              <w:right w:w="100" w:type="dxa"/>
            </w:tcMar>
          </w:tcPr>
          <w:p>
            <w:r>
              <w:br/>
              <w:br/>
              <w:br/>
              <w:br/>
              <w:br/>
              <w:br/>
            </w:r>
          </w:p>
        </w:tc>
      </w:tr>
    </w:tbl>
    <w:p>
      <w:pPr>
        <w:spacing w:after="80"/>
      </w:pPr>
    </w:p>
    <w:p>
      <w:r>
        <w:rPr>
          <w:b/>
        </w:rPr>
        <w:t>2.2 Formulate a Compliance &amp; Enablement Strategy for Apex Logistics, detailing specific mechanisms: manager talent KPIs, an internal mobility policy, structured career counseling, and a formal Mentorship Program. (5 Marks):</w:t>
      </w:r>
    </w:p>
    <w:tbl>
      <w:tblPr>
        <w:tblW w:type="auto" w:w="0"/>
        <w:tblLook w:firstColumn="1" w:firstRow="1" w:lastColumn="0" w:lastRow="0" w:noHBand="0" w:noVBand="1" w:val="04A0"/>
      </w:tblPr>
      <w:tblGrid>
        <w:gridCol w:w="9936"/>
      </w:tblGrid>
      <w:tr>
        <w:tc>
          <w:tcPr>
            <w:tcW w:type="dxa" w:w="9936"/>
            <w:shd w:fill="FFFFFF"/>
            <w:tcMar>
              <w:top w:w="100" w:type="dxa"/>
              <w:bottom w:w="100" w:type="dxa"/>
              <w:left w:w="100" w:type="dxa"/>
              <w:right w:w="100" w:type="dxa"/>
            </w:tcMar>
          </w:tcPr>
          <w:p>
            <w:r>
              <w:br/>
              <w:br/>
              <w:br/>
              <w:br/>
              <w:br/>
              <w:br/>
            </w:r>
          </w:p>
        </w:tc>
      </w:tr>
    </w:tbl>
    <w:p>
      <w:pPr>
        <w:spacing w:after="160"/>
      </w:pPr>
    </w:p>
    <w:p>
      <w:pPr>
        <w:keepNext/>
        <w:spacing w:before="320" w:after="120"/>
        <w:pBdr>
          <w:bottom w:val="single" w:sz="12" w:space="4" w:color="1B365D"/>
        </w:pBdr>
      </w:pPr>
      <w:r>
        <w:rPr>
          <w:rFonts w:ascii="Arial" w:hAnsi="Arial"/>
          <w:b/>
          <w:color w:val="1B365D"/>
          <w:sz w:val="30"/>
        </w:rPr>
        <w:t>SECTION 3: ASSESSOR MARKING RUBRIC &amp; EVALUATION SUMMARY</w:t>
      </w:r>
    </w:p>
    <w:tbl>
      <w:tblPr>
        <w:tblW w:type="auto" w:w="0"/>
        <w:jc w:val="center"/>
        <w:tblLook w:firstColumn="1" w:firstRow="1" w:lastColumn="0" w:lastRow="0" w:noHBand="0" w:noVBand="1" w:val="04A0"/>
      </w:tblPr>
      <w:tblGrid>
        <w:gridCol w:w="9936"/>
      </w:tblGrid>
      <w:tr>
        <w:tc>
          <w:tcPr>
            <w:tcW w:type="dxa" w:w="9936"/>
            <w:shd w:fill="F4F6F9"/>
            <w:tcBorders>
              <w:left w:val="single" w:sz="24" w:space="0" w:color="1B365D"/>
              <w:top w:val="none"/>
              <w:right w:val="none"/>
              <w:bottom w:val="none"/>
            </w:tcBorders>
            <w:tcMar>
              <w:top w:w="140" w:type="dxa"/>
              <w:bottom w:w="140" w:type="dxa"/>
              <w:left w:w="200" w:type="dxa"/>
              <w:right w:w="150" w:type="dxa"/>
            </w:tcMar>
          </w:tcPr>
          <w:p>
            <w:pPr>
              <w:spacing w:before="0" w:after="40"/>
            </w:pPr>
            <w:r>
              <w:rPr>
                <w:b/>
                <w:color w:val="1B365D"/>
                <w:sz w:val="21"/>
              </w:rPr>
              <w:t>■ ASSESSMENT GRADING GRID</w:t>
              <w:br/>
            </w:r>
            <w:r>
              <w:rPr>
                <w:color w:val="333333"/>
                <w:sz w:val="19"/>
              </w:rPr>
              <w:t>This marking grid is completed by the accredited Assessor to record section marks.</w:t>
            </w:r>
          </w:p>
          <w:p>
            <w:pPr>
              <w:spacing w:before="0" w:after="40"/>
            </w:pPr>
            <w:r>
              <w:rPr>
                <w:color w:val="333333"/>
                <w:sz w:val="19"/>
              </w:rPr>
              <w:t>Benchmark for Competence: 80% overall score (40 / 50 Marks).</w:t>
            </w:r>
          </w:p>
        </w:tc>
      </w:tr>
    </w:tbl>
    <w:p>
      <w:pPr>
        <w:spacing w:after="80"/>
      </w:pPr>
    </w:p>
    <w:tbl>
      <w:tblPr>
        <w:tblW w:type="auto" w:w="0"/>
        <w:jc w:val="center"/>
        <w:tblLook w:firstColumn="1" w:firstRow="1" w:lastColumn="0" w:lastRow="0" w:noHBand="0" w:noVBand="1" w:val="04A0"/>
      </w:tblPr>
      <w:tblGrid>
        <w:gridCol w:w="1987"/>
        <w:gridCol w:w="1987"/>
        <w:gridCol w:w="1987"/>
        <w:gridCol w:w="1987"/>
        <w:gridCol w:w="1987"/>
      </w:tblGrid>
      <w:tr>
        <w:trPr>
          <w:cantSplit/>
          <w:tblHeader/>
        </w:trPr>
        <w:tc>
          <w:tcPr>
            <w:tcW w:type="dxa" w:w="2880"/>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Assessment Area</w:t>
            </w:r>
          </w:p>
        </w:tc>
        <w:tc>
          <w:tcPr>
            <w:tcW w:type="dxa" w:w="3456"/>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Criteria Reference</w:t>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Max Marks</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Learner Mark</w:t>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Outcome (C / NYC)</w:t>
            </w:r>
          </w:p>
        </w:tc>
      </w:tr>
      <w:tr>
        <w:trPr>
          <w:cantSplit/>
        </w:trPr>
        <w:tc>
          <w:tcPr>
            <w:tcW w:type="dxa" w:w="288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Part A: Multiple Choice</w:t>
            </w:r>
          </w:p>
        </w:tc>
        <w:tc>
          <w:tcPr>
            <w:tcW w:type="dxa" w:w="345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KT0701 - KT0707 (IAC0701 - IAC0707)</w:t>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5</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r>
      <w:tr>
        <w:trPr>
          <w:cantSplit/>
        </w:trPr>
        <w:tc>
          <w:tcPr>
            <w:tcW w:type="dxa" w:w="288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Part B: True / False</w:t>
            </w:r>
          </w:p>
        </w:tc>
        <w:tc>
          <w:tcPr>
            <w:tcW w:type="dxa" w:w="345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KT0701 - KT0707 (IAC0701 - IAC0707)</w:t>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5</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r>
      <w:tr>
        <w:trPr>
          <w:cantSplit/>
        </w:trPr>
        <w:tc>
          <w:tcPr>
            <w:tcW w:type="dxa" w:w="288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Part C: True/False Justification</w:t>
            </w:r>
          </w:p>
        </w:tc>
        <w:tc>
          <w:tcPr>
            <w:tcW w:type="dxa" w:w="345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KT0702, KT0704 (IAC0702, IAC0704)</w:t>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5</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r>
      <w:tr>
        <w:trPr>
          <w:cantSplit/>
        </w:trPr>
        <w:tc>
          <w:tcPr>
            <w:tcW w:type="dxa" w:w="288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Part D: Short Answer Concepts</w:t>
            </w:r>
          </w:p>
        </w:tc>
        <w:tc>
          <w:tcPr>
            <w:tcW w:type="dxa" w:w="345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KT0701 - KT0707 (IAC0701 - IAC0707)</w:t>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15</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r>
      <w:tr>
        <w:trPr>
          <w:cantSplit/>
        </w:trPr>
        <w:tc>
          <w:tcPr>
            <w:tcW w:type="dxa" w:w="288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Practical Task 1: Career Stagnation &amp; Succession</w:t>
            </w:r>
          </w:p>
        </w:tc>
        <w:tc>
          <w:tcPr>
            <w:tcW w:type="dxa" w:w="345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KT0702, KT0707 / IAC0702, IAC0707</w:t>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10</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r>
      <w:tr>
        <w:trPr>
          <w:cantSplit/>
        </w:trPr>
        <w:tc>
          <w:tcPr>
            <w:tcW w:type="dxa" w:w="288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Practical Task 2: Policy Compliance &amp; Mentorship</w:t>
            </w:r>
          </w:p>
        </w:tc>
        <w:tc>
          <w:tcPr>
            <w:tcW w:type="dxa" w:w="345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KT0704, KT0705 / IAC0704, IAC0705</w:t>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10</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r>
      <w:tr>
        <w:trPr>
          <w:cantSplit/>
        </w:trPr>
        <w:tc>
          <w:tcPr>
            <w:tcW w:type="dxa" w:w="288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b/>
                <w:color w:val="333333"/>
                <w:sz w:val="18"/>
              </w:rPr>
              <w:t>TOTAL FORMATIVE ASSESSMENT</w:t>
            </w:r>
          </w:p>
        </w:tc>
        <w:tc>
          <w:tcPr>
            <w:tcW w:type="dxa" w:w="345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b/>
                <w:color w:val="333333"/>
                <w:sz w:val="18"/>
              </w:rPr>
              <w:t>Topic KM0307 Integrated Competence</w:t>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b/>
                <w:color w:val="333333"/>
                <w:sz w:val="18"/>
              </w:rPr>
              <w:t>50</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b/>
                <w:color w:val="333333"/>
                <w:sz w:val="18"/>
              </w:rPr>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b/>
                <w:color w:val="333333"/>
                <w:sz w:val="18"/>
              </w:rPr>
            </w:r>
          </w:p>
        </w:tc>
      </w:tr>
    </w:tbl>
    <w:p>
      <w:pPr>
        <w:spacing w:after="120"/>
      </w:pPr>
    </w:p>
    <w:p>
      <w:pPr>
        <w:keepNext/>
        <w:spacing w:before="160" w:after="40"/>
      </w:pPr>
      <w:r>
        <w:rPr>
          <w:rFonts w:ascii="Arial" w:hAnsi="Arial"/>
          <w:b/>
          <w:color w:val="1B365D"/>
          <w:sz w:val="22"/>
        </w:rPr>
        <w:t>Assessor Feedback &amp; Decision Block</w:t>
      </w:r>
    </w:p>
    <w:tbl>
      <w:tblPr>
        <w:tblW w:type="auto" w:w="0"/>
        <w:jc w:val="center"/>
        <w:tblLook w:firstColumn="1" w:firstRow="1" w:lastColumn="0" w:lastRow="0" w:noHBand="0" w:noVBand="1" w:val="04A0"/>
      </w:tblPr>
      <w:tblGrid>
        <w:gridCol w:w="4968"/>
        <w:gridCol w:w="4968"/>
      </w:tblGrid>
      <w:tr>
        <w:trPr>
          <w:cantSplit/>
          <w:tblHeader/>
        </w:trPr>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Assessor Constructive Feedback:</w:t>
            </w:r>
          </w:p>
        </w:tc>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Learner Re-assessment / Action Required:</w:t>
            </w:r>
          </w:p>
        </w:tc>
      </w:tr>
      <w:tr>
        <w:trPr>
          <w:cantSplit/>
        </w:trPr>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br/>
              <w:br/>
              <w:br/>
              <w:br/>
            </w:r>
          </w:p>
        </w:tc>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br/>
              <w:br/>
              <w:br/>
              <w:br/>
            </w:r>
          </w:p>
        </w:tc>
      </w:tr>
    </w:tbl>
    <w:p>
      <w:pPr>
        <w:spacing w:after="160"/>
      </w:pPr>
    </w:p>
    <w:tbl>
      <w:tblPr>
        <w:tblW w:type="auto" w:w="0"/>
        <w:jc w:val="center"/>
        <w:tblLook w:firstColumn="1" w:firstRow="1" w:lastColumn="0" w:lastRow="0" w:noHBand="0" w:noVBand="1" w:val="04A0"/>
      </w:tblPr>
      <w:tblGrid>
        <w:gridCol w:w="4968"/>
        <w:gridCol w:w="4968"/>
      </w:tblGrid>
      <w:tr>
        <w:trPr>
          <w:cantSplit/>
          <w:tblHeader/>
        </w:trPr>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Learner Signature: _______________________</w:t>
              <w:br/>
              <w:t>Date: ___________________</w:t>
            </w:r>
          </w:p>
        </w:tc>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Assessor Signature: _______________________</w:t>
              <w:br/>
              <w:t>Date: ___________________</w:t>
            </w:r>
          </w:p>
        </w:tc>
      </w:tr>
      <w:tr>
        <w:trPr>
          <w:cantSplit/>
        </w:trPr>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Moderator Signature (if sampled): _______________________</w:t>
              <w:br/>
              <w:t>Date: ___________________</w:t>
            </w:r>
          </w:p>
        </w:tc>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Moderation Outcome: [  ] Accepted   [  ] Rejected</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