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B43214"/>
            <w:tcMar>
              <w:top w:w="80" w:type="dxa"/>
              <w:bottom w:w="80" w:type="dxa"/>
              <w:left w:w="120" w:type="dxa"/>
              <w:right w:w="120" w:type="dxa"/>
            </w:tcMar>
          </w:tcPr>
          <w:p>
            <w:pPr>
              <w:spacing w:after="0"/>
            </w:pPr>
            <w:r>
              <w:rPr>
                <w:rFonts w:ascii="Arial" w:hAnsi="Arial"/>
                <w:b/>
                <w:color w:val="FFFFFF"/>
                <w:sz w:val="19"/>
              </w:rPr>
              <w:t>INSTITUTION:</w:t>
            </w:r>
          </w:p>
        </w:tc>
        <w:tc>
          <w:tcPr>
            <w:tcW w:type="dxa" w:w="6192"/>
            <w:shd w:fill="FDF0ED"/>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FDF0ED"/>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FDF0ED"/>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MODULES COVERED:</w:t>
            </w:r>
          </w:p>
        </w:tc>
        <w:tc>
          <w:tcPr>
            <w:tcW w:type="dxa" w:w="6192"/>
            <w:shd w:fill="FDF0ED"/>
            <w:tcMar>
              <w:top w:w="80" w:type="dxa"/>
              <w:bottom w:w="80" w:type="dxa"/>
              <w:left w:w="120" w:type="dxa"/>
              <w:right w:w="120" w:type="dxa"/>
            </w:tcMar>
          </w:tcPr>
          <w:p>
            <w:pPr>
              <w:spacing w:after="0"/>
            </w:pPr>
            <w:r>
              <w:rPr>
                <w:rFonts w:ascii="Calibri" w:hAnsi="Calibri"/>
                <w:b w:val="0"/>
                <w:color w:val="222222"/>
                <w:sz w:val="20"/>
              </w:rPr>
              <w:t>KM-04 (Implementing Employment Relations Strategies, NQF L6, 20 Credits)</w:t>
              <w:br/>
              <w:t>PM-04 (Operationalise Employment Relations Strategies &amp; Plans, NQF L6, 10 Credits)</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DOCUMENT TYPE:</w:t>
            </w:r>
          </w:p>
        </w:tc>
        <w:tc>
          <w:tcPr>
            <w:tcW w:type="dxa" w:w="6192"/>
            <w:shd w:fill="FDF0ED"/>
            <w:tcMar>
              <w:top w:w="80" w:type="dxa"/>
              <w:bottom w:w="80" w:type="dxa"/>
              <w:left w:w="120" w:type="dxa"/>
              <w:right w:w="120" w:type="dxa"/>
            </w:tcMar>
          </w:tcPr>
          <w:p>
            <w:pPr>
              <w:spacing w:after="0"/>
            </w:pPr>
            <w:r>
              <w:rPr>
                <w:rFonts w:ascii="Calibri" w:hAnsi="Calibri"/>
                <w:b/>
                <w:color w:val="222222"/>
                <w:sz w:val="20"/>
              </w:rPr>
              <w:t>ASSESSOR GUIDE &amp; COMPREHENSIVE MARKING MEMORANDUM</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ASSESSMENT METHOD:</w:t>
            </w:r>
          </w:p>
        </w:tc>
        <w:tc>
          <w:tcPr>
            <w:tcW w:type="dxa" w:w="6192"/>
            <w:shd w:fill="FDF0ED"/>
            <w:tcMar>
              <w:top w:w="80" w:type="dxa"/>
              <w:bottom w:w="80" w:type="dxa"/>
              <w:left w:w="120" w:type="dxa"/>
              <w:right w:w="120" w:type="dxa"/>
            </w:tcMar>
          </w:tcPr>
          <w:p>
            <w:pPr>
              <w:spacing w:after="0"/>
            </w:pPr>
            <w:r>
              <w:rPr>
                <w:rFonts w:ascii="Calibri" w:hAnsi="Calibri"/>
                <w:b w:val="0"/>
                <w:color w:val="222222"/>
                <w:sz w:val="20"/>
              </w:rPr>
              <w:t>Internal Summative Assessment (Script SU 4 - Version 1) | Total: 100 Marks | Pass: 75%</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ASSESSOR NAME &amp; REG #:</w:t>
            </w:r>
          </w:p>
        </w:tc>
        <w:tc>
          <w:tcPr>
            <w:tcW w:type="dxa" w:w="6192"/>
            <w:shd w:fill="FDF0ED"/>
            <w:tcMar>
              <w:top w:w="80" w:type="dxa"/>
              <w:bottom w:w="80" w:type="dxa"/>
              <w:left w:w="120" w:type="dxa"/>
              <w:right w:w="120" w:type="dxa"/>
            </w:tcMar>
          </w:tcPr>
          <w:p>
            <w:pPr>
              <w:spacing w:after="0"/>
            </w:pPr>
            <w:r>
              <w:rPr>
                <w:rFonts w:ascii="Calibri" w:hAnsi="Calibri"/>
                <w:b w:val="0"/>
                <w:color w:val="222222"/>
                <w:sz w:val="20"/>
              </w:rPr>
              <w:t>__________________________________________________</w:t>
            </w:r>
          </w:p>
        </w:tc>
      </w:tr>
    </w:tbl>
    <w:p>
      <w:pPr>
        <w:spacing w:after="200"/>
      </w:pPr>
    </w:p>
    <w:p>
      <w:pPr>
        <w:keepNext/>
        <w:spacing w:before="320" w:after="120"/>
      </w:pPr>
      <w:r>
        <w:rPr>
          <w:rFonts w:ascii="Arial" w:hAnsi="Arial"/>
          <w:b/>
          <w:color w:val="B43214"/>
          <w:sz w:val="32"/>
        </w:rPr>
        <w:t>SECTION 1: ASSESSOR GUIDANCE &amp; ASSESSMENT PRINCIPLES</w:t>
      </w:r>
    </w:p>
    <w:p>
      <w:pPr>
        <w:spacing w:after="60" w:line="276" w:lineRule="auto"/>
      </w:pPr>
      <w:r>
        <w:rPr>
          <w:rFonts w:ascii="Calibri" w:hAnsi="Calibri"/>
          <w:b w:val="0"/>
          <w:i w:val="0"/>
          <w:color w:val="222222"/>
          <w:sz w:val="22"/>
        </w:rPr>
        <w:t>1. Purpose of the Assessor Guide: Provides standardized marking criteria, complete answer keys, technical rationales, and evaluation rubrics for assessing Study Unit 4 (KM-04 and PM-04).</w:t>
      </w:r>
    </w:p>
    <w:p>
      <w:pPr>
        <w:spacing w:after="60" w:line="276" w:lineRule="auto"/>
      </w:pPr>
      <w:r>
        <w:rPr>
          <w:rFonts w:ascii="Calibri" w:hAnsi="Calibri"/>
          <w:b w:val="0"/>
          <w:i w:val="0"/>
          <w:color w:val="222222"/>
          <w:sz w:val="22"/>
        </w:rPr>
        <w:t>2. Assessment Benchmark (NQF Level 6): Learners must demonstrate applied operational knowledge across core Employment Relations domains: Legislative Application, Disciplinary &amp; Grievance Procedures, Organised Labour &amp; Collective Bargaining, Dispute Resolution (CCMA), and ER Analytics.</w:t>
      </w:r>
    </w:p>
    <w:p>
      <w:pPr>
        <w:spacing w:after="60" w:line="276" w:lineRule="auto"/>
      </w:pPr>
      <w:r>
        <w:rPr>
          <w:rFonts w:ascii="Calibri" w:hAnsi="Calibri"/>
          <w:b w:val="0"/>
          <w:i w:val="0"/>
          <w:color w:val="222222"/>
          <w:sz w:val="22"/>
        </w:rPr>
        <w:t>3. Pass Mark Threshold: The pass mark is strictly 75% (75/100 Marks). Candidates scoring below 75% must be awarded a 'Not Yet Competent' (NYC) result and scheduled for reassessment.</w:t>
      </w:r>
    </w:p>
    <w:p>
      <w:pPr>
        <w:spacing w:after="60" w:line="276" w:lineRule="auto"/>
      </w:pPr>
      <w:r>
        <w:rPr>
          <w:rFonts w:ascii="Calibri" w:hAnsi="Calibri"/>
          <w:b w:val="0"/>
          <w:i w:val="0"/>
          <w:color w:val="222222"/>
          <w:sz w:val="22"/>
        </w:rPr>
        <w:t>4. Statutory &amp; Professional Standard Alignment: Evaluate responses against the Labour Relations Act (LRA 66 of 1995), LRA Code of Good Practice: Dismissal, Basic Conditions of Employment Act (BCEA), Employment Equity Act (EEA), Protection of Personal Information Act (POPIA), and the SABPP Employment Relations Management Application Standard.</w:t>
      </w:r>
    </w:p>
    <w:p>
      <w:pPr>
        <w:spacing w:after="200"/>
      </w:pPr>
    </w:p>
    <w:p>
      <w:pPr>
        <w:keepNext/>
        <w:spacing w:before="320" w:after="120"/>
      </w:pPr>
      <w:r>
        <w:rPr>
          <w:rFonts w:ascii="Arial" w:hAnsi="Arial"/>
          <w:b/>
          <w:color w:val="B43214"/>
          <w:sz w:val="32"/>
        </w:rPr>
        <w:t>SECTION 2: SECTION A - MULTIPLE CHOICE MARKING KEY (15 MARKS)</w:t>
      </w:r>
    </w:p>
    <w:tbl>
      <w:tblPr>
        <w:tblW w:type="auto" w:w="0"/>
        <w:jc w:val="center"/>
        <w:tblLook w:firstColumn="1" w:firstRow="1" w:lastColumn="0" w:lastRow="0" w:noHBand="0" w:noVBand="1" w:val="04A0"/>
      </w:tblPr>
      <w:tblGrid>
        <w:gridCol w:w="2340"/>
        <w:gridCol w:w="2340"/>
        <w:gridCol w:w="2340"/>
        <w:gridCol w:w="2340"/>
      </w:tblGrid>
      <w:tr>
        <w:tc>
          <w:tcPr>
            <w:tcW w:type="dxa" w:w="864"/>
            <w:shd w:fill="B43214"/>
          </w:tcPr>
          <w:p>
            <w:pPr>
              <w:spacing w:after="0"/>
            </w:pPr>
            <w:r>
              <w:rPr>
                <w:rFonts w:ascii="Arial" w:hAnsi="Arial"/>
                <w:b/>
                <w:color w:val="FFFFFF"/>
                <w:sz w:val="18"/>
              </w:rPr>
              <w:t>Q#</w:t>
            </w:r>
          </w:p>
        </w:tc>
        <w:tc>
          <w:tcPr>
            <w:tcW w:type="dxa" w:w="864"/>
            <w:shd w:fill="B43214"/>
          </w:tcPr>
          <w:p>
            <w:pPr>
              <w:spacing w:after="0"/>
            </w:pPr>
            <w:r>
              <w:rPr>
                <w:rFonts w:ascii="Arial" w:hAnsi="Arial"/>
                <w:b/>
                <w:color w:val="FFFFFF"/>
                <w:sz w:val="18"/>
              </w:rPr>
              <w:t>Key</w:t>
            </w:r>
          </w:p>
        </w:tc>
        <w:tc>
          <w:tcPr>
            <w:tcW w:type="dxa" w:w="3312"/>
            <w:shd w:fill="B43214"/>
          </w:tcPr>
          <w:p>
            <w:pPr>
              <w:spacing w:after="0"/>
            </w:pPr>
            <w:r>
              <w:rPr>
                <w:rFonts w:ascii="Arial" w:hAnsi="Arial"/>
                <w:b/>
                <w:color w:val="FFFFFF"/>
                <w:sz w:val="18"/>
              </w:rPr>
              <w:t>Correct Option</w:t>
            </w:r>
          </w:p>
        </w:tc>
        <w:tc>
          <w:tcPr>
            <w:tcW w:type="dxa" w:w="4320"/>
            <w:shd w:fill="B43214"/>
          </w:tcPr>
          <w:p>
            <w:pPr>
              <w:spacing w:after="0"/>
            </w:pPr>
            <w:r>
              <w:rPr>
                <w:rFonts w:ascii="Arial" w:hAnsi="Arial"/>
                <w:b/>
                <w:color w:val="FFFFFF"/>
                <w:sz w:val="18"/>
              </w:rPr>
              <w:t>Assessor Rationale / Technical Reference</w:t>
            </w:r>
          </w:p>
        </w:tc>
      </w:tr>
      <w:tr>
        <w:tc>
          <w:tcPr>
            <w:tcW w:type="dxa" w:w="864"/>
            <w:tcMar>
              <w:top w:w="60" w:type="dxa"/>
              <w:bottom w:w="60" w:type="dxa"/>
              <w:left w:w="80" w:type="dxa"/>
              <w:right w:w="80" w:type="dxa"/>
            </w:tcMar>
          </w:tcPr>
          <w:p>
            <w:r>
              <w:rPr>
                <w:rFonts w:ascii="Calibri" w:hAnsi="Calibri"/>
              </w:rPr>
              <w:t>Q1</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On a balance of probabilities</w:t>
            </w:r>
          </w:p>
        </w:tc>
        <w:tc>
          <w:tcPr>
            <w:tcW w:type="dxa" w:w="4320"/>
            <w:tcMar>
              <w:top w:w="60" w:type="dxa"/>
              <w:bottom w:w="60" w:type="dxa"/>
              <w:left w:w="80" w:type="dxa"/>
              <w:right w:w="80" w:type="dxa"/>
            </w:tcMar>
          </w:tcPr>
          <w:p>
            <w:r>
              <w:rPr>
                <w:rFonts w:ascii="Calibri" w:hAnsi="Calibri"/>
              </w:rPr>
              <w:t>In civil and labour proceedings (including CCMA arbitration), the required standard of proof is a balance of probabilities.</w:t>
            </w:r>
          </w:p>
        </w:tc>
      </w:tr>
      <w:tr>
        <w:tc>
          <w:tcPr>
            <w:tcW w:type="dxa" w:w="864"/>
            <w:tcMar>
              <w:top w:w="60" w:type="dxa"/>
              <w:bottom w:w="60" w:type="dxa"/>
              <w:left w:w="80" w:type="dxa"/>
              <w:right w:w="80" w:type="dxa"/>
            </w:tcMar>
          </w:tcPr>
          <w:p>
            <w:r>
              <w:rPr>
                <w:rFonts w:ascii="Calibri" w:hAnsi="Calibri"/>
              </w:rPr>
              <w:t>Q2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Reasonable time off with pay during working hours to perform union duties and receive training</w:t>
            </w:r>
          </w:p>
        </w:tc>
        <w:tc>
          <w:tcPr>
            <w:tcW w:type="dxa" w:w="4320"/>
            <w:tcMar>
              <w:top w:w="60" w:type="dxa"/>
              <w:bottom w:w="60" w:type="dxa"/>
              <w:left w:w="80" w:type="dxa"/>
              <w:right w:w="80" w:type="dxa"/>
            </w:tcMar>
          </w:tcPr>
          <w:p>
            <w:r>
              <w:rPr>
                <w:rFonts w:ascii="Calibri" w:hAnsi="Calibri"/>
              </w:rPr>
              <w:t>LRA Section 14 explicitly grants shop stewards reasonable time off with pay for trade union duties and training.</w:t>
            </w:r>
          </w:p>
        </w:tc>
      </w:tr>
      <w:tr>
        <w:tc>
          <w:tcPr>
            <w:tcW w:type="dxa" w:w="864"/>
            <w:tcMar>
              <w:top w:w="60" w:type="dxa"/>
              <w:bottom w:w="60" w:type="dxa"/>
              <w:left w:w="80" w:type="dxa"/>
              <w:right w:w="80" w:type="dxa"/>
            </w:tcMar>
          </w:tcPr>
          <w:p>
            <w:r>
              <w:rPr>
                <w:rFonts w:ascii="Calibri" w:hAnsi="Calibri"/>
              </w:rPr>
              <w:t>Q3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At least 3 working days</w:t>
            </w:r>
          </w:p>
        </w:tc>
        <w:tc>
          <w:tcPr>
            <w:tcW w:type="dxa" w:w="4320"/>
            <w:tcMar>
              <w:top w:w="60" w:type="dxa"/>
              <w:bottom w:w="60" w:type="dxa"/>
              <w:left w:w="80" w:type="dxa"/>
              <w:right w:w="80" w:type="dxa"/>
            </w:tcMar>
          </w:tcPr>
          <w:p>
            <w:r>
              <w:rPr>
                <w:rFonts w:ascii="Calibri" w:hAnsi="Calibri"/>
              </w:rPr>
              <w:t>Procedural fairness under LRA Code of Good Practice requires advance written notice (typically 3 working days) to allow preparation.</w:t>
            </w:r>
          </w:p>
        </w:tc>
      </w:tr>
      <w:tr>
        <w:tc>
          <w:tcPr>
            <w:tcW w:type="dxa" w:w="864"/>
            <w:tcMar>
              <w:top w:w="60" w:type="dxa"/>
              <w:bottom w:w="60" w:type="dxa"/>
              <w:left w:w="80" w:type="dxa"/>
              <w:right w:w="80" w:type="dxa"/>
            </w:tcMar>
          </w:tcPr>
          <w:p>
            <w:r>
              <w:rPr>
                <w:rFonts w:ascii="Calibri" w:hAnsi="Calibri"/>
              </w:rPr>
              <w:t>Q4</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Conciliation</w:t>
            </w:r>
          </w:p>
        </w:tc>
        <w:tc>
          <w:tcPr>
            <w:tcW w:type="dxa" w:w="4320"/>
            <w:tcMar>
              <w:top w:w="60" w:type="dxa"/>
              <w:bottom w:w="60" w:type="dxa"/>
              <w:left w:w="80" w:type="dxa"/>
              <w:right w:w="80" w:type="dxa"/>
            </w:tcMar>
          </w:tcPr>
          <w:p>
            <w:r>
              <w:rPr>
                <w:rFonts w:ascii="Calibri" w:hAnsi="Calibri"/>
              </w:rPr>
              <w:t>Conciliation is a non-binding facilitation process aimed at helping parties reach a voluntary settlement.</w:t>
            </w:r>
          </w:p>
        </w:tc>
      </w:tr>
      <w:tr>
        <w:tc>
          <w:tcPr>
            <w:tcW w:type="dxa" w:w="864"/>
            <w:tcMar>
              <w:top w:w="60" w:type="dxa"/>
              <w:bottom w:w="60" w:type="dxa"/>
              <w:left w:w="80" w:type="dxa"/>
              <w:right w:w="80" w:type="dxa"/>
            </w:tcMar>
          </w:tcPr>
          <w:p>
            <w:r>
              <w:rPr>
                <w:rFonts w:ascii="Calibri" w:hAnsi="Calibri"/>
              </w:rPr>
              <w:t>Q5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Integrative Bargaining</w:t>
            </w:r>
          </w:p>
        </w:tc>
        <w:tc>
          <w:tcPr>
            <w:tcW w:type="dxa" w:w="4320"/>
            <w:tcMar>
              <w:top w:w="60" w:type="dxa"/>
              <w:bottom w:w="60" w:type="dxa"/>
              <w:left w:w="80" w:type="dxa"/>
              <w:right w:w="80" w:type="dxa"/>
            </w:tcMar>
          </w:tcPr>
          <w:p>
            <w:r>
              <w:rPr>
                <w:rFonts w:ascii="Calibri" w:hAnsi="Calibri"/>
              </w:rPr>
              <w:t>Integrative bargaining focuses on win-win problem solving and mutual interest alignment.</w:t>
            </w:r>
          </w:p>
        </w:tc>
      </w:tr>
      <w:tr>
        <w:tc>
          <w:tcPr>
            <w:tcW w:type="dxa" w:w="864"/>
            <w:tcMar>
              <w:top w:w="60" w:type="dxa"/>
              <w:bottom w:w="60" w:type="dxa"/>
              <w:left w:w="80" w:type="dxa"/>
              <w:right w:w="80" w:type="dxa"/>
            </w:tcMar>
          </w:tcPr>
          <w:p>
            <w:r>
              <w:rPr>
                <w:rFonts w:ascii="Calibri" w:hAnsi="Calibri"/>
              </w:rPr>
              <w:t>Q6</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Best Alternative To a Negotiated Agreement</w:t>
            </w:r>
          </w:p>
        </w:tc>
        <w:tc>
          <w:tcPr>
            <w:tcW w:type="dxa" w:w="4320"/>
            <w:tcMar>
              <w:top w:w="60" w:type="dxa"/>
              <w:bottom w:w="60" w:type="dxa"/>
              <w:left w:w="80" w:type="dxa"/>
              <w:right w:w="80" w:type="dxa"/>
            </w:tcMar>
          </w:tcPr>
          <w:p>
            <w:r>
              <w:rPr>
                <w:rFonts w:ascii="Calibri" w:hAnsi="Calibri"/>
              </w:rPr>
              <w:t>BATNA is a foundational negotiation concept representing the fallback position if talks fail.</w:t>
            </w:r>
          </w:p>
        </w:tc>
      </w:tr>
      <w:tr>
        <w:tc>
          <w:tcPr>
            <w:tcW w:type="dxa" w:w="864"/>
            <w:tcMar>
              <w:top w:w="60" w:type="dxa"/>
              <w:bottom w:w="60" w:type="dxa"/>
              <w:left w:w="80" w:type="dxa"/>
              <w:right w:w="80" w:type="dxa"/>
            </w:tcMar>
          </w:tcPr>
          <w:p>
            <w:r>
              <w:rPr>
                <w:rFonts w:ascii="Calibri" w:hAnsi="Calibri"/>
              </w:rPr>
              <w:t>Q7</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Legally binding on the employer, union members, and non-union employees if extended under statutory criteria</w:t>
            </w:r>
          </w:p>
        </w:tc>
        <w:tc>
          <w:tcPr>
            <w:tcW w:type="dxa" w:w="4320"/>
            <w:tcMar>
              <w:top w:w="60" w:type="dxa"/>
              <w:bottom w:w="60" w:type="dxa"/>
              <w:left w:w="80" w:type="dxa"/>
              <w:right w:w="80" w:type="dxa"/>
            </w:tcMar>
          </w:tcPr>
          <w:p>
            <w:r>
              <w:rPr>
                <w:rFonts w:ascii="Calibri" w:hAnsi="Calibri"/>
              </w:rPr>
              <w:t>LRA Section 23 specifies the legal binding nature of collective agreements.</w:t>
            </w:r>
          </w:p>
        </w:tc>
      </w:tr>
      <w:tr>
        <w:tc>
          <w:tcPr>
            <w:tcW w:type="dxa" w:w="864"/>
            <w:tcMar>
              <w:top w:w="60" w:type="dxa"/>
              <w:bottom w:w="60" w:type="dxa"/>
              <w:left w:w="80" w:type="dxa"/>
              <w:right w:w="80" w:type="dxa"/>
            </w:tcMar>
          </w:tcPr>
          <w:p>
            <w:r>
              <w:rPr>
                <w:rFonts w:ascii="Calibri" w:hAnsi="Calibri"/>
              </w:rPr>
              <w:t>Q8</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The employee providing skills and labour in exchange for the employer providing remuneration</w:t>
            </w:r>
          </w:p>
        </w:tc>
        <w:tc>
          <w:tcPr>
            <w:tcW w:type="dxa" w:w="4320"/>
            <w:tcMar>
              <w:top w:w="60" w:type="dxa"/>
              <w:bottom w:w="60" w:type="dxa"/>
              <w:left w:w="80" w:type="dxa"/>
              <w:right w:w="80" w:type="dxa"/>
            </w:tcMar>
          </w:tcPr>
          <w:p>
            <w:r>
              <w:rPr>
                <w:rFonts w:ascii="Calibri" w:hAnsi="Calibri"/>
              </w:rPr>
              <w:t>Contract law consideration in employment requires mutual exchange of work for pay.</w:t>
            </w:r>
          </w:p>
        </w:tc>
      </w:tr>
      <w:tr>
        <w:tc>
          <w:tcPr>
            <w:tcW w:type="dxa" w:w="864"/>
            <w:tcMar>
              <w:top w:w="60" w:type="dxa"/>
              <w:bottom w:w="60" w:type="dxa"/>
              <w:left w:w="80" w:type="dxa"/>
              <w:right w:w="80" w:type="dxa"/>
            </w:tcMar>
          </w:tcPr>
          <w:p>
            <w:r>
              <w:rPr>
                <w:rFonts w:ascii="Calibri" w:hAnsi="Calibri"/>
              </w:rPr>
              <w:t>Q9</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Bargaining Council</w:t>
            </w:r>
          </w:p>
        </w:tc>
        <w:tc>
          <w:tcPr>
            <w:tcW w:type="dxa" w:w="4320"/>
            <w:tcMar>
              <w:top w:w="60" w:type="dxa"/>
              <w:bottom w:w="60" w:type="dxa"/>
              <w:left w:w="80" w:type="dxa"/>
              <w:right w:w="80" w:type="dxa"/>
            </w:tcMar>
          </w:tcPr>
          <w:p>
            <w:r>
              <w:rPr>
                <w:rFonts w:ascii="Calibri" w:hAnsi="Calibri"/>
              </w:rPr>
              <w:t>Bargaining Councils are statutory bodies established by registered unions and employer organizations under the LRA.</w:t>
            </w:r>
          </w:p>
        </w:tc>
      </w:tr>
      <w:tr>
        <w:tc>
          <w:tcPr>
            <w:tcW w:type="dxa" w:w="864"/>
            <w:tcMar>
              <w:top w:w="60" w:type="dxa"/>
              <w:bottom w:w="60" w:type="dxa"/>
              <w:left w:w="80" w:type="dxa"/>
              <w:right w:w="80" w:type="dxa"/>
            </w:tcMar>
          </w:tcPr>
          <w:p>
            <w:r>
              <w:rPr>
                <w:rFonts w:ascii="Calibri" w:hAnsi="Calibri"/>
              </w:rPr>
              <w:t>10</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To create and sustain a climate of trust, cooperation, and stability that enables organizational success</w:t>
            </w:r>
          </w:p>
        </w:tc>
        <w:tc>
          <w:tcPr>
            <w:tcW w:type="dxa" w:w="4320"/>
            <w:tcMar>
              <w:top w:w="60" w:type="dxa"/>
              <w:bottom w:w="60" w:type="dxa"/>
              <w:left w:w="80" w:type="dxa"/>
              <w:right w:w="80" w:type="dxa"/>
            </w:tcMar>
          </w:tcPr>
          <w:p>
            <w:r>
              <w:rPr>
                <w:rFonts w:ascii="Calibri" w:hAnsi="Calibri"/>
              </w:rPr>
              <w:t>SABPP Employment Relations Management Application Standard core purpose.</w:t>
            </w:r>
          </w:p>
        </w:tc>
      </w:tr>
      <w:tr>
        <w:tc>
          <w:tcPr>
            <w:tcW w:type="dxa" w:w="864"/>
            <w:tcMar>
              <w:top w:w="60" w:type="dxa"/>
              <w:bottom w:w="60" w:type="dxa"/>
              <w:left w:w="80" w:type="dxa"/>
              <w:right w:w="80" w:type="dxa"/>
            </w:tcMar>
          </w:tcPr>
          <w:p>
            <w:r>
              <w:rPr>
                <w:rFonts w:ascii="Calibri" w:hAnsi="Calibri"/>
              </w:rPr>
              <w:t>Q11</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A grievance is a complaint raised by an employee regarding unfair treatment; a disciplinary issue involves alleged employee misconduct</w:t>
            </w:r>
          </w:p>
        </w:tc>
        <w:tc>
          <w:tcPr>
            <w:tcW w:type="dxa" w:w="4320"/>
            <w:tcMar>
              <w:top w:w="60" w:type="dxa"/>
              <w:bottom w:w="60" w:type="dxa"/>
              <w:left w:w="80" w:type="dxa"/>
              <w:right w:w="80" w:type="dxa"/>
            </w:tcMar>
          </w:tcPr>
          <w:p>
            <w:r>
              <w:rPr>
                <w:rFonts w:ascii="Calibri" w:hAnsi="Calibri"/>
              </w:rPr>
              <w:t>Fundamental distinction between employee grievances and employer disciplinary action.</w:t>
            </w:r>
          </w:p>
        </w:tc>
      </w:tr>
      <w:tr>
        <w:tc>
          <w:tcPr>
            <w:tcW w:type="dxa" w:w="864"/>
            <w:tcMar>
              <w:top w:w="60" w:type="dxa"/>
              <w:bottom w:w="60" w:type="dxa"/>
              <w:left w:w="80" w:type="dxa"/>
              <w:right w:w="80" w:type="dxa"/>
            </w:tcMar>
          </w:tcPr>
          <w:p>
            <w:r>
              <w:rPr>
                <w:rFonts w:ascii="Calibri" w:hAnsi="Calibri"/>
              </w:rPr>
              <w:t>Q12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Stay Interviews</w:t>
            </w:r>
          </w:p>
        </w:tc>
        <w:tc>
          <w:tcPr>
            <w:tcW w:type="dxa" w:w="4320"/>
            <w:tcMar>
              <w:top w:w="60" w:type="dxa"/>
              <w:bottom w:w="60" w:type="dxa"/>
              <w:left w:w="80" w:type="dxa"/>
              <w:right w:w="80" w:type="dxa"/>
            </w:tcMar>
          </w:tcPr>
          <w:p>
            <w:r>
              <w:rPr>
                <w:rFonts w:ascii="Calibri" w:hAnsi="Calibri"/>
              </w:rPr>
              <w:t>Stay interviews engage current top performers to identify retention drivers and prevent dissatisfaction before exit.</w:t>
            </w:r>
          </w:p>
        </w:tc>
      </w:tr>
      <w:tr>
        <w:tc>
          <w:tcPr>
            <w:tcW w:type="dxa" w:w="864"/>
            <w:tcMar>
              <w:top w:w="60" w:type="dxa"/>
              <w:bottom w:w="60" w:type="dxa"/>
              <w:left w:w="80" w:type="dxa"/>
              <w:right w:w="80" w:type="dxa"/>
            </w:tcMar>
          </w:tcPr>
          <w:p>
            <w:r>
              <w:rPr>
                <w:rFonts w:ascii="Calibri" w:hAnsi="Calibri"/>
              </w:rPr>
              <w:t>Q13</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The employer must prove on a balance of probabilities that the employee committed the misconduct</w:t>
            </w:r>
          </w:p>
        </w:tc>
        <w:tc>
          <w:tcPr>
            <w:tcW w:type="dxa" w:w="4320"/>
            <w:tcMar>
              <w:top w:w="60" w:type="dxa"/>
              <w:bottom w:w="60" w:type="dxa"/>
              <w:left w:w="80" w:type="dxa"/>
              <w:right w:w="80" w:type="dxa"/>
            </w:tcMar>
          </w:tcPr>
          <w:p>
            <w:r>
              <w:rPr>
                <w:rFonts w:ascii="Calibri" w:hAnsi="Calibri"/>
              </w:rPr>
              <w:t>The onus/burden of proof rests firmly on the employer in labour disputes alleging misconduct.</w:t>
            </w:r>
          </w:p>
        </w:tc>
      </w:tr>
      <w:tr>
        <w:tc>
          <w:tcPr>
            <w:tcW w:type="dxa" w:w="864"/>
            <w:tcMar>
              <w:top w:w="60" w:type="dxa"/>
              <w:bottom w:w="60" w:type="dxa"/>
              <w:left w:w="80" w:type="dxa"/>
              <w:right w:w="80" w:type="dxa"/>
            </w:tcMar>
          </w:tcPr>
          <w:p>
            <w:r>
              <w:rPr>
                <w:rFonts w:ascii="Calibri" w:hAnsi="Calibri"/>
              </w:rPr>
              <w:t>Q14</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Protection of Personal Information Act (POPIA)</w:t>
            </w:r>
          </w:p>
        </w:tc>
        <w:tc>
          <w:tcPr>
            <w:tcW w:type="dxa" w:w="4320"/>
            <w:tcMar>
              <w:top w:w="60" w:type="dxa"/>
              <w:bottom w:w="60" w:type="dxa"/>
              <w:left w:w="80" w:type="dxa"/>
              <w:right w:w="80" w:type="dxa"/>
            </w:tcMar>
          </w:tcPr>
          <w:p>
            <w:r>
              <w:rPr>
                <w:rFonts w:ascii="Calibri" w:hAnsi="Calibri"/>
              </w:rPr>
              <w:t>POPIA regulates the processing, storage, and confidentiality of personal employee records.</w:t>
            </w:r>
          </w:p>
        </w:tc>
      </w:tr>
      <w:tr>
        <w:tc>
          <w:tcPr>
            <w:tcW w:type="dxa" w:w="864"/>
            <w:tcMar>
              <w:top w:w="60" w:type="dxa"/>
              <w:bottom w:w="60" w:type="dxa"/>
              <w:left w:w="80" w:type="dxa"/>
              <w:right w:w="80" w:type="dxa"/>
            </w:tcMar>
          </w:tcPr>
          <w:p>
            <w:r>
              <w:rPr>
                <w:rFonts w:ascii="Calibri" w:hAnsi="Calibri"/>
              </w:rPr>
              <w:t>Q15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It is final and legally binding on both parties, carrying the same weight as an order of the Labour Court</w:t>
            </w:r>
          </w:p>
        </w:tc>
        <w:tc>
          <w:tcPr>
            <w:tcW w:type="dxa" w:w="4320"/>
            <w:tcMar>
              <w:top w:w="60" w:type="dxa"/>
              <w:bottom w:w="60" w:type="dxa"/>
              <w:left w:w="80" w:type="dxa"/>
              <w:right w:w="80" w:type="dxa"/>
            </w:tcMar>
          </w:tcPr>
          <w:p>
            <w:r>
              <w:rPr>
                <w:rFonts w:ascii="Calibri" w:hAnsi="Calibri"/>
              </w:rPr>
              <w:t>CCMA Arbitration Awards are legally binding and final under Section 143 of the LRA.</w:t>
            </w:r>
          </w:p>
        </w:tc>
      </w:tr>
    </w:tbl>
    <w:p>
      <w:pPr>
        <w:spacing w:after="240"/>
      </w:pPr>
    </w:p>
    <w:p>
      <w:pPr>
        <w:keepNext/>
        <w:spacing w:before="320" w:after="120"/>
      </w:pPr>
      <w:r>
        <w:rPr>
          <w:rFonts w:ascii="Arial" w:hAnsi="Arial"/>
          <w:b/>
          <w:color w:val="B43214"/>
          <w:sz w:val="32"/>
        </w:rPr>
        <w:t>SECTION 3: SECTION B - TRUE / FALSE MARKING MEMO (20 MARKS)</w:t>
      </w:r>
    </w:p>
    <w:p>
      <w:pPr>
        <w:keepNext/>
        <w:spacing w:after="40"/>
      </w:pPr>
      <w:r>
        <w:rPr>
          <w:rFonts w:ascii="Calibri" w:hAnsi="Calibri"/>
          <w:b/>
          <w:sz w:val="21"/>
        </w:rPr>
        <w:t>Statement 1: FALSE</w:t>
      </w:r>
    </w:p>
    <w:p>
      <w:pPr>
        <w:spacing w:after="120"/>
        <w:ind w:left="288"/>
      </w:pPr>
      <w:r>
        <w:rPr>
          <w:rFonts w:ascii="Calibri" w:hAnsi="Calibri"/>
          <w:sz w:val="19"/>
        </w:rPr>
        <w:t>Marking Key: 1 Mark for Status + 3 Marks for Justification.</w:t>
        <w:br/>
        <w:t>Model Rationale: Under Schedule 8 of the Labour Relations Act (Code of Good Practice: Dismissal), every employee is entitled to procedural fairness prior to dismissal, including a thorough investigation, written notice of charges, time to prepare, a hearing to state their case, representation, and written notification of the outcome. Unilateral summary dismissal without a hearing is procedurally unfair.</w:t>
      </w:r>
    </w:p>
    <w:p>
      <w:pPr>
        <w:keepNext/>
        <w:spacing w:after="40"/>
      </w:pPr>
      <w:r>
        <w:rPr>
          <w:rFonts w:ascii="Calibri" w:hAnsi="Calibri"/>
          <w:b/>
          <w:sz w:val="21"/>
        </w:rPr>
        <w:t>Statement 2: FALSE</w:t>
      </w:r>
    </w:p>
    <w:p>
      <w:pPr>
        <w:spacing w:after="120"/>
        <w:ind w:left="288"/>
      </w:pPr>
      <w:r>
        <w:rPr>
          <w:rFonts w:ascii="Calibri" w:hAnsi="Calibri"/>
          <w:sz w:val="19"/>
        </w:rPr>
        <w:t>Marking Key: 1 Mark for Status + 3 Marks for Justification.</w:t>
        <w:br/>
        <w:t>Model Rationale: Shop stewards do not enjoy legal immunity for personal misconduct. While they have protection when performing legitimate trade union functions, they remain employees bound by the employer's disciplinary code for acts of misconduct (e.g., dishonesty, assault, gross insubordination). However, LRA guidelines require informing the union prior to initiating formal proceedings against a shop steward.</w:t>
      </w:r>
    </w:p>
    <w:p>
      <w:pPr>
        <w:keepNext/>
        <w:spacing w:after="40"/>
      </w:pPr>
      <w:r>
        <w:rPr>
          <w:rFonts w:ascii="Calibri" w:hAnsi="Calibri"/>
          <w:b/>
          <w:sz w:val="21"/>
        </w:rPr>
        <w:t>Statement 3: TRUE</w:t>
      </w:r>
    </w:p>
    <w:p>
      <w:pPr>
        <w:spacing w:after="120"/>
        <w:ind w:left="288"/>
      </w:pPr>
      <w:r>
        <w:rPr>
          <w:rFonts w:ascii="Calibri" w:hAnsi="Calibri"/>
          <w:sz w:val="19"/>
        </w:rPr>
        <w:t>Marking Key: 1 Mark for Status + 3 Marks for Justification.</w:t>
        <w:br/>
        <w:t>Model Rationale: Under South African contract law and constitutional principles, any contractual clause that violates statutory labour law (such as paying below the National Minimum Wage Act or waiving basic BCEA rights) is illegal, void ab initio, and unenforceable.</w:t>
      </w:r>
    </w:p>
    <w:p>
      <w:pPr>
        <w:keepNext/>
        <w:spacing w:after="40"/>
      </w:pPr>
      <w:r>
        <w:rPr>
          <w:rFonts w:ascii="Calibri" w:hAnsi="Calibri"/>
          <w:b/>
          <w:sz w:val="21"/>
        </w:rPr>
        <w:t>Statement 4: FALSE</w:t>
      </w:r>
    </w:p>
    <w:p>
      <w:pPr>
        <w:spacing w:after="120"/>
        <w:ind w:left="288"/>
      </w:pPr>
      <w:r>
        <w:rPr>
          <w:rFonts w:ascii="Calibri" w:hAnsi="Calibri"/>
          <w:sz w:val="19"/>
        </w:rPr>
        <w:t>Marking Key: 1 Mark for Status + 3 Marks for Justification.</w:t>
        <w:br/>
        <w:t>Model Rationale: Conciliation and arbitration are distinct CCMA processes. Conciliation is a voluntary, non-binding facilitation process. If conciliation fails, the commissioner issues a certificate of outcome. Arbitration is a separate formal hearing where both parties present evidence, call witnesses, and cross-examine before a binding award is made.</w:t>
      </w:r>
    </w:p>
    <w:p>
      <w:pPr>
        <w:keepNext/>
        <w:spacing w:after="40"/>
      </w:pPr>
      <w:r>
        <w:rPr>
          <w:rFonts w:ascii="Calibri" w:hAnsi="Calibri"/>
          <w:b/>
          <w:sz w:val="21"/>
        </w:rPr>
        <w:t>Statement 5: TRUE</w:t>
      </w:r>
    </w:p>
    <w:p>
      <w:pPr>
        <w:spacing w:after="120"/>
        <w:ind w:left="288"/>
      </w:pPr>
      <w:r>
        <w:rPr>
          <w:rFonts w:ascii="Calibri" w:hAnsi="Calibri"/>
          <w:sz w:val="19"/>
        </w:rPr>
        <w:t>Marking Key: 1 Mark for Status + 3 Marks for Justification.</w:t>
        <w:br/>
        <w:t>Model Rationale: According to the SABPP Employment Relations Management Application Standard, effective organized labour management requires establishing consultative forums, maintaining open communication channels, adhering to collective bargaining agreements, and respecting shop steward statutory rights under LRA Section 14.</w:t>
      </w:r>
    </w:p>
    <w:p>
      <w:pPr>
        <w:spacing w:after="240"/>
      </w:pPr>
    </w:p>
    <w:p>
      <w:pPr>
        <w:keepNext/>
        <w:spacing w:before="320" w:after="120"/>
      </w:pPr>
      <w:r>
        <w:rPr>
          <w:rFonts w:ascii="Arial" w:hAnsi="Arial"/>
          <w:b/>
          <w:color w:val="B43214"/>
          <w:sz w:val="32"/>
        </w:rPr>
        <w:t>SECTION 4: SECTION C - SHORT QUESTIONS MARKING MEMO (15 MARKS)</w:t>
      </w:r>
    </w:p>
    <w:p>
      <w:pPr>
        <w:keepNext/>
        <w:spacing w:after="40"/>
      </w:pPr>
      <w:r>
        <w:rPr>
          <w:rFonts w:ascii="Calibri" w:hAnsi="Calibri"/>
          <w:b/>
          <w:sz w:val="21"/>
        </w:rPr>
        <w:t>Q1 Model Answer (Procedural Steps for Disciplinary Hearings)</w:t>
      </w:r>
    </w:p>
    <w:p>
      <w:pPr>
        <w:spacing w:after="120"/>
        <w:ind w:left="288"/>
      </w:pPr>
      <w:r>
        <w:rPr>
          <w:rFonts w:ascii="Calibri" w:hAnsi="Calibri"/>
          <w:sz w:val="19"/>
        </w:rPr>
        <w:t>Model Answer Criteria (Award 1 Mark per step fully explained):</w:t>
        <w:br/>
        <w:t>1. Investigation &amp; Charge Specificity: Conduct impartial investigation and formulate clear written allegations.</w:t>
        <w:br/>
        <w:t>2. Proper Written Notice: Issue Notice of Hearing at least 3 working days in advance outlining date, time, venue, allegations, and rights.</w:t>
        <w:br/>
        <w:t>3. Right to Representation &amp; Preparation: Ensure employee has the right to be represented by a fellow employee or shop steward and adequate time to prepare.</w:t>
        <w:br/>
        <w:t>4. Impartial Hearing &amp; Right to be Heard: Convene a hearing led by an impartial chairperson where the employee can present evidence, call witnesses, and cross-examine.</w:t>
        <w:br/>
        <w:t>5. Finding, Sanction &amp; Right to Appeal: Issue written finding based on balance of probabilities, state proportionate sanction, and inform employee of internal appeal/CCMA referral rights.</w:t>
      </w:r>
    </w:p>
    <w:p>
      <w:pPr>
        <w:keepNext/>
        <w:spacing w:after="40"/>
      </w:pPr>
      <w:r>
        <w:rPr>
          <w:rFonts w:ascii="Calibri" w:hAnsi="Calibri"/>
          <w:b/>
          <w:sz w:val="21"/>
        </w:rPr>
        <w:t>Q2 Model Answer (Shop Steward Rights under LRA Section 14)</w:t>
      </w:r>
    </w:p>
    <w:p>
      <w:pPr>
        <w:spacing w:after="120"/>
        <w:ind w:left="288"/>
      </w:pPr>
      <w:r>
        <w:rPr>
          <w:rFonts w:ascii="Calibri" w:hAnsi="Calibri"/>
          <w:sz w:val="19"/>
        </w:rPr>
        <w:t>Model Answer Criteria (Award 1.67 Marks per right fully explained):</w:t>
        <w:br/>
        <w:t>1. Time Off for Union Duties: Reasonable paid time off during working hours to perform union functions and attend union training.</w:t>
        <w:br/>
        <w:t>2. Workplace Access &amp; Facilities: Access to company premises, meeting rooms, notice boards, and communication tools to engage union members.</w:t>
        <w:br/>
        <w:t>3. Access to Information: Right to request relevant, non-confidential company information necessary for collective bargaining or representation.</w:t>
      </w:r>
    </w:p>
    <w:p>
      <w:pPr>
        <w:keepNext/>
        <w:spacing w:after="40"/>
      </w:pPr>
      <w:r>
        <w:rPr>
          <w:rFonts w:ascii="Calibri" w:hAnsi="Calibri"/>
          <w:b/>
          <w:sz w:val="21"/>
        </w:rPr>
        <w:t>Q3 Model Answer (Problem Identification Techniques for Safety Grievances)</w:t>
      </w:r>
    </w:p>
    <w:p>
      <w:pPr>
        <w:spacing w:after="120"/>
        <w:ind w:left="288"/>
      </w:pPr>
      <w:r>
        <w:rPr>
          <w:rFonts w:ascii="Calibri" w:hAnsi="Calibri"/>
          <w:sz w:val="19"/>
        </w:rPr>
        <w:t>Model Answer Criteria (Award 2.5 Marks per technique fully detailed):</w:t>
        <w:br/>
        <w:t>1. Grievance &amp; Complaint Tracking Analysis: Systematic logging and trend analysis of submitted formal/informal safety complaints to pinpoint recurring hazards.</w:t>
        <w:br/>
        <w:t>2. Joint Safety / ER Audits &amp; Stay Interviews: Periodic joint workplace audits with shop stewards and conducting stay interviews with factory workers to uncover hidden dissatisfaction before industrial action occurs.</w:t>
      </w:r>
    </w:p>
    <w:p>
      <w:pPr>
        <w:spacing w:after="240"/>
      </w:pPr>
    </w:p>
    <w:p>
      <w:pPr>
        <w:keepNext/>
        <w:spacing w:before="320" w:after="120"/>
      </w:pPr>
      <w:r>
        <w:rPr>
          <w:rFonts w:ascii="Arial" w:hAnsi="Arial"/>
          <w:b/>
          <w:color w:val="B43214"/>
          <w:sz w:val="32"/>
        </w:rPr>
        <w:t>SECTION 5: SECTION D - COMPREHENSIVE RUBRIC &amp; MODEL ANSWERS (50 MARKS)</w:t>
      </w:r>
    </w:p>
    <w:tbl>
      <w:tblPr>
        <w:tblW w:type="auto" w:w="0"/>
        <w:jc w:val="center"/>
        <w:tblLook w:firstColumn="1" w:firstRow="1" w:lastColumn="0" w:lastRow="0" w:noHBand="0" w:noVBand="1" w:val="04A0"/>
      </w:tblPr>
      <w:tblGrid>
        <w:gridCol w:w="3120"/>
        <w:gridCol w:w="3120"/>
        <w:gridCol w:w="3120"/>
      </w:tblGrid>
      <w:tr>
        <w:tc>
          <w:tcPr>
            <w:tcW w:type="dxa" w:w="2592"/>
            <w:shd w:fill="B43214"/>
          </w:tcPr>
          <w:p>
            <w:r>
              <w:rPr>
                <w:color w:val="FFFFFF"/>
              </w:rPr>
              <w:t>Sub-Section &amp; Focus</w:t>
            </w:r>
          </w:p>
        </w:tc>
        <w:tc>
          <w:tcPr>
            <w:tcW w:type="dxa" w:w="1440"/>
            <w:shd w:fill="B43214"/>
          </w:tcPr>
          <w:p>
            <w:r>
              <w:rPr>
                <w:color w:val="FFFFFF"/>
              </w:rPr>
              <w:t>Marks</w:t>
            </w:r>
          </w:p>
        </w:tc>
        <w:tc>
          <w:tcPr>
            <w:tcW w:type="dxa" w:w="5328"/>
            <w:shd w:fill="B43214"/>
          </w:tcPr>
          <w:p>
            <w:r>
              <w:rPr>
                <w:color w:val="FFFFFF"/>
              </w:rPr>
              <w:t>Assessment Criteria &amp; Expected Depth</w:t>
            </w:r>
          </w:p>
        </w:tc>
      </w:tr>
      <w:tr>
        <w:tc>
          <w:tcPr>
            <w:tcW w:type="dxa" w:w="2592"/>
          </w:tcPr>
          <w:p>
            <w:r>
              <w:rPr>
                <w:rFonts w:ascii="Calibri" w:hAnsi="Calibri"/>
                <w:b/>
              </w:rPr>
              <w:t>D1: Disciplinary &amp; Grievance SOP &amp; Legislative Compliance</w:t>
            </w:r>
          </w:p>
        </w:tc>
        <w:tc>
          <w:tcPr>
            <w:tcW w:type="dxa" w:w="1440"/>
          </w:tcPr>
          <w:p>
            <w:r>
              <w:rPr>
                <w:rFonts w:ascii="Calibri" w:hAnsi="Calibri"/>
                <w:b/>
              </w:rPr>
              <w:t>13 Marks</w:t>
            </w:r>
          </w:p>
        </w:tc>
        <w:tc>
          <w:tcPr>
            <w:tcW w:type="dxa" w:w="5328"/>
          </w:tcPr>
          <w:p>
            <w:r>
              <w:rPr>
                <w:rFonts w:ascii="Calibri" w:hAnsi="Calibri"/>
              </w:rPr>
              <w:t>• Legally compliant SOP for disciplinary hearings under LRA Schedule 8 (4m)</w:t>
              <w:br/>
              <w:t>• Multi-stage formal Grievance procedure with escalation timelines (3m)</w:t>
              <w:br/>
              <w:t>• Application of burden of proof (balance of probabilities) &amp; evidence collection (3m)</w:t>
              <w:br/>
              <w:t>• Record-keeping, POPIA data protection, and file security protocols (3m)</w:t>
            </w:r>
          </w:p>
        </w:tc>
      </w:tr>
      <w:tr>
        <w:tc>
          <w:tcPr>
            <w:tcW w:type="dxa" w:w="2592"/>
          </w:tcPr>
          <w:p>
            <w:r>
              <w:rPr>
                <w:rFonts w:ascii="Calibri" w:hAnsi="Calibri"/>
                <w:b/>
              </w:rPr>
              <w:t>D2: Collective Bargaining &amp; Integrative Negotiation</w:t>
            </w:r>
          </w:p>
        </w:tc>
        <w:tc>
          <w:tcPr>
            <w:tcW w:type="dxa" w:w="1440"/>
          </w:tcPr>
          <w:p>
            <w:r>
              <w:rPr>
                <w:rFonts w:ascii="Calibri" w:hAnsi="Calibri"/>
                <w:b/>
              </w:rPr>
              <w:t>13 Marks</w:t>
            </w:r>
          </w:p>
        </w:tc>
        <w:tc>
          <w:tcPr>
            <w:tcW w:type="dxa" w:w="5328"/>
          </w:tcPr>
          <w:p>
            <w:r>
              <w:rPr>
                <w:rFonts w:ascii="Calibri" w:hAnsi="Calibri"/>
              </w:rPr>
              <w:t>• Transitioning from Distributive to Integrative (Win-Win) bargaining (4m)</w:t>
              <w:br/>
              <w:t>• Formulating bargaining mandate, BATNA, opening offers, concessions (3m)</w:t>
              <w:br/>
              <w:t>• Role of HR Officer before, during, and post-negotiation (3m)</w:t>
              <w:br/>
              <w:t>• Managing Bargaining Council / Company agreements under LRA Sec 23 (3m)</w:t>
            </w:r>
          </w:p>
        </w:tc>
      </w:tr>
      <w:tr>
        <w:tc>
          <w:tcPr>
            <w:tcW w:type="dxa" w:w="2592"/>
          </w:tcPr>
          <w:p>
            <w:r>
              <w:rPr>
                <w:rFonts w:ascii="Calibri" w:hAnsi="Calibri"/>
                <w:b/>
              </w:rPr>
              <w:t>D3: Organised Labour Relationships &amp; Forum Facilitation</w:t>
            </w:r>
          </w:p>
        </w:tc>
        <w:tc>
          <w:tcPr>
            <w:tcW w:type="dxa" w:w="1440"/>
          </w:tcPr>
          <w:p>
            <w:r>
              <w:rPr>
                <w:rFonts w:ascii="Calibri" w:hAnsi="Calibri"/>
                <w:b/>
              </w:rPr>
              <w:t>12 Marks</w:t>
            </w:r>
          </w:p>
        </w:tc>
        <w:tc>
          <w:tcPr>
            <w:tcW w:type="dxa" w:w="5328"/>
          </w:tcPr>
          <w:p>
            <w:r>
              <w:rPr>
                <w:rFonts w:ascii="Calibri" w:hAnsi="Calibri"/>
              </w:rPr>
              <w:t>• SABPP ERM Standard operationalisation to restore workplace trust (3m)</w:t>
              <w:br/>
              <w:t>• Coordinating SDC, EEC, and Workplace Forums (3m)</w:t>
              <w:br/>
              <w:t>• Structured shop steward engagement balancing union rights vs duties (3m)</w:t>
              <w:br/>
              <w:t>• Conflict de-escalation framework using EQ and active listening (3m)</w:t>
            </w:r>
          </w:p>
        </w:tc>
      </w:tr>
      <w:tr>
        <w:tc>
          <w:tcPr>
            <w:tcW w:type="dxa" w:w="2592"/>
          </w:tcPr>
          <w:p>
            <w:r>
              <w:rPr>
                <w:rFonts w:ascii="Calibri" w:hAnsi="Calibri"/>
                <w:b/>
              </w:rPr>
              <w:t>D4: ER Analytics, CCMA Dispute Governance &amp; Auditing</w:t>
            </w:r>
          </w:p>
        </w:tc>
        <w:tc>
          <w:tcPr>
            <w:tcW w:type="dxa" w:w="1440"/>
          </w:tcPr>
          <w:p>
            <w:r>
              <w:rPr>
                <w:rFonts w:ascii="Calibri" w:hAnsi="Calibri"/>
                <w:b/>
              </w:rPr>
              <w:t>12 Marks</w:t>
            </w:r>
          </w:p>
        </w:tc>
        <w:tc>
          <w:tcPr>
            <w:tcW w:type="dxa" w:w="5328"/>
          </w:tcPr>
          <w:p>
            <w:r>
              <w:rPr>
                <w:rFonts w:ascii="Calibri" w:hAnsi="Calibri"/>
              </w:rPr>
              <w:t>• CCMA dispute management (Conciliation, Con-Arb, Arbitration prep) (3m)</w:t>
              <w:br/>
              <w:t>• 5 core ER People Analytics metrics with formulas &amp; targets (4m)</w:t>
              <w:br/>
              <w:t>• Periodic ERM compliance audit methodology for line managers (3m)</w:t>
              <w:br/>
              <w:t>• Continuous improvement feedback loops aligning ER with business strategy (2m)</w:t>
            </w:r>
          </w:p>
        </w:tc>
      </w:tr>
    </w:tbl>
    <w:p>
      <w:pPr>
        <w:spacing w:after="280"/>
      </w:pPr>
    </w:p>
    <w:p>
      <w:pPr>
        <w:keepNext/>
        <w:spacing w:before="320" w:after="120"/>
      </w:pPr>
      <w:r>
        <w:rPr>
          <w:rFonts w:ascii="Arial" w:hAnsi="Arial"/>
          <w:b/>
          <w:color w:val="B43214"/>
          <w:sz w:val="32"/>
        </w:rPr>
        <w:t>SECTION 6: ASSESSOR RESULT SUMMARY &amp; RECORDING FORM</w:t>
      </w:r>
    </w:p>
    <w:tbl>
      <w:tblPr>
        <w:tblW w:type="auto" w:w="0"/>
        <w:jc w:val="center"/>
        <w:tblLook w:firstColumn="1" w:firstRow="1" w:lastColumn="0" w:lastRow="0" w:noHBand="0" w:noVBand="1" w:val="04A0"/>
      </w:tblPr>
      <w:tblGrid>
        <w:gridCol w:w="2340"/>
        <w:gridCol w:w="2340"/>
        <w:gridCol w:w="2340"/>
        <w:gridCol w:w="2340"/>
      </w:tblGrid>
      <w:tr>
        <w:tc>
          <w:tcPr>
            <w:tcW w:type="dxa" w:w="3600"/>
            <w:shd w:fill="B43214"/>
          </w:tcPr>
          <w:p>
            <w:pPr>
              <w:spacing w:after="0"/>
            </w:pPr>
            <w:r>
              <w:rPr>
                <w:rFonts w:ascii="Arial" w:hAnsi="Arial"/>
                <w:b/>
                <w:color w:val="FFFFFF"/>
                <w:sz w:val="18"/>
              </w:rPr>
              <w:t>Assessment Section</w:t>
            </w:r>
          </w:p>
        </w:tc>
        <w:tc>
          <w:tcPr>
            <w:tcW w:type="dxa" w:w="1728"/>
            <w:shd w:fill="B43214"/>
          </w:tcPr>
          <w:p>
            <w:pPr>
              <w:spacing w:after="0"/>
            </w:pPr>
            <w:r>
              <w:rPr>
                <w:rFonts w:ascii="Arial" w:hAnsi="Arial"/>
                <w:b/>
                <w:color w:val="FFFFFF"/>
                <w:sz w:val="18"/>
              </w:rPr>
              <w:t>Total Marks</w:t>
            </w:r>
          </w:p>
        </w:tc>
        <w:tc>
          <w:tcPr>
            <w:tcW w:type="dxa" w:w="1728"/>
            <w:shd w:fill="B43214"/>
          </w:tcPr>
          <w:p>
            <w:pPr>
              <w:spacing w:after="0"/>
            </w:pPr>
            <w:r>
              <w:rPr>
                <w:rFonts w:ascii="Arial" w:hAnsi="Arial"/>
                <w:b/>
                <w:color w:val="FFFFFF"/>
                <w:sz w:val="18"/>
              </w:rPr>
              <w:t>Learner Score</w:t>
            </w:r>
          </w:p>
        </w:tc>
        <w:tc>
          <w:tcPr>
            <w:tcW w:type="dxa" w:w="2304"/>
            <w:shd w:fill="B43214"/>
          </w:tcPr>
          <w:p>
            <w:pPr>
              <w:spacing w:after="0"/>
            </w:pPr>
            <w:r>
              <w:rPr>
                <w:rFonts w:ascii="Arial" w:hAnsi="Arial"/>
                <w:b/>
                <w:color w:val="FFFFFF"/>
                <w:sz w:val="18"/>
              </w:rPr>
              <w:t>Result (C / NYC)</w:t>
            </w:r>
          </w:p>
        </w:tc>
      </w:tr>
      <w:tr>
        <w:tc>
          <w:tcPr>
            <w:tcW w:type="dxa" w:w="3600"/>
            <w:tcMar>
              <w:top w:w="60" w:type="dxa"/>
              <w:bottom w:w="60" w:type="dxa"/>
              <w:left w:w="80" w:type="dxa"/>
              <w:right w:w="80" w:type="dxa"/>
            </w:tcMar>
          </w:tcPr>
          <w:p>
            <w:r>
              <w:rPr>
                <w:rFonts w:ascii="Calibri" w:hAnsi="Calibri"/>
                <w:b w:val="0"/>
              </w:rPr>
              <w:t>Section A: Multiple Choice Questions</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B: True / False with Justification</w:t>
            </w:r>
          </w:p>
        </w:tc>
        <w:tc>
          <w:tcPr>
            <w:tcW w:type="dxa" w:w="1728"/>
            <w:tcMar>
              <w:top w:w="60" w:type="dxa"/>
              <w:bottom w:w="60" w:type="dxa"/>
              <w:left w:w="80" w:type="dxa"/>
              <w:right w:w="80" w:type="dxa"/>
            </w:tcMar>
          </w:tcPr>
          <w:p>
            <w:r>
              <w:rPr>
                <w:rFonts w:ascii="Calibri" w:hAnsi="Calibri"/>
                <w:b w:val="0"/>
              </w:rPr>
              <w:t>20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C: Scenario Short Questions (Makhado)</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D: Strategic Long Question (4 Sub-sections)</w:t>
            </w:r>
          </w:p>
        </w:tc>
        <w:tc>
          <w:tcPr>
            <w:tcW w:type="dxa" w:w="1728"/>
            <w:tcMar>
              <w:top w:w="60" w:type="dxa"/>
              <w:bottom w:w="60" w:type="dxa"/>
              <w:left w:w="80" w:type="dxa"/>
              <w:right w:w="80" w:type="dxa"/>
            </w:tcMar>
          </w:tcPr>
          <w:p>
            <w:r>
              <w:rPr>
                <w:rFonts w:ascii="Calibri" w:hAnsi="Calibri"/>
                <w:b w:val="0"/>
              </w:rPr>
              <w:t>50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TOTAL OVERALL SCORE</w:t>
            </w:r>
          </w:p>
        </w:tc>
        <w:tc>
          <w:tcPr>
            <w:tcW w:type="dxa" w:w="1728"/>
            <w:tcMar>
              <w:top w:w="60" w:type="dxa"/>
              <w:bottom w:w="60" w:type="dxa"/>
              <w:left w:w="80" w:type="dxa"/>
              <w:right w:w="80" w:type="dxa"/>
            </w:tcMar>
          </w:tcPr>
          <w:p>
            <w:r>
              <w:rPr>
                <w:rFonts w:ascii="Calibri" w:hAnsi="Calibri"/>
                <w:b/>
              </w:rPr>
              <w:t>100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bl>
    <w:p>
      <w:pPr>
        <w:spacing w:after="200"/>
      </w:pPr>
    </w:p>
    <w:p>
      <w:pPr>
        <w:keepNext/>
        <w:spacing w:before="240" w:after="80"/>
      </w:pPr>
      <w:r>
        <w:rPr>
          <w:rFonts w:ascii="Arial" w:hAnsi="Arial"/>
          <w:b/>
          <w:color w:val="C8501E"/>
          <w:sz w:val="26"/>
        </w:rPr>
        <w:t>CONSTRUCTIVE ASSESSOR FEEDBACK &amp; MODERATION NOTES:</w:t>
      </w:r>
    </w:p>
    <w:p>
      <w:pPr>
        <w:spacing w:after="240"/>
      </w:pPr>
      <w:r>
        <w:rPr>
          <w:rFonts w:ascii="Calibri" w:hAnsi="Calibri"/>
          <w:color w:val="969696"/>
          <w:sz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r>
              <w:rPr>
                <w:rFonts w:ascii="Calibri" w:hAnsi="Calibri"/>
              </w:rPr>
              <w:t>Assessor Signature: ______________________</w:t>
            </w:r>
          </w:p>
        </w:tc>
        <w:tc>
          <w:tcPr>
            <w:tcW w:type="dxa" w:w="4680"/>
            <w:tcMar>
              <w:top w:w="60" w:type="dxa"/>
              <w:bottom w:w="60" w:type="dxa"/>
              <w:left w:w="80" w:type="dxa"/>
              <w:right w:w="80" w:type="dxa"/>
            </w:tcMar>
          </w:tcPr>
          <w:p>
            <w:r>
              <w:rPr>
                <w:rFonts w:ascii="Calibri" w:hAnsi="Calibri"/>
              </w:rPr>
              <w:t>Date: ________________________</w:t>
            </w:r>
          </w:p>
        </w:tc>
      </w:tr>
      <w:tr>
        <w:tc>
          <w:tcPr>
            <w:tcW w:type="dxa" w:w="4680"/>
            <w:tcMar>
              <w:top w:w="60" w:type="dxa"/>
              <w:bottom w:w="60" w:type="dxa"/>
              <w:left w:w="80" w:type="dxa"/>
              <w:right w:w="80" w:type="dxa"/>
            </w:tcMar>
          </w:tcPr>
          <w:p>
            <w:r>
              <w:rPr>
                <w:rFonts w:ascii="Calibri" w:hAnsi="Calibri"/>
              </w:rPr>
              <w:t>Moderator Signature: ____________________</w:t>
            </w:r>
          </w:p>
        </w:tc>
        <w:tc>
          <w:tcPr>
            <w:tcW w:type="dxa" w:w="4680"/>
            <w:tcMar>
              <w:top w:w="60" w:type="dxa"/>
              <w:bottom w:w="60" w:type="dxa"/>
              <w:left w:w="80" w:type="dxa"/>
              <w:right w:w="80" w:type="dxa"/>
            </w:tcMar>
          </w:tcPr>
          <w:p>
            <w:r>
              <w:rPr>
                <w:rFonts w:ascii="Calibri" w:hAnsi="Calibri"/>
              </w:rPr>
              <w:t>Date: 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