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B43214"/>
            <w:tcMar>
              <w:top w:w="80" w:type="dxa"/>
              <w:bottom w:w="80" w:type="dxa"/>
              <w:left w:w="120" w:type="dxa"/>
              <w:right w:w="120" w:type="dxa"/>
            </w:tcMar>
          </w:tcPr>
          <w:p>
            <w:pPr>
              <w:spacing w:after="0"/>
            </w:pPr>
            <w:r>
              <w:rPr>
                <w:rFonts w:ascii="Arial" w:hAnsi="Arial"/>
                <w:b/>
                <w:color w:val="FFFFFF"/>
                <w:sz w:val="19"/>
              </w:rPr>
              <w:t>INSTITUTION:</w:t>
            </w:r>
          </w:p>
        </w:tc>
        <w:tc>
          <w:tcPr>
            <w:tcW w:type="dxa" w:w="6192"/>
            <w:shd w:fill="FDF0ED"/>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FDF0ED"/>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FDF0ED"/>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MODULES ASSESSED:</w:t>
            </w:r>
          </w:p>
        </w:tc>
        <w:tc>
          <w:tcPr>
            <w:tcW w:type="dxa" w:w="6192"/>
            <w:shd w:fill="FDF0ED"/>
            <w:tcMar>
              <w:top w:w="80" w:type="dxa"/>
              <w:bottom w:w="80" w:type="dxa"/>
              <w:left w:w="120" w:type="dxa"/>
              <w:right w:w="120" w:type="dxa"/>
            </w:tcMar>
          </w:tcPr>
          <w:p>
            <w:pPr>
              <w:spacing w:after="0"/>
            </w:pPr>
            <w:r>
              <w:rPr>
                <w:rFonts w:ascii="Calibri" w:hAnsi="Calibri"/>
                <w:b w:val="0"/>
                <w:color w:val="222222"/>
                <w:sz w:val="20"/>
              </w:rPr>
              <w:t>KM-04 (Implementing Employment Relations Strategies, NQF L6, 20 Credits)</w:t>
              <w:br/>
              <w:t>PM-04 (Operationalise Employment Relations Strategies &amp; Plans, NQF L6, 10 Credits)</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ASSESSMENT TYPE:</w:t>
            </w:r>
          </w:p>
        </w:tc>
        <w:tc>
          <w:tcPr>
            <w:tcW w:type="dxa" w:w="6192"/>
            <w:shd w:fill="FDF0ED"/>
            <w:tcMar>
              <w:top w:w="80" w:type="dxa"/>
              <w:bottom w:w="80" w:type="dxa"/>
              <w:left w:w="120" w:type="dxa"/>
              <w:right w:w="120" w:type="dxa"/>
            </w:tcMar>
          </w:tcPr>
          <w:p>
            <w:pPr>
              <w:spacing w:after="0"/>
            </w:pPr>
            <w:r>
              <w:rPr>
                <w:rFonts w:ascii="Calibri" w:hAnsi="Calibri"/>
                <w:b/>
                <w:color w:val="222222"/>
                <w:sz w:val="20"/>
              </w:rPr>
              <w:t>Internal Summative Assessment Script (SU 4 - Version 1)</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TOTAL MARKS &amp; TIME:</w:t>
            </w:r>
          </w:p>
        </w:tc>
        <w:tc>
          <w:tcPr>
            <w:tcW w:type="dxa" w:w="6192"/>
            <w:shd w:fill="FDF0ED"/>
            <w:tcMar>
              <w:top w:w="80" w:type="dxa"/>
              <w:bottom w:w="80" w:type="dxa"/>
              <w:left w:w="120" w:type="dxa"/>
              <w:right w:w="120" w:type="dxa"/>
            </w:tcMar>
          </w:tcPr>
          <w:p>
            <w:pPr>
              <w:spacing w:after="0"/>
            </w:pPr>
            <w:r>
              <w:rPr>
                <w:rFonts w:ascii="Calibri" w:hAnsi="Calibri"/>
                <w:b/>
                <w:color w:val="222222"/>
                <w:sz w:val="20"/>
              </w:rPr>
              <w:t>100 Marks | Pass Mark: 75% (75 Marks) | Duration: 2.5 Hours</w:t>
            </w:r>
          </w:p>
        </w:tc>
      </w:tr>
      <w:tr>
        <w:tc>
          <w:tcPr>
            <w:tcW w:type="dxa" w:w="3168"/>
            <w:shd w:fill="B43214"/>
            <w:tcMar>
              <w:top w:w="80" w:type="dxa"/>
              <w:bottom w:w="80" w:type="dxa"/>
              <w:left w:w="120" w:type="dxa"/>
              <w:right w:w="120" w:type="dxa"/>
            </w:tcMar>
          </w:tcPr>
          <w:p>
            <w:pPr>
              <w:spacing w:after="0"/>
            </w:pPr>
            <w:r>
              <w:rPr>
                <w:rFonts w:ascii="Arial" w:hAnsi="Arial"/>
                <w:b/>
                <w:color w:val="FFFFFF"/>
                <w:sz w:val="19"/>
              </w:rPr>
              <w:t>LEARNER NAME &amp; ID:</w:t>
            </w:r>
          </w:p>
        </w:tc>
        <w:tc>
          <w:tcPr>
            <w:tcW w:type="dxa" w:w="6192"/>
            <w:shd w:fill="FDF0ED"/>
            <w:tcMar>
              <w:top w:w="80" w:type="dxa"/>
              <w:bottom w:w="80" w:type="dxa"/>
              <w:left w:w="120" w:type="dxa"/>
              <w:right w:w="120" w:type="dxa"/>
            </w:tcMar>
          </w:tcPr>
          <w:p>
            <w:pPr>
              <w:spacing w:after="0"/>
            </w:pPr>
            <w:r>
              <w:rPr>
                <w:rFonts w:ascii="Calibri" w:hAnsi="Calibri"/>
                <w:b w:val="0"/>
                <w:color w:val="222222"/>
                <w:sz w:val="20"/>
              </w:rPr>
            </w:r>
          </w:p>
        </w:tc>
      </w:tr>
    </w:tbl>
    <w:p>
      <w:pPr>
        <w:spacing w:after="200"/>
      </w:pPr>
    </w:p>
    <w:p>
      <w:pPr>
        <w:keepNext/>
        <w:spacing w:before="320" w:after="120"/>
      </w:pPr>
      <w:r>
        <w:rPr>
          <w:rFonts w:ascii="Arial" w:hAnsi="Arial"/>
          <w:b/>
          <w:color w:val="B43214"/>
          <w:sz w:val="32"/>
        </w:rPr>
        <w:t>INSTRUCTIONS TO LEARNERS</w:t>
      </w:r>
    </w:p>
    <w:p>
      <w:pPr>
        <w:spacing w:after="60" w:line="276" w:lineRule="auto"/>
      </w:pPr>
      <w:r>
        <w:rPr>
          <w:rFonts w:ascii="Calibri" w:hAnsi="Calibri"/>
          <w:b w:val="0"/>
          <w:i w:val="0"/>
          <w:color w:val="222222"/>
          <w:sz w:val="22"/>
        </w:rPr>
        <w:t>1. Answer ALL questions in Section A, Section B, Section C, and Section D.</w:t>
      </w:r>
    </w:p>
    <w:p>
      <w:pPr>
        <w:spacing w:after="60" w:line="276" w:lineRule="auto"/>
      </w:pPr>
      <w:r>
        <w:rPr>
          <w:rFonts w:ascii="Calibri" w:hAnsi="Calibri"/>
          <w:b w:val="0"/>
          <w:i w:val="0"/>
          <w:color w:val="222222"/>
          <w:sz w:val="22"/>
        </w:rPr>
        <w:t>2. Structure &amp; Mark Breakdown: Section A (15 Multiple Choice Questions @ 1 Mark each = 15 Marks), Section B (5 True/False Questions with Justification @ 4 Marks each = 20 Marks), Section C (Scenario Short Questions = 15 Marks), and Section D (Scenario Strategic Long Question = 50 Marks). Total = 100 Marks.</w:t>
      </w:r>
    </w:p>
    <w:p>
      <w:pPr>
        <w:spacing w:after="60" w:line="276" w:lineRule="auto"/>
      </w:pPr>
      <w:r>
        <w:rPr>
          <w:rFonts w:ascii="Calibri" w:hAnsi="Calibri"/>
          <w:b w:val="0"/>
          <w:i w:val="0"/>
          <w:color w:val="222222"/>
          <w:sz w:val="22"/>
        </w:rPr>
        <w:t>3. Read the case study scenario in Section C &amp; D carefully before answering.</w:t>
      </w:r>
    </w:p>
    <w:p>
      <w:pPr>
        <w:spacing w:after="60" w:line="276" w:lineRule="auto"/>
      </w:pPr>
      <w:r>
        <w:rPr>
          <w:rFonts w:ascii="Calibri" w:hAnsi="Calibri"/>
          <w:b w:val="0"/>
          <w:i w:val="0"/>
          <w:color w:val="222222"/>
          <w:sz w:val="22"/>
        </w:rPr>
        <w:t>4. Highlighting professional standards (SABPP Employment Relations Management Application Standard) and statutory compliance (Labour Relations Act 66 of 1995, BCEA, EEA, CCMA guidelines, and Contract Law) is essential for full marks.</w:t>
      </w:r>
    </w:p>
    <w:p>
      <w:pPr>
        <w:spacing w:after="60" w:line="276" w:lineRule="auto"/>
      </w:pPr>
      <w:r>
        <w:rPr>
          <w:rFonts w:ascii="Calibri" w:hAnsi="Calibri"/>
          <w:b w:val="0"/>
          <w:i w:val="0"/>
          <w:color w:val="222222"/>
          <w:sz w:val="22"/>
        </w:rPr>
        <w:t>5. The pass mark for this internal summative assessment script is strictly 75% (75/100 Marks).</w:t>
      </w:r>
    </w:p>
    <w:p>
      <w:pPr>
        <w:spacing w:after="60" w:line="276" w:lineRule="auto"/>
      </w:pPr>
      <w:r>
        <w:rPr>
          <w:rFonts w:ascii="Calibri" w:hAnsi="Calibri"/>
          <w:b w:val="0"/>
          <w:i w:val="0"/>
          <w:color w:val="222222"/>
          <w:sz w:val="22"/>
        </w:rPr>
        <w:t>6. Write legibly and present your answers in a clear, professional business format.</w:t>
      </w:r>
    </w:p>
    <w:p>
      <w:pPr>
        <w:spacing w:after="200"/>
      </w:pPr>
    </w:p>
    <w:p>
      <w:pPr>
        <w:keepNext/>
        <w:spacing w:before="320" w:after="120"/>
      </w:pPr>
      <w:r>
        <w:rPr>
          <w:rFonts w:ascii="Arial" w:hAnsi="Arial"/>
          <w:b/>
          <w:color w:val="B43214"/>
          <w:sz w:val="32"/>
        </w:rPr>
        <w:t>SECTION A: MULTIPLE CHOICE QUESTIONS (15 MARKS)</w:t>
      </w:r>
    </w:p>
    <w:p>
      <w:pPr>
        <w:spacing w:after="160" w:line="276" w:lineRule="auto"/>
      </w:pPr>
      <w:r>
        <w:rPr>
          <w:rFonts w:ascii="Calibri" w:hAnsi="Calibri"/>
          <w:b w:val="0"/>
          <w:i/>
          <w:color w:val="222222"/>
          <w:sz w:val="22"/>
        </w:rPr>
        <w:t>Instructions: Select the SINGLE best answer for each question. Each question carries 1 mark.</w:t>
      </w:r>
    </w:p>
    <w:p>
      <w:pPr>
        <w:keepNext/>
        <w:spacing w:after="60"/>
      </w:pPr>
      <w:r>
        <w:rPr>
          <w:rFonts w:ascii="Calibri" w:hAnsi="Calibri"/>
          <w:b/>
          <w:sz w:val="21"/>
        </w:rPr>
        <w:t>1. In South African labour law, what is the required standard of proof in CCMA arbitration proceedings for establishing employee misconduct?</w:t>
      </w:r>
    </w:p>
    <w:p>
      <w:pPr>
        <w:spacing w:after="40"/>
        <w:ind w:left="360"/>
      </w:pPr>
      <w:r>
        <w:rPr>
          <w:rFonts w:ascii="Calibri" w:hAnsi="Calibri"/>
          <w:sz w:val="20"/>
        </w:rPr>
        <w:t>A. Beyond a reasonable doubt</w:t>
      </w:r>
    </w:p>
    <w:p>
      <w:pPr>
        <w:spacing w:after="40"/>
        <w:ind w:left="360"/>
      </w:pPr>
      <w:r>
        <w:rPr>
          <w:rFonts w:ascii="Calibri" w:hAnsi="Calibri"/>
          <w:sz w:val="20"/>
        </w:rPr>
        <w:t>B. On a balance of probabilities</w:t>
      </w:r>
    </w:p>
    <w:p>
      <w:pPr>
        <w:spacing w:after="40"/>
        <w:ind w:left="360"/>
      </w:pPr>
      <w:r>
        <w:rPr>
          <w:rFonts w:ascii="Calibri" w:hAnsi="Calibri"/>
          <w:sz w:val="20"/>
        </w:rPr>
        <w:t>C. Prima facie certainty</w:t>
      </w:r>
    </w:p>
    <w:p>
      <w:pPr>
        <w:spacing w:after="40"/>
        <w:ind w:left="360"/>
      </w:pPr>
      <w:r>
        <w:rPr>
          <w:rFonts w:ascii="Calibri" w:hAnsi="Calibri"/>
          <w:sz w:val="20"/>
        </w:rPr>
        <w:t>D. Absolute certainty</w:t>
      </w:r>
    </w:p>
    <w:p>
      <w:pPr>
        <w:keepNext/>
        <w:spacing w:after="60"/>
      </w:pPr>
      <w:r>
        <w:rPr>
          <w:rFonts w:ascii="Calibri" w:hAnsi="Calibri"/>
          <w:b/>
          <w:sz w:val="21"/>
        </w:rPr>
        <w:t>2. Under Section 14 of the Labour Relations Act (LRA), trade union shop stewards are legally entitled to which of the following rights in the workplace?</w:t>
      </w:r>
    </w:p>
    <w:p>
      <w:pPr>
        <w:spacing w:after="40"/>
        <w:ind w:left="360"/>
      </w:pPr>
      <w:r>
        <w:rPr>
          <w:rFonts w:ascii="Calibri" w:hAnsi="Calibri"/>
          <w:sz w:val="20"/>
        </w:rPr>
        <w:t>A. Unlimited paid leave to attend any political party conference</w:t>
      </w:r>
    </w:p>
    <w:p>
      <w:pPr>
        <w:spacing w:after="40"/>
        <w:ind w:left="360"/>
      </w:pPr>
      <w:r>
        <w:rPr>
          <w:rFonts w:ascii="Calibri" w:hAnsi="Calibri"/>
          <w:sz w:val="20"/>
        </w:rPr>
        <w:t>B. Reasonable time off with pay during working hours to perform union duties and receive training</w:t>
      </w:r>
    </w:p>
    <w:p>
      <w:pPr>
        <w:spacing w:after="40"/>
        <w:ind w:left="360"/>
      </w:pPr>
      <w:r>
        <w:rPr>
          <w:rFonts w:ascii="Calibri" w:hAnsi="Calibri"/>
          <w:sz w:val="20"/>
        </w:rPr>
        <w:t>C. Automatic exemption from company disciplinary codes</w:t>
      </w:r>
    </w:p>
    <w:p>
      <w:pPr>
        <w:spacing w:after="40"/>
        <w:ind w:left="360"/>
      </w:pPr>
      <w:r>
        <w:rPr>
          <w:rFonts w:ascii="Calibri" w:hAnsi="Calibri"/>
          <w:sz w:val="20"/>
        </w:rPr>
        <w:t>D. Sole authority to hire and fire line managers</w:t>
      </w:r>
    </w:p>
    <w:p>
      <w:pPr>
        <w:keepNext/>
        <w:spacing w:after="60"/>
      </w:pPr>
      <w:r>
        <w:rPr>
          <w:rFonts w:ascii="Calibri" w:hAnsi="Calibri"/>
          <w:b/>
          <w:sz w:val="21"/>
        </w:rPr>
        <w:t>3. According to the LRA Code of Good Practice: Dismissal, procedural fairness in a disciplinary hearing requires that the employer must issue a written notice of hearing to the employee at least how many days in advance?</w:t>
      </w:r>
    </w:p>
    <w:p>
      <w:pPr>
        <w:spacing w:after="40"/>
        <w:ind w:left="360"/>
      </w:pPr>
      <w:r>
        <w:rPr>
          <w:rFonts w:ascii="Calibri" w:hAnsi="Calibri"/>
          <w:sz w:val="20"/>
        </w:rPr>
        <w:t>A. 24 hours</w:t>
      </w:r>
    </w:p>
    <w:p>
      <w:pPr>
        <w:spacing w:after="40"/>
        <w:ind w:left="360"/>
      </w:pPr>
      <w:r>
        <w:rPr>
          <w:rFonts w:ascii="Calibri" w:hAnsi="Calibri"/>
          <w:sz w:val="20"/>
        </w:rPr>
        <w:t>B. At least 3 working days</w:t>
      </w:r>
    </w:p>
    <w:p>
      <w:pPr>
        <w:spacing w:after="40"/>
        <w:ind w:left="360"/>
      </w:pPr>
      <w:r>
        <w:rPr>
          <w:rFonts w:ascii="Calibri" w:hAnsi="Calibri"/>
          <w:sz w:val="20"/>
        </w:rPr>
        <w:t>C. 21 calendar days</w:t>
      </w:r>
    </w:p>
    <w:p>
      <w:pPr>
        <w:spacing w:after="40"/>
        <w:ind w:left="360"/>
      </w:pPr>
      <w:r>
        <w:rPr>
          <w:rFonts w:ascii="Calibri" w:hAnsi="Calibri"/>
          <w:sz w:val="20"/>
        </w:rPr>
        <w:t>D. 30 working days</w:t>
      </w:r>
    </w:p>
    <w:p>
      <w:pPr>
        <w:keepNext/>
        <w:spacing w:after="60"/>
      </w:pPr>
      <w:r>
        <w:rPr>
          <w:rFonts w:ascii="Calibri" w:hAnsi="Calibri"/>
          <w:b/>
          <w:sz w:val="21"/>
        </w:rPr>
        <w:t>4. Which dispute resolution mechanism involves a neutral CCMA commissioner facilitating discussions to help parties reach a voluntary, mutually acceptable settlement without issuing a binding award?</w:t>
      </w:r>
    </w:p>
    <w:p>
      <w:pPr>
        <w:spacing w:after="40"/>
        <w:ind w:left="360"/>
      </w:pPr>
      <w:r>
        <w:rPr>
          <w:rFonts w:ascii="Calibri" w:hAnsi="Calibri"/>
          <w:sz w:val="20"/>
        </w:rPr>
        <w:t>A. Arbitration</w:t>
      </w:r>
    </w:p>
    <w:p>
      <w:pPr>
        <w:spacing w:after="40"/>
        <w:ind w:left="360"/>
      </w:pPr>
      <w:r>
        <w:rPr>
          <w:rFonts w:ascii="Calibri" w:hAnsi="Calibri"/>
          <w:sz w:val="20"/>
        </w:rPr>
        <w:t>B. Conciliation</w:t>
      </w:r>
    </w:p>
    <w:p>
      <w:pPr>
        <w:spacing w:after="40"/>
        <w:ind w:left="360"/>
      </w:pPr>
      <w:r>
        <w:rPr>
          <w:rFonts w:ascii="Calibri" w:hAnsi="Calibri"/>
          <w:sz w:val="20"/>
        </w:rPr>
        <w:t>C. Formal Adjudication</w:t>
      </w:r>
    </w:p>
    <w:p>
      <w:pPr>
        <w:spacing w:after="40"/>
        <w:ind w:left="360"/>
      </w:pPr>
      <w:r>
        <w:rPr>
          <w:rFonts w:ascii="Calibri" w:hAnsi="Calibri"/>
          <w:sz w:val="20"/>
        </w:rPr>
        <w:t>D. Summary Hearing</w:t>
      </w:r>
    </w:p>
    <w:p>
      <w:pPr>
        <w:keepNext/>
        <w:spacing w:after="60"/>
      </w:pPr>
      <w:r>
        <w:rPr>
          <w:rFonts w:ascii="Calibri" w:hAnsi="Calibri"/>
          <w:b/>
          <w:sz w:val="21"/>
        </w:rPr>
        <w:t>5. Which negotiation approach focuses on identifying underlying interests, mutual gains, and creative win-win solutions rather than rigid adversarial stances?</w:t>
      </w:r>
    </w:p>
    <w:p>
      <w:pPr>
        <w:spacing w:after="40"/>
        <w:ind w:left="360"/>
      </w:pPr>
      <w:r>
        <w:rPr>
          <w:rFonts w:ascii="Calibri" w:hAnsi="Calibri"/>
          <w:sz w:val="20"/>
        </w:rPr>
        <w:t>A. Distributive Bargaining</w:t>
      </w:r>
    </w:p>
    <w:p>
      <w:pPr>
        <w:spacing w:after="40"/>
        <w:ind w:left="360"/>
      </w:pPr>
      <w:r>
        <w:rPr>
          <w:rFonts w:ascii="Calibri" w:hAnsi="Calibri"/>
          <w:sz w:val="20"/>
        </w:rPr>
        <w:t>B. Integrative Bargaining</w:t>
      </w:r>
    </w:p>
    <w:p>
      <w:pPr>
        <w:spacing w:after="40"/>
        <w:ind w:left="360"/>
      </w:pPr>
      <w:r>
        <w:rPr>
          <w:rFonts w:ascii="Calibri" w:hAnsi="Calibri"/>
          <w:sz w:val="20"/>
        </w:rPr>
        <w:t>C. Positional Bargaining</w:t>
      </w:r>
    </w:p>
    <w:p>
      <w:pPr>
        <w:spacing w:after="40"/>
        <w:ind w:left="360"/>
      </w:pPr>
      <w:r>
        <w:rPr>
          <w:rFonts w:ascii="Calibri" w:hAnsi="Calibri"/>
          <w:sz w:val="20"/>
        </w:rPr>
        <w:t>D. Zero-Sum Bargaining</w:t>
      </w:r>
    </w:p>
    <w:p>
      <w:pPr>
        <w:keepNext/>
        <w:spacing w:after="60"/>
      </w:pPr>
      <w:r>
        <w:rPr>
          <w:rFonts w:ascii="Calibri" w:hAnsi="Calibri"/>
          <w:b/>
          <w:sz w:val="21"/>
        </w:rPr>
        <w:t>6. In collective bargaining terminology, what does the acronym 'BATNA' stand for?</w:t>
      </w:r>
    </w:p>
    <w:p>
      <w:pPr>
        <w:spacing w:after="40"/>
        <w:ind w:left="360"/>
      </w:pPr>
      <w:r>
        <w:rPr>
          <w:rFonts w:ascii="Calibri" w:hAnsi="Calibri"/>
          <w:sz w:val="20"/>
        </w:rPr>
        <w:t>A. Binding Agreement To Negotiate Arbitration</w:t>
      </w:r>
    </w:p>
    <w:p>
      <w:pPr>
        <w:spacing w:after="40"/>
        <w:ind w:left="360"/>
      </w:pPr>
      <w:r>
        <w:rPr>
          <w:rFonts w:ascii="Calibri" w:hAnsi="Calibri"/>
          <w:sz w:val="20"/>
        </w:rPr>
        <w:t>B. Best Alternative To a Negotiated Agreement</w:t>
      </w:r>
    </w:p>
    <w:p>
      <w:pPr>
        <w:spacing w:after="40"/>
        <w:ind w:left="360"/>
      </w:pPr>
      <w:r>
        <w:rPr>
          <w:rFonts w:ascii="Calibri" w:hAnsi="Calibri"/>
          <w:sz w:val="20"/>
        </w:rPr>
        <w:t>C. Bargaining Authority Through National Association</w:t>
      </w:r>
    </w:p>
    <w:p>
      <w:pPr>
        <w:spacing w:after="40"/>
        <w:ind w:left="360"/>
      </w:pPr>
      <w:r>
        <w:rPr>
          <w:rFonts w:ascii="Calibri" w:hAnsi="Calibri"/>
          <w:sz w:val="20"/>
        </w:rPr>
        <w:t>D. Basic Allocation Terms for Network Audits</w:t>
      </w:r>
    </w:p>
    <w:p>
      <w:pPr>
        <w:keepNext/>
        <w:spacing w:after="60"/>
      </w:pPr>
      <w:r>
        <w:rPr>
          <w:rFonts w:ascii="Calibri" w:hAnsi="Calibri"/>
          <w:b/>
          <w:sz w:val="21"/>
        </w:rPr>
        <w:t>7. Under Section 23 of the Labour Relations Act, a collective agreement concluded between a recognized trade union and an employer is:</w:t>
      </w:r>
    </w:p>
    <w:p>
      <w:pPr>
        <w:spacing w:after="40"/>
        <w:ind w:left="360"/>
      </w:pPr>
      <w:r>
        <w:rPr>
          <w:rFonts w:ascii="Calibri" w:hAnsi="Calibri"/>
          <w:sz w:val="20"/>
        </w:rPr>
        <w:t>A. An informal non-binding guideline</w:t>
      </w:r>
    </w:p>
    <w:p>
      <w:pPr>
        <w:spacing w:after="40"/>
        <w:ind w:left="360"/>
      </w:pPr>
      <w:r>
        <w:rPr>
          <w:rFonts w:ascii="Calibri" w:hAnsi="Calibri"/>
          <w:sz w:val="20"/>
        </w:rPr>
        <w:t>B. Legally binding on the employer, union members, and non-union employees if extended under statutory criteria</w:t>
      </w:r>
    </w:p>
    <w:p>
      <w:pPr>
        <w:spacing w:after="40"/>
        <w:ind w:left="360"/>
      </w:pPr>
      <w:r>
        <w:rPr>
          <w:rFonts w:ascii="Calibri" w:hAnsi="Calibri"/>
          <w:sz w:val="20"/>
        </w:rPr>
        <w:t>C. Applicable only during public holidays</w:t>
      </w:r>
    </w:p>
    <w:p>
      <w:pPr>
        <w:spacing w:after="40"/>
        <w:ind w:left="360"/>
      </w:pPr>
      <w:r>
        <w:rPr>
          <w:rFonts w:ascii="Calibri" w:hAnsi="Calibri"/>
          <w:sz w:val="20"/>
        </w:rPr>
        <w:t>D. Valid only if ratified by a High Court judge</w:t>
      </w:r>
    </w:p>
    <w:p>
      <w:pPr>
        <w:keepNext/>
        <w:spacing w:after="60"/>
      </w:pPr>
      <w:r>
        <w:rPr>
          <w:rFonts w:ascii="Calibri" w:hAnsi="Calibri"/>
          <w:b/>
          <w:sz w:val="21"/>
        </w:rPr>
        <w:t>8. In contract law as applied to Employment Contracts and SLAs, 'Consideration' in the employment relationship primarily consists of:</w:t>
      </w:r>
    </w:p>
    <w:p>
      <w:pPr>
        <w:spacing w:after="40"/>
        <w:ind w:left="360"/>
      </w:pPr>
      <w:r>
        <w:rPr>
          <w:rFonts w:ascii="Calibri" w:hAnsi="Calibri"/>
          <w:sz w:val="20"/>
        </w:rPr>
        <w:t>A. Employer verbal praise in exchange for employee loyalty</w:t>
      </w:r>
    </w:p>
    <w:p>
      <w:pPr>
        <w:spacing w:after="40"/>
        <w:ind w:left="360"/>
      </w:pPr>
      <w:r>
        <w:rPr>
          <w:rFonts w:ascii="Calibri" w:hAnsi="Calibri"/>
          <w:sz w:val="20"/>
        </w:rPr>
        <w:t>B. The employee providing skills and labour in exchange for the employer providing remuneration</w:t>
      </w:r>
    </w:p>
    <w:p>
      <w:pPr>
        <w:spacing w:after="40"/>
        <w:ind w:left="360"/>
      </w:pPr>
      <w:r>
        <w:rPr>
          <w:rFonts w:ascii="Calibri" w:hAnsi="Calibri"/>
          <w:sz w:val="20"/>
        </w:rPr>
        <w:t>C. Payment of Skills Development Levies to SARS</w:t>
      </w:r>
    </w:p>
    <w:p>
      <w:pPr>
        <w:spacing w:after="40"/>
        <w:ind w:left="360"/>
      </w:pPr>
      <w:r>
        <w:rPr>
          <w:rFonts w:ascii="Calibri" w:hAnsi="Calibri"/>
          <w:sz w:val="20"/>
        </w:rPr>
        <w:t>D. Free parking spaces provided on company grounds</w:t>
      </w:r>
    </w:p>
    <w:p>
      <w:pPr>
        <w:keepNext/>
        <w:spacing w:after="60"/>
      </w:pPr>
      <w:r>
        <w:rPr>
          <w:rFonts w:ascii="Calibri" w:hAnsi="Calibri"/>
          <w:b/>
          <w:sz w:val="21"/>
        </w:rPr>
        <w:t>9. Which statutory body is established by the Minister of Higher Education &amp; Training / Labour to negotiate sector-wide minimum wages and collective agreements across an entire industry?</w:t>
      </w:r>
    </w:p>
    <w:p>
      <w:pPr>
        <w:spacing w:after="40"/>
        <w:ind w:left="360"/>
      </w:pPr>
      <w:r>
        <w:rPr>
          <w:rFonts w:ascii="Calibri" w:hAnsi="Calibri"/>
          <w:sz w:val="20"/>
        </w:rPr>
        <w:t>A. Essential Services Committee</w:t>
      </w:r>
    </w:p>
    <w:p>
      <w:pPr>
        <w:spacing w:after="40"/>
        <w:ind w:left="360"/>
      </w:pPr>
      <w:r>
        <w:rPr>
          <w:rFonts w:ascii="Calibri" w:hAnsi="Calibri"/>
          <w:sz w:val="20"/>
        </w:rPr>
        <w:t>B. Bargaining Council</w:t>
      </w:r>
    </w:p>
    <w:p>
      <w:pPr>
        <w:spacing w:after="40"/>
        <w:ind w:left="360"/>
      </w:pPr>
      <w:r>
        <w:rPr>
          <w:rFonts w:ascii="Calibri" w:hAnsi="Calibri"/>
          <w:sz w:val="20"/>
        </w:rPr>
        <w:t>C. Workplace Forum</w:t>
      </w:r>
    </w:p>
    <w:p>
      <w:pPr>
        <w:spacing w:after="40"/>
        <w:ind w:left="360"/>
      </w:pPr>
      <w:r>
        <w:rPr>
          <w:rFonts w:ascii="Calibri" w:hAnsi="Calibri"/>
          <w:sz w:val="20"/>
        </w:rPr>
        <w:t>D. CCMA Governing Body</w:t>
      </w:r>
    </w:p>
    <w:p>
      <w:pPr>
        <w:keepNext/>
        <w:spacing w:after="60"/>
      </w:pPr>
      <w:r>
        <w:rPr>
          <w:rFonts w:ascii="Calibri" w:hAnsi="Calibri"/>
          <w:b/>
          <w:sz w:val="21"/>
        </w:rPr>
        <w:t>10. According to the SABPP Employment Relations Management Application Standard, what is the primary objective of an organizational ERM strategy?</w:t>
      </w:r>
    </w:p>
    <w:p>
      <w:pPr>
        <w:spacing w:after="40"/>
        <w:ind w:left="360"/>
      </w:pPr>
      <w:r>
        <w:rPr>
          <w:rFonts w:ascii="Calibri" w:hAnsi="Calibri"/>
          <w:sz w:val="20"/>
        </w:rPr>
        <w:t>A. To eliminate all trade unions from the workplace</w:t>
      </w:r>
    </w:p>
    <w:p>
      <w:pPr>
        <w:spacing w:after="40"/>
        <w:ind w:left="360"/>
      </w:pPr>
      <w:r>
        <w:rPr>
          <w:rFonts w:ascii="Calibri" w:hAnsi="Calibri"/>
          <w:sz w:val="20"/>
        </w:rPr>
        <w:t>B. To create and sustain a climate of trust, cooperation, and stability that enables organizational success</w:t>
      </w:r>
    </w:p>
    <w:p>
      <w:pPr>
        <w:spacing w:after="40"/>
        <w:ind w:left="360"/>
      </w:pPr>
      <w:r>
        <w:rPr>
          <w:rFonts w:ascii="Calibri" w:hAnsi="Calibri"/>
          <w:sz w:val="20"/>
        </w:rPr>
        <w:t>C. To maximize employer unilateral decision-making power</w:t>
      </w:r>
    </w:p>
    <w:p>
      <w:pPr>
        <w:spacing w:after="40"/>
        <w:ind w:left="360"/>
      </w:pPr>
      <w:r>
        <w:rPr>
          <w:rFonts w:ascii="Calibri" w:hAnsi="Calibri"/>
          <w:sz w:val="20"/>
        </w:rPr>
        <w:t>D. To enforce mandatory unpaid overtime during peak production</w:t>
      </w:r>
    </w:p>
    <w:p>
      <w:pPr>
        <w:keepNext/>
        <w:spacing w:after="60"/>
      </w:pPr>
      <w:r>
        <w:rPr>
          <w:rFonts w:ascii="Calibri" w:hAnsi="Calibri"/>
          <w:b/>
          <w:sz w:val="21"/>
        </w:rPr>
        <w:t>11. What is the fundamental distinction between a Grievance and a Disciplinary Issue?</w:t>
      </w:r>
    </w:p>
    <w:p>
      <w:pPr>
        <w:spacing w:after="40"/>
        <w:ind w:left="360"/>
      </w:pPr>
      <w:r>
        <w:rPr>
          <w:rFonts w:ascii="Calibri" w:hAnsi="Calibri"/>
          <w:sz w:val="20"/>
        </w:rPr>
        <w:t>A. Grievances are raised by management against workers; disciplinary issues are raised by workers against managers</w:t>
      </w:r>
    </w:p>
    <w:p>
      <w:pPr>
        <w:spacing w:after="40"/>
        <w:ind w:left="360"/>
      </w:pPr>
      <w:r>
        <w:rPr>
          <w:rFonts w:ascii="Calibri" w:hAnsi="Calibri"/>
          <w:sz w:val="20"/>
        </w:rPr>
        <w:t>B. A grievance is a complaint raised by an employee regarding unfair treatment; a disciplinary issue involves alleged employee misconduct/breach of rules</w:t>
      </w:r>
    </w:p>
    <w:p>
      <w:pPr>
        <w:spacing w:after="40"/>
        <w:ind w:left="360"/>
      </w:pPr>
      <w:r>
        <w:rPr>
          <w:rFonts w:ascii="Calibri" w:hAnsi="Calibri"/>
          <w:sz w:val="20"/>
        </w:rPr>
        <w:t>C. Grievances apply only to permanent staff; discipline applies only to temporary staff</w:t>
      </w:r>
    </w:p>
    <w:p>
      <w:pPr>
        <w:spacing w:after="40"/>
        <w:ind w:left="360"/>
      </w:pPr>
      <w:r>
        <w:rPr>
          <w:rFonts w:ascii="Calibri" w:hAnsi="Calibri"/>
          <w:sz w:val="20"/>
        </w:rPr>
        <w:t>D. Grievances carry criminal penalties; discipline carries civil penalties</w:t>
      </w:r>
    </w:p>
    <w:p>
      <w:pPr>
        <w:keepNext/>
        <w:spacing w:after="60"/>
      </w:pPr>
      <w:r>
        <w:rPr>
          <w:rFonts w:ascii="Calibri" w:hAnsi="Calibri"/>
          <w:b/>
          <w:sz w:val="21"/>
        </w:rPr>
        <w:t>12. Which problem identification technique involves conducting structured, one-on-one discussions with high-performing employees to understand what keeps them engaged and prevent future dissatisfaction?</w:t>
      </w:r>
    </w:p>
    <w:p>
      <w:pPr>
        <w:spacing w:after="40"/>
        <w:ind w:left="360"/>
      </w:pPr>
      <w:r>
        <w:rPr>
          <w:rFonts w:ascii="Calibri" w:hAnsi="Calibri"/>
          <w:sz w:val="20"/>
        </w:rPr>
        <w:t>A. Exit Interviews</w:t>
      </w:r>
    </w:p>
    <w:p>
      <w:pPr>
        <w:spacing w:after="40"/>
        <w:ind w:left="360"/>
      </w:pPr>
      <w:r>
        <w:rPr>
          <w:rFonts w:ascii="Calibri" w:hAnsi="Calibri"/>
          <w:sz w:val="20"/>
        </w:rPr>
        <w:t>B. Stay Interviews</w:t>
      </w:r>
    </w:p>
    <w:p>
      <w:pPr>
        <w:spacing w:after="40"/>
        <w:ind w:left="360"/>
      </w:pPr>
      <w:r>
        <w:rPr>
          <w:rFonts w:ascii="Calibri" w:hAnsi="Calibri"/>
          <w:sz w:val="20"/>
        </w:rPr>
        <w:t>C. Disciplinary Hearings</w:t>
      </w:r>
    </w:p>
    <w:p>
      <w:pPr>
        <w:spacing w:after="40"/>
        <w:ind w:left="360"/>
      </w:pPr>
      <w:r>
        <w:rPr>
          <w:rFonts w:ascii="Calibri" w:hAnsi="Calibri"/>
          <w:sz w:val="20"/>
        </w:rPr>
        <w:t>D. Sentiment Parsing</w:t>
      </w:r>
    </w:p>
    <w:p>
      <w:pPr>
        <w:keepNext/>
        <w:spacing w:after="60"/>
      </w:pPr>
      <w:r>
        <w:rPr>
          <w:rFonts w:ascii="Calibri" w:hAnsi="Calibri"/>
          <w:b/>
          <w:sz w:val="21"/>
        </w:rPr>
        <w:t>13. When an employee is charged with gross dishonesty, who bears the legal burden of proof during a CCMA arbitration hearing?</w:t>
      </w:r>
    </w:p>
    <w:p>
      <w:pPr>
        <w:spacing w:after="40"/>
        <w:ind w:left="360"/>
      </w:pPr>
      <w:r>
        <w:rPr>
          <w:rFonts w:ascii="Calibri" w:hAnsi="Calibri"/>
          <w:sz w:val="20"/>
        </w:rPr>
        <w:t>A. The employee must prove they are innocent</w:t>
      </w:r>
    </w:p>
    <w:p>
      <w:pPr>
        <w:spacing w:after="40"/>
        <w:ind w:left="360"/>
      </w:pPr>
      <w:r>
        <w:rPr>
          <w:rFonts w:ascii="Calibri" w:hAnsi="Calibri"/>
          <w:sz w:val="20"/>
        </w:rPr>
        <w:t>B. The trade union shop steward</w:t>
      </w:r>
    </w:p>
    <w:p>
      <w:pPr>
        <w:spacing w:after="40"/>
        <w:ind w:left="360"/>
      </w:pPr>
      <w:r>
        <w:rPr>
          <w:rFonts w:ascii="Calibri" w:hAnsi="Calibri"/>
          <w:sz w:val="20"/>
        </w:rPr>
        <w:t>C. The employer must prove on a balance of probabilities that the employee committed the misconduct</w:t>
      </w:r>
    </w:p>
    <w:p>
      <w:pPr>
        <w:spacing w:after="40"/>
        <w:ind w:left="360"/>
      </w:pPr>
      <w:r>
        <w:rPr>
          <w:rFonts w:ascii="Calibri" w:hAnsi="Calibri"/>
          <w:sz w:val="20"/>
        </w:rPr>
        <w:t>D. The CCMA commissioner personally</w:t>
      </w:r>
    </w:p>
    <w:p>
      <w:pPr>
        <w:keepNext/>
        <w:spacing w:after="60"/>
      </w:pPr>
      <w:r>
        <w:rPr>
          <w:rFonts w:ascii="Calibri" w:hAnsi="Calibri"/>
          <w:b/>
          <w:sz w:val="21"/>
        </w:rPr>
        <w:t>14. Which statutory act regulates how personal information gathered during disciplinary investigations and grievance records must be processed, stored, and protected?</w:t>
      </w:r>
    </w:p>
    <w:p>
      <w:pPr>
        <w:spacing w:after="40"/>
        <w:ind w:left="360"/>
      </w:pPr>
      <w:r>
        <w:rPr>
          <w:rFonts w:ascii="Calibri" w:hAnsi="Calibri"/>
          <w:sz w:val="20"/>
        </w:rPr>
        <w:t>A. Basic Conditions of Employment Act (BCEA)</w:t>
      </w:r>
    </w:p>
    <w:p>
      <w:pPr>
        <w:spacing w:after="40"/>
        <w:ind w:left="360"/>
      </w:pPr>
      <w:r>
        <w:rPr>
          <w:rFonts w:ascii="Calibri" w:hAnsi="Calibri"/>
          <w:sz w:val="20"/>
        </w:rPr>
        <w:t>B. Protection of Personal Information Act (POPIA)</w:t>
      </w:r>
    </w:p>
    <w:p>
      <w:pPr>
        <w:spacing w:after="40"/>
        <w:ind w:left="360"/>
      </w:pPr>
      <w:r>
        <w:rPr>
          <w:rFonts w:ascii="Calibri" w:hAnsi="Calibri"/>
          <w:sz w:val="20"/>
        </w:rPr>
        <w:t>C. Occupational Health and Safety Act (OHSA)</w:t>
      </w:r>
    </w:p>
    <w:p>
      <w:pPr>
        <w:spacing w:after="40"/>
        <w:ind w:left="360"/>
      </w:pPr>
      <w:r>
        <w:rPr>
          <w:rFonts w:ascii="Calibri" w:hAnsi="Calibri"/>
          <w:sz w:val="20"/>
        </w:rPr>
        <w:t>D. Skills Development Levies Act (SDLA)</w:t>
      </w:r>
    </w:p>
    <w:p>
      <w:pPr>
        <w:keepNext/>
        <w:spacing w:after="60"/>
      </w:pPr>
      <w:r>
        <w:rPr>
          <w:rFonts w:ascii="Calibri" w:hAnsi="Calibri"/>
          <w:b/>
          <w:sz w:val="21"/>
        </w:rPr>
        <w:t>15. What is the legal effect of a CCMA Arbitration Award issued by a commissioner at the conclusion of arbitration proceedings?</w:t>
      </w:r>
    </w:p>
    <w:p>
      <w:pPr>
        <w:spacing w:after="40"/>
        <w:ind w:left="360"/>
      </w:pPr>
      <w:r>
        <w:rPr>
          <w:rFonts w:ascii="Calibri" w:hAnsi="Calibri"/>
          <w:sz w:val="20"/>
        </w:rPr>
        <w:t>A. It is a non-binding suggestion that can be ignored</w:t>
      </w:r>
    </w:p>
    <w:p>
      <w:pPr>
        <w:spacing w:after="40"/>
        <w:ind w:left="360"/>
      </w:pPr>
      <w:r>
        <w:rPr>
          <w:rFonts w:ascii="Calibri" w:hAnsi="Calibri"/>
          <w:sz w:val="20"/>
        </w:rPr>
        <w:t>B. It is final and legally binding on both parties, carrying the same weight as an order of the Labour Court</w:t>
      </w:r>
    </w:p>
    <w:p>
      <w:pPr>
        <w:spacing w:after="40"/>
        <w:ind w:left="360"/>
      </w:pPr>
      <w:r>
        <w:rPr>
          <w:rFonts w:ascii="Calibri" w:hAnsi="Calibri"/>
          <w:sz w:val="20"/>
        </w:rPr>
        <w:t>C. It requires approval by the company CEO within 14 days</w:t>
      </w:r>
    </w:p>
    <w:p>
      <w:pPr>
        <w:spacing w:after="40"/>
        <w:ind w:left="360"/>
      </w:pPr>
      <w:r>
        <w:rPr>
          <w:rFonts w:ascii="Calibri" w:hAnsi="Calibri"/>
          <w:sz w:val="20"/>
        </w:rPr>
        <w:t>D. It automatically cancels the employment contract</w:t>
      </w:r>
    </w:p>
    <w:p>
      <w:pPr>
        <w:spacing w:after="200"/>
      </w:pPr>
    </w:p>
    <w:p>
      <w:pPr>
        <w:keepNext/>
        <w:spacing w:before="320" w:after="120"/>
      </w:pPr>
      <w:r>
        <w:rPr>
          <w:rFonts w:ascii="Arial" w:hAnsi="Arial"/>
          <w:b/>
          <w:color w:val="B43214"/>
          <w:sz w:val="32"/>
        </w:rPr>
        <w:t>SECTION B: TRUE / FALSE WITH JUSTIFICATION (20 MARKS)</w:t>
      </w:r>
    </w:p>
    <w:p>
      <w:pPr>
        <w:spacing w:after="160" w:line="276" w:lineRule="auto"/>
      </w:pPr>
      <w:r>
        <w:rPr>
          <w:rFonts w:ascii="Calibri" w:hAnsi="Calibri"/>
          <w:b w:val="0"/>
          <w:i/>
          <w:color w:val="222222"/>
          <w:sz w:val="22"/>
        </w:rPr>
        <w:t>Instructions: State whether each statement is TRUE or FALSE, and provide a detailed technical justification citing relevant principles, statutory frameworks (e.g., LRA, BCEA, EEA, POPIA, CCMA rules) or SABPP standards. Allocation: 1 mark for correct True/False identification + 3 marks for comprehensive justification. Total: 4 marks each (5 Questions = 20 Marks).</w:t>
      </w:r>
    </w:p>
    <w:p>
      <w:pPr>
        <w:keepNext/>
        <w:spacing w:after="40"/>
      </w:pPr>
      <w:r>
        <w:rPr>
          <w:rFonts w:ascii="Calibri" w:hAnsi="Calibri"/>
          <w:b/>
          <w:sz w:val="21"/>
        </w:rPr>
        <w:t xml:space="preserve">Statement 1: </w:t>
      </w:r>
      <w:r>
        <w:rPr>
          <w:rFonts w:ascii="Calibri" w:hAnsi="Calibri"/>
          <w:i/>
          <w:sz w:val="21"/>
        </w:rPr>
        <w:t>"In South African labour law, an employer is legally permitted to dismiss an employee immediately for a first offence of minor misconduct without conducting a disciplinary investigation or hearing, provided the manager gives verbal notice."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2: </w:t>
      </w:r>
      <w:r>
        <w:rPr>
          <w:rFonts w:ascii="Calibri" w:hAnsi="Calibri"/>
          <w:i/>
          <w:sz w:val="21"/>
        </w:rPr>
        <w:t>"Under Section 14 of the Labour Relations Act, elected trade union shop stewards are legally immune from disciplinary action or dismissal for their own personal misconduct while in office."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3: </w:t>
      </w:r>
      <w:r>
        <w:rPr>
          <w:rFonts w:ascii="Calibri" w:hAnsi="Calibri"/>
          <w:i/>
          <w:sz w:val="21"/>
        </w:rPr>
        <w:t>"According to contract law principles applicable to SLAs and employment contracts, a contract term that violates mandatory statutory provisions (such as paying below the National Minimum Wage) is legally void and unenforceable."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4: </w:t>
      </w:r>
      <w:r>
        <w:rPr>
          <w:rFonts w:ascii="Calibri" w:hAnsi="Calibri"/>
          <w:i/>
          <w:sz w:val="21"/>
        </w:rPr>
        <w:t>"In CCMA dispute resolution, if conciliation fails to resolve a dispute regarding an alleged unfair dismissal for misconduct, the commissioner immediately issues a binding arbitration award without hearing any verbal evidence or cross-examination."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5: </w:t>
      </w:r>
      <w:r>
        <w:rPr>
          <w:rFonts w:ascii="Calibri" w:hAnsi="Calibri"/>
          <w:i/>
          <w:sz w:val="21"/>
        </w:rPr>
        <w:t>"According to the SABPP Employment Relations Management Application Standard, managing organised labour relationships effectively requires establishing formal consultative committees, respecting collective agreements, and engaging shop stewards in good faith."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after="200"/>
      </w:pPr>
    </w:p>
    <w:p>
      <w:pPr>
        <w:keepNext/>
        <w:spacing w:before="320" w:after="120"/>
      </w:pPr>
      <w:r>
        <w:rPr>
          <w:rFonts w:ascii="Arial" w:hAnsi="Arial"/>
          <w:b/>
          <w:color w:val="B43214"/>
          <w:sz w:val="32"/>
        </w:rPr>
        <w:t>CASE STUDY SCENARIO: MAKHADO HEAVY ENGINEERING &amp; INDUSTRIAL RELATIONS CRISIS</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Pr>
          <w:p>
            <w:pPr>
              <w:spacing w:after="80"/>
            </w:pPr>
            <w:r>
              <w:rPr>
                <w:rFonts w:ascii="Arial" w:hAnsi="Arial"/>
                <w:b/>
                <w:color w:val="B43214"/>
                <w:sz w:val="22"/>
              </w:rPr>
              <w:t>ORGANISATIONAL CONTEXT: MAKHADO HEAVY ENGINEERING (ALODEON, GAUTENG)</w:t>
              <w:br/>
            </w:r>
          </w:p>
          <w:p>
            <w:pPr>
              <w:spacing w:after="0" w:line="276" w:lineRule="auto"/>
            </w:pPr>
            <w:r>
              <w:rPr>
                <w:rFonts w:ascii="Calibri" w:hAnsi="Calibri"/>
                <w:sz w:val="20"/>
              </w:rPr>
              <w:t>Background: Makhado Heavy Engineering (MHE) is a large-scale steel fabrication and mining equipment manufacturer operating in Alrode, Gauteng. Led by Managing Director Johan Pretorius and Chief Operations Officer Thandiwe Khoza, MHE employs 850 permanent factory workers, technicians, and administrative staff.</w:t>
              <w:br/>
              <w:br/>
              <w:t>Industrial Relations Climate &amp; Union Dynamics: Approximately 65% of MHE's shopfloor workforce belongs to the Metal &amp; Allied Workers Union (MAWU), a majority recognized trade union. A smaller 15% minority union, the National Metal Workers Association (NMWA), also operates on site. Over the past 12 months, employment relations at MHE have severely deteriorated, resulting in illegal wildcat work stoppages, mutual distrust, and a backlog of unresolved grievances.</w:t>
              <w:br/>
              <w:br/>
              <w:t>Current Operational &amp; ER Crises:</w:t>
              <w:br/>
              <w:t>1. Impending Wage &amp; Shift Negotiations: Annual collective bargaining for shift allowances and wages is approaching. MAWU is demanding a 12% across-the-board increase, while management's mandate is capped at 4.5% due to rising steel input costs.</w:t>
              <w:br/>
              <w:t>2. Procedural Flaws in Disciplinary Proceedings: Line managers frequently issue informal verbal dismissals or conduct inconsistent disciplinary hearings without proper notice, leading to a flood of CCMA referrals for unfair dismissal.</w:t>
              <w:br/>
              <w:t>3. Shop Steward Friction &amp; Breach of Rights: Line supervisors have denied shop stewards paid time off for union duties and refused to provide meeting facilities, prompting MAWU to threaten a protected strike.</w:t>
              <w:br/>
              <w:t>4. Unresolved Safety Grievances &amp; Poor Communication: Factory workers have submitted collective grievances regarding inadequate personal protective equipment (PPE) and machine guarding, which management ignored for six months.</w:t>
            </w:r>
          </w:p>
        </w:tc>
      </w:tr>
    </w:tbl>
    <w:p>
      <w:pPr>
        <w:spacing w:after="200"/>
      </w:pPr>
    </w:p>
    <w:p>
      <w:pPr>
        <w:keepNext/>
        <w:spacing w:before="320" w:after="120"/>
      </w:pPr>
      <w:r>
        <w:rPr>
          <w:rFonts w:ascii="Arial" w:hAnsi="Arial"/>
          <w:b/>
          <w:color w:val="B43214"/>
          <w:sz w:val="32"/>
        </w:rPr>
        <w:t>SECTION C: SCENARIO-BASED SHORT QUESTIONS (15 MARKS)</w:t>
      </w:r>
    </w:p>
    <w:p>
      <w:pPr>
        <w:spacing w:after="160" w:line="276" w:lineRule="auto"/>
      </w:pPr>
      <w:r>
        <w:rPr>
          <w:rFonts w:ascii="Calibri" w:hAnsi="Calibri"/>
          <w:b w:val="0"/>
          <w:i/>
          <w:color w:val="222222"/>
          <w:sz w:val="22"/>
        </w:rPr>
        <w:t>Instructions: Answer the following practical short questions based on the Makhado Heavy Engineering scenario.</w:t>
      </w:r>
    </w:p>
    <w:p>
      <w:pPr>
        <w:keepNext/>
        <w:spacing w:after="40"/>
      </w:pPr>
      <w:r>
        <w:rPr>
          <w:rFonts w:ascii="Arial" w:hAnsi="Arial"/>
          <w:b/>
          <w:sz w:val="21"/>
        </w:rPr>
        <w:t xml:space="preserve">Question 1: Procedural Fairness in Disciplinary Hearings </w:t>
      </w:r>
      <w:r>
        <w:rPr>
          <w:b/>
          <w:color w:val="C8501E"/>
        </w:rPr>
        <w:t>[5 Marks]</w:t>
      </w:r>
    </w:p>
    <w:p>
      <w:pPr>
        <w:spacing w:after="120"/>
      </w:pPr>
      <w:r>
        <w:rPr>
          <w:rFonts w:ascii="Calibri" w:hAnsi="Calibri"/>
          <w:sz w:val="20"/>
        </w:rPr>
        <w:t>MHE line managers have been issuing summary dismissals without proper hearings. Outline the 5 mandatory procedural steps required under the LRA Code of Good Practice: Dismissal that the HR Officer must enforce to ensure procedural fairness when convening a disciplinary hearing.</w:t>
      </w:r>
    </w:p>
    <w:p>
      <w:pPr>
        <w:keepNext/>
        <w:spacing w:after="40"/>
      </w:pPr>
      <w:r>
        <w:rPr>
          <w:rFonts w:ascii="Arial" w:hAnsi="Arial"/>
          <w:b/>
          <w:sz w:val="21"/>
        </w:rPr>
        <w:t xml:space="preserve">Question 2: Shop Steward Rights &amp; Statutory Compliance </w:t>
      </w:r>
      <w:r>
        <w:rPr>
          <w:b/>
          <w:color w:val="C8501E"/>
        </w:rPr>
        <w:t>[5 Marks]</w:t>
      </w:r>
    </w:p>
    <w:p>
      <w:pPr>
        <w:spacing w:after="120"/>
      </w:pPr>
      <w:r>
        <w:rPr>
          <w:rFonts w:ascii="Calibri" w:hAnsi="Calibri"/>
          <w:sz w:val="20"/>
        </w:rPr>
        <w:t>MAWU shop stewards are threatening strike action due to denied rights. Detail THREE statutory rights granted to shop stewards under Section 14 of the LRA that MHE management must respect and facilitate immediately.</w:t>
      </w:r>
    </w:p>
    <w:p>
      <w:pPr>
        <w:keepNext/>
        <w:spacing w:after="40"/>
      </w:pPr>
      <w:r>
        <w:rPr>
          <w:rFonts w:ascii="Arial" w:hAnsi="Arial"/>
          <w:b/>
          <w:sz w:val="21"/>
        </w:rPr>
        <w:t xml:space="preserve">Question 3: Problem Identification &amp; Grievance Resolution </w:t>
      </w:r>
      <w:r>
        <w:rPr>
          <w:b/>
          <w:color w:val="C8501E"/>
        </w:rPr>
        <w:t>[5 Marks]</w:t>
      </w:r>
    </w:p>
    <w:p>
      <w:pPr>
        <w:spacing w:after="120"/>
      </w:pPr>
      <w:r>
        <w:rPr>
          <w:rFonts w:ascii="Calibri" w:hAnsi="Calibri"/>
          <w:sz w:val="20"/>
        </w:rPr>
        <w:t>The factory floor has unresolved collective safety grievances. Detail TWO problem identification techniques (e.g., stay interviews, ER audits, grievance tracking) the HR Officer can implement to diagnose hidden workplace conflict before it escalates.</w:t>
      </w:r>
    </w:p>
    <w:p>
      <w:pPr>
        <w:spacing w:after="200"/>
      </w:pPr>
    </w:p>
    <w:p>
      <w:pPr>
        <w:keepNext/>
        <w:spacing w:before="320" w:after="120"/>
      </w:pPr>
      <w:r>
        <w:rPr>
          <w:rFonts w:ascii="Arial" w:hAnsi="Arial"/>
          <w:b/>
          <w:color w:val="B43214"/>
          <w:sz w:val="32"/>
        </w:rPr>
        <w:t>SECTION D: COMPREHENSIVE STRATEGIC LONG QUESTION (50 MARKS)</w:t>
      </w:r>
    </w:p>
    <w:p>
      <w:pPr>
        <w:spacing w:after="160" w:line="276" w:lineRule="auto"/>
      </w:pPr>
      <w:r>
        <w:rPr>
          <w:rFonts w:ascii="Calibri" w:hAnsi="Calibri"/>
          <w:b w:val="0"/>
          <w:i/>
          <w:color w:val="222222"/>
          <w:sz w:val="22"/>
        </w:rPr>
        <w:t>Instructions: Develop a comprehensive, professional Employment Relations Turnaround Strategy for MD Johan Pretorius and COO Thandiwe Khoza. Your response must address all four core sub-sections thoroughly, aligning recommendations with SABPP Standards, South African Legislation (LRA, BCEA, EEA, POPIA), CCMA rules, and sound ER theory.</w:t>
      </w:r>
    </w:p>
    <w:p>
      <w:pPr>
        <w:keepNext/>
        <w:spacing w:before="160" w:after="40"/>
      </w:pPr>
      <w:r>
        <w:rPr>
          <w:rFonts w:ascii="Arial" w:hAnsi="Arial"/>
          <w:b/>
          <w:sz w:val="22"/>
        </w:rPr>
        <w:t xml:space="preserve">SUB-SECTION D1: INTEGRATED LEGISLATIVE COMPLIANCE &amp; DISCIPLINARY / GRIEVANCE FRAMEWORK </w:t>
      </w:r>
      <w:r>
        <w:rPr>
          <w:b/>
          <w:color w:val="C8501E"/>
        </w:rPr>
        <w:t>[13 Marks]</w:t>
      </w:r>
    </w:p>
    <w:p>
      <w:pPr>
        <w:spacing w:after="160"/>
      </w:pPr>
      <w:r>
        <w:rPr>
          <w:rFonts w:ascii="Calibri" w:hAnsi="Calibri"/>
          <w:sz w:val="20"/>
        </w:rPr>
        <w:t>Formulate an integrated legislative compliance and dispute handling strategy to resolve MHE's procedural flaws.</w:t>
        <w:br/>
        <w:t>• Standard Operating Procedures (SOP) for conducting legally compliant disciplinary hearings under LRA Schedule 8.</w:t>
        <w:br/>
        <w:t>• Formal multi-stage Grievance Handling procedure with clear escalation timelines.</w:t>
        <w:br/>
        <w:t>• Burden of proof application principles (balance of probabilities) and evidence collation guidelines.</w:t>
        <w:br/>
        <w:t>• Record-keeping and POPIA compliance protocols for safe maintenance of employment relations files.</w:t>
      </w:r>
    </w:p>
    <w:p>
      <w:pPr>
        <w:keepNext/>
        <w:spacing w:before="160" w:after="40"/>
      </w:pPr>
      <w:r>
        <w:rPr>
          <w:rFonts w:ascii="Arial" w:hAnsi="Arial"/>
          <w:b/>
          <w:sz w:val="22"/>
        </w:rPr>
        <w:t xml:space="preserve">SUB-SECTION D2: COLLECTIVE BARGAINING &amp; INTEGRATIVE NEGOTIATION STRATEGY </w:t>
      </w:r>
      <w:r>
        <w:rPr>
          <w:b/>
          <w:color w:val="C8501E"/>
        </w:rPr>
        <w:t>[13 Marks]</w:t>
      </w:r>
    </w:p>
    <w:p>
      <w:pPr>
        <w:spacing w:after="160"/>
      </w:pPr>
      <w:r>
        <w:rPr>
          <w:rFonts w:ascii="Calibri" w:hAnsi="Calibri"/>
          <w:sz w:val="20"/>
        </w:rPr>
        <w:t>Develop a strategic negotiation framework for the upcoming annual wage and shift allowance negotiations with MAWU.</w:t>
        <w:br/>
        <w:t>• Shifting from Distributive (Win-Lose) bargaining to Integrative (Win-Win) bargaining principles.</w:t>
        <w:br/>
        <w:t>• Formulating MHE's bargaining mandate, BATNA, opening offers, and concession strategies.</w:t>
        <w:br/>
        <w:t>• Role of the HR Officer before, during, and after collective bargaining sessions.</w:t>
        <w:br/>
        <w:t>• Managing bargaining council / company-level bargaining structures and concluding legally binding collective agreements under LRA Section 23.</w:t>
      </w:r>
    </w:p>
    <w:p>
      <w:pPr>
        <w:keepNext/>
        <w:spacing w:before="160" w:after="40"/>
      </w:pPr>
      <w:r>
        <w:rPr>
          <w:rFonts w:ascii="Arial" w:hAnsi="Arial"/>
          <w:b/>
          <w:sz w:val="22"/>
        </w:rPr>
        <w:t xml:space="preserve">SUB-SECTION D3: ORGANISED LABOUR RELATIONSHIP BUILDING &amp; FORUM FACILITATION </w:t>
      </w:r>
      <w:r>
        <w:rPr>
          <w:b/>
          <w:color w:val="C8501E"/>
        </w:rPr>
        <w:t>[12 Marks]</w:t>
      </w:r>
    </w:p>
    <w:p>
      <w:pPr>
        <w:spacing w:after="160"/>
      </w:pPr>
      <w:r>
        <w:rPr>
          <w:rFonts w:ascii="Calibri" w:hAnsi="Calibri"/>
          <w:sz w:val="20"/>
        </w:rPr>
        <w:t>Design an organized labour facilitation strategy to restore trust between MHE management and union representatives.</w:t>
        <w:br/>
        <w:t>• Operationalising the SABPP Employment Relations Management Application Standard to foster a climate of trust.</w:t>
        <w:br/>
        <w:t>• Framework for coordinating joint consultative forums (Skills Development, EE Committees, Workplace Forums).</w:t>
        <w:br/>
        <w:t>• Structured engagement model with shop stewards, balancing union rights with employee performance duties.</w:t>
        <w:br/>
        <w:t>• Conflict de-escalation framework using emotional intelligence (EQ) and active listening practices.</w:t>
      </w:r>
    </w:p>
    <w:p>
      <w:pPr>
        <w:keepNext/>
        <w:spacing w:before="160" w:after="40"/>
      </w:pPr>
      <w:r>
        <w:rPr>
          <w:rFonts w:ascii="Arial" w:hAnsi="Arial"/>
          <w:b/>
          <w:sz w:val="22"/>
        </w:rPr>
        <w:t xml:space="preserve">SUB-SECTION D4: ER DATA ANALYTICS, CCMA DISPUTE GOVERNANCE &amp; CONTINUOUS AUDITING </w:t>
      </w:r>
      <w:r>
        <w:rPr>
          <w:b/>
          <w:color w:val="C8501E"/>
        </w:rPr>
        <w:t>[12 Marks]</w:t>
      </w:r>
    </w:p>
    <w:p>
      <w:pPr>
        <w:spacing w:after="160"/>
      </w:pPr>
      <w:r>
        <w:rPr>
          <w:rFonts w:ascii="Calibri" w:hAnsi="Calibri"/>
          <w:sz w:val="20"/>
        </w:rPr>
        <w:t>Establish a technology-driven ER analytics and CCMA dispute governance framework.</w:t>
        <w:br/>
        <w:t>• Managing CCMA dispute referrals (Conciliation, Con-Arb, Arbitration) and preparing MHE's case files.</w:t>
        <w:br/>
        <w:t>• Defining 5 core ER People Analytics metrics (e.g., Disciplinary Referral Rate, Grievance Resolution Velocity, CCMA Employer Win Rate, Absenteeism Index, Strike Risk Index) with targets.</w:t>
        <w:br/>
        <w:t>• Periodic ERM compliance audit methodology to review line manager compliance.</w:t>
        <w:br/>
        <w:t>• Continuous improvement feedback loops to align ER strategy with overall business success.</w:t>
      </w:r>
    </w:p>
    <w:p>
      <w:pPr>
        <w:spacing w:after="4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