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80"/>
        <w:gridCol w:w="4680"/>
      </w:tblGrid>
      <w:tr>
        <w:tc>
          <w:tcPr>
            <w:tcW w:type="dxa" w:w="3168"/>
            <w:shd w:fill="8C280A"/>
            <w:tcMar>
              <w:top w:w="80" w:type="dxa"/>
              <w:bottom w:w="80" w:type="dxa"/>
              <w:left w:w="120" w:type="dxa"/>
              <w:right w:w="120" w:type="dxa"/>
            </w:tcMar>
          </w:tcPr>
          <w:p>
            <w:pPr>
              <w:spacing w:after="0"/>
            </w:pPr>
            <w:r>
              <w:rPr>
                <w:rFonts w:ascii="Arial" w:hAnsi="Arial"/>
                <w:b/>
                <w:color w:val="FFFFFF"/>
                <w:sz w:val="19"/>
              </w:rPr>
              <w:t>INSTITUTION:</w:t>
            </w:r>
          </w:p>
        </w:tc>
        <w:tc>
          <w:tcPr>
            <w:tcW w:type="dxa" w:w="6192"/>
            <w:shd w:fill="FDF3EE"/>
            <w:tcMar>
              <w:top w:w="80" w:type="dxa"/>
              <w:bottom w:w="80" w:type="dxa"/>
              <w:left w:w="120" w:type="dxa"/>
              <w:right w:w="120" w:type="dxa"/>
            </w:tcMar>
          </w:tcPr>
          <w:p>
            <w:pPr>
              <w:spacing w:after="0"/>
            </w:pPr>
            <w:r>
              <w:rPr>
                <w:rFonts w:ascii="Calibri" w:hAnsi="Calibri"/>
                <w:b/>
                <w:color w:val="222222"/>
                <w:sz w:val="20"/>
              </w:rPr>
              <w:t>CURIOSA ACADEMY</w:t>
            </w:r>
          </w:p>
        </w:tc>
      </w:tr>
      <w:tr>
        <w:tc>
          <w:tcPr>
            <w:tcW w:type="dxa" w:w="3168"/>
            <w:shd w:fill="8C280A"/>
            <w:tcMar>
              <w:top w:w="80" w:type="dxa"/>
              <w:bottom w:w="80" w:type="dxa"/>
              <w:left w:w="120" w:type="dxa"/>
              <w:right w:w="120" w:type="dxa"/>
            </w:tcMar>
          </w:tcPr>
          <w:p>
            <w:pPr>
              <w:spacing w:after="0"/>
            </w:pPr>
            <w:r>
              <w:rPr>
                <w:rFonts w:ascii="Arial" w:hAnsi="Arial"/>
                <w:b/>
                <w:color w:val="FFFFFF"/>
                <w:sz w:val="19"/>
              </w:rPr>
              <w:t>QUALIFICATION:</w:t>
            </w:r>
          </w:p>
        </w:tc>
        <w:tc>
          <w:tcPr>
            <w:tcW w:type="dxa" w:w="6192"/>
            <w:shd w:fill="FDF3EE"/>
            <w:tcMar>
              <w:top w:w="80" w:type="dxa"/>
              <w:bottom w:w="80" w:type="dxa"/>
              <w:left w:w="120" w:type="dxa"/>
              <w:right w:w="120" w:type="dxa"/>
            </w:tcMar>
          </w:tcPr>
          <w:p>
            <w:pPr>
              <w:spacing w:after="0"/>
            </w:pPr>
            <w:r>
              <w:rPr>
                <w:rFonts w:ascii="Calibri" w:hAnsi="Calibri"/>
                <w:b w:val="0"/>
                <w:color w:val="222222"/>
                <w:sz w:val="20"/>
              </w:rPr>
              <w:t>Advanced Occupational Certificate: Human Resource Management Officer (NQF Level 6, 134 Credits)</w:t>
            </w:r>
          </w:p>
        </w:tc>
      </w:tr>
      <w:tr>
        <w:tc>
          <w:tcPr>
            <w:tcW w:type="dxa" w:w="3168"/>
            <w:shd w:fill="8C280A"/>
            <w:tcMar>
              <w:top w:w="80" w:type="dxa"/>
              <w:bottom w:w="80" w:type="dxa"/>
              <w:left w:w="120" w:type="dxa"/>
              <w:right w:w="120" w:type="dxa"/>
            </w:tcMar>
          </w:tcPr>
          <w:p>
            <w:pPr>
              <w:spacing w:after="0"/>
            </w:pPr>
            <w:r>
              <w:rPr>
                <w:rFonts w:ascii="Arial" w:hAnsi="Arial"/>
                <w:b/>
                <w:color w:val="FFFFFF"/>
                <w:sz w:val="19"/>
              </w:rPr>
              <w:t>SAQA ID / CURRICULUM:</w:t>
            </w:r>
          </w:p>
        </w:tc>
        <w:tc>
          <w:tcPr>
            <w:tcW w:type="dxa" w:w="6192"/>
            <w:shd w:fill="FDF3EE"/>
            <w:tcMar>
              <w:top w:w="80" w:type="dxa"/>
              <w:bottom w:w="80" w:type="dxa"/>
              <w:left w:w="120" w:type="dxa"/>
              <w:right w:w="120" w:type="dxa"/>
            </w:tcMar>
          </w:tcPr>
          <w:p>
            <w:pPr>
              <w:spacing w:after="0"/>
            </w:pPr>
            <w:r>
              <w:rPr>
                <w:rFonts w:ascii="Calibri" w:hAnsi="Calibri"/>
                <w:b w:val="0"/>
                <w:color w:val="222222"/>
                <w:sz w:val="20"/>
              </w:rPr>
              <w:t>SAQA ID: 121151 | Curriculum Code: 242303-001-00-00</w:t>
            </w:r>
          </w:p>
        </w:tc>
      </w:tr>
      <w:tr>
        <w:tc>
          <w:tcPr>
            <w:tcW w:type="dxa" w:w="3168"/>
            <w:shd w:fill="8C280A"/>
            <w:tcMar>
              <w:top w:w="80" w:type="dxa"/>
              <w:bottom w:w="80" w:type="dxa"/>
              <w:left w:w="120" w:type="dxa"/>
              <w:right w:w="120" w:type="dxa"/>
            </w:tcMar>
          </w:tcPr>
          <w:p>
            <w:pPr>
              <w:spacing w:after="0"/>
            </w:pPr>
            <w:r>
              <w:rPr>
                <w:rFonts w:ascii="Arial" w:hAnsi="Arial"/>
                <w:b/>
                <w:color w:val="FFFFFF"/>
                <w:sz w:val="19"/>
              </w:rPr>
              <w:t>MODULES COVERED:</w:t>
            </w:r>
          </w:p>
        </w:tc>
        <w:tc>
          <w:tcPr>
            <w:tcW w:type="dxa" w:w="6192"/>
            <w:shd w:fill="FDF3EE"/>
            <w:tcMar>
              <w:top w:w="80" w:type="dxa"/>
              <w:bottom w:w="80" w:type="dxa"/>
              <w:left w:w="120" w:type="dxa"/>
              <w:right w:w="120" w:type="dxa"/>
            </w:tcMar>
          </w:tcPr>
          <w:p>
            <w:pPr>
              <w:spacing w:after="0"/>
            </w:pPr>
            <w:r>
              <w:rPr>
                <w:rFonts w:ascii="Calibri" w:hAnsi="Calibri"/>
                <w:b w:val="0"/>
                <w:color w:val="222222"/>
                <w:sz w:val="20"/>
              </w:rPr>
              <w:t>KM-04 (Implementing Employment Relations Strategies, NQF L6, 20 Credits)</w:t>
              <w:br/>
              <w:t>PM-04 (Operationalise Employment Relations Strategies &amp; Plans, NQF L6, 10 Credits)</w:t>
            </w:r>
          </w:p>
        </w:tc>
      </w:tr>
      <w:tr>
        <w:tc>
          <w:tcPr>
            <w:tcW w:type="dxa" w:w="3168"/>
            <w:shd w:fill="8C280A"/>
            <w:tcMar>
              <w:top w:w="80" w:type="dxa"/>
              <w:bottom w:w="80" w:type="dxa"/>
              <w:left w:w="120" w:type="dxa"/>
              <w:right w:w="120" w:type="dxa"/>
            </w:tcMar>
          </w:tcPr>
          <w:p>
            <w:pPr>
              <w:spacing w:after="0"/>
            </w:pPr>
            <w:r>
              <w:rPr>
                <w:rFonts w:ascii="Arial" w:hAnsi="Arial"/>
                <w:b/>
                <w:color w:val="FFFFFF"/>
                <w:sz w:val="19"/>
              </w:rPr>
              <w:t>DOCUMENT TYPE:</w:t>
            </w:r>
          </w:p>
        </w:tc>
        <w:tc>
          <w:tcPr>
            <w:tcW w:type="dxa" w:w="6192"/>
            <w:shd w:fill="FDF3EE"/>
            <w:tcMar>
              <w:top w:w="80" w:type="dxa"/>
              <w:bottom w:w="80" w:type="dxa"/>
              <w:left w:w="120" w:type="dxa"/>
              <w:right w:w="120" w:type="dxa"/>
            </w:tcMar>
          </w:tcPr>
          <w:p>
            <w:pPr>
              <w:spacing w:after="0"/>
            </w:pPr>
            <w:r>
              <w:rPr>
                <w:rFonts w:ascii="Calibri" w:hAnsi="Calibri"/>
                <w:b/>
                <w:color w:val="222222"/>
                <w:sz w:val="20"/>
              </w:rPr>
              <w:t>ASSESSOR GUIDE &amp; MARKING MEMORANDUM - VERSION 2</w:t>
            </w:r>
          </w:p>
        </w:tc>
      </w:tr>
      <w:tr>
        <w:tc>
          <w:tcPr>
            <w:tcW w:type="dxa" w:w="3168"/>
            <w:shd w:fill="8C280A"/>
            <w:tcMar>
              <w:top w:w="80" w:type="dxa"/>
              <w:bottom w:w="80" w:type="dxa"/>
              <w:left w:w="120" w:type="dxa"/>
              <w:right w:w="120" w:type="dxa"/>
            </w:tcMar>
          </w:tcPr>
          <w:p>
            <w:pPr>
              <w:spacing w:after="0"/>
            </w:pPr>
            <w:r>
              <w:rPr>
                <w:rFonts w:ascii="Arial" w:hAnsi="Arial"/>
                <w:b/>
                <w:color w:val="FFFFFF"/>
                <w:sz w:val="19"/>
              </w:rPr>
              <w:t>ASSESSMENT METHOD:</w:t>
            </w:r>
          </w:p>
        </w:tc>
        <w:tc>
          <w:tcPr>
            <w:tcW w:type="dxa" w:w="6192"/>
            <w:shd w:fill="FDF3EE"/>
            <w:tcMar>
              <w:top w:w="80" w:type="dxa"/>
              <w:bottom w:w="80" w:type="dxa"/>
              <w:left w:w="120" w:type="dxa"/>
              <w:right w:w="120" w:type="dxa"/>
            </w:tcMar>
          </w:tcPr>
          <w:p>
            <w:pPr>
              <w:spacing w:after="0"/>
            </w:pPr>
            <w:r>
              <w:rPr>
                <w:rFonts w:ascii="Calibri" w:hAnsi="Calibri"/>
                <w:b w:val="0"/>
                <w:color w:val="222222"/>
                <w:sz w:val="20"/>
              </w:rPr>
              <w:t>Internal Summative Assessment (Script SU 4 - Version 2) | Total: 100 Marks | Pass: 75%</w:t>
            </w:r>
          </w:p>
        </w:tc>
      </w:tr>
      <w:tr>
        <w:tc>
          <w:tcPr>
            <w:tcW w:type="dxa" w:w="3168"/>
            <w:shd w:fill="8C280A"/>
            <w:tcMar>
              <w:top w:w="80" w:type="dxa"/>
              <w:bottom w:w="80" w:type="dxa"/>
              <w:left w:w="120" w:type="dxa"/>
              <w:right w:w="120" w:type="dxa"/>
            </w:tcMar>
          </w:tcPr>
          <w:p>
            <w:pPr>
              <w:spacing w:after="0"/>
            </w:pPr>
            <w:r>
              <w:rPr>
                <w:rFonts w:ascii="Arial" w:hAnsi="Arial"/>
                <w:b/>
                <w:color w:val="FFFFFF"/>
                <w:sz w:val="19"/>
              </w:rPr>
              <w:t>ASSESSOR NAME &amp; REG #:</w:t>
            </w:r>
          </w:p>
        </w:tc>
        <w:tc>
          <w:tcPr>
            <w:tcW w:type="dxa" w:w="6192"/>
            <w:shd w:fill="FDF3EE"/>
            <w:tcMar>
              <w:top w:w="80" w:type="dxa"/>
              <w:bottom w:w="80" w:type="dxa"/>
              <w:left w:w="120" w:type="dxa"/>
              <w:right w:w="120" w:type="dxa"/>
            </w:tcMar>
          </w:tcPr>
          <w:p>
            <w:pPr>
              <w:spacing w:after="0"/>
            </w:pPr>
            <w:r>
              <w:rPr>
                <w:rFonts w:ascii="Calibri" w:hAnsi="Calibri"/>
                <w:b w:val="0"/>
                <w:color w:val="222222"/>
                <w:sz w:val="20"/>
              </w:rPr>
              <w:t>__________________________________________________</w:t>
            </w:r>
          </w:p>
        </w:tc>
      </w:tr>
    </w:tbl>
    <w:p>
      <w:pPr>
        <w:spacing w:after="200"/>
      </w:pPr>
    </w:p>
    <w:p>
      <w:pPr>
        <w:keepNext/>
        <w:spacing w:before="320" w:after="120"/>
      </w:pPr>
      <w:r>
        <w:rPr>
          <w:rFonts w:ascii="Arial" w:hAnsi="Arial"/>
          <w:b/>
          <w:color w:val="8C280A"/>
          <w:sz w:val="32"/>
        </w:rPr>
        <w:t>SECTION 1: ASSESSOR GUIDANCE &amp; ASSESSMENT PRINCIPLES (VERSION 2)</w:t>
      </w:r>
    </w:p>
    <w:p>
      <w:pPr>
        <w:spacing w:after="60" w:line="276" w:lineRule="auto"/>
      </w:pPr>
      <w:r>
        <w:rPr>
          <w:rFonts w:ascii="Calibri" w:hAnsi="Calibri"/>
          <w:b w:val="0"/>
          <w:i w:val="0"/>
          <w:color w:val="222222"/>
          <w:sz w:val="22"/>
        </w:rPr>
        <w:t>1. Purpose of Version 2 Assessor Guide: Provides standardized marking criteria, complete answer keys, technical rationales, and evaluation rubrics for assessing Version 2 of the SU 4 Assessment Script.</w:t>
      </w:r>
    </w:p>
    <w:p>
      <w:pPr>
        <w:spacing w:after="60" w:line="276" w:lineRule="auto"/>
      </w:pPr>
      <w:r>
        <w:rPr>
          <w:rFonts w:ascii="Calibri" w:hAnsi="Calibri"/>
          <w:b w:val="0"/>
          <w:i w:val="0"/>
          <w:color w:val="222222"/>
          <w:sz w:val="22"/>
        </w:rPr>
        <w:t>2. Key Structural Order in Version 2 Script:</w:t>
      </w:r>
    </w:p>
    <w:p>
      <w:pPr>
        <w:spacing w:after="60" w:line="276" w:lineRule="auto"/>
      </w:pPr>
      <w:r>
        <w:rPr>
          <w:rFonts w:ascii="Calibri" w:hAnsi="Calibri"/>
          <w:b w:val="0"/>
          <w:i w:val="0"/>
          <w:color w:val="222222"/>
          <w:sz w:val="22"/>
        </w:rPr>
        <w:t xml:space="preserve">   • Section A: Case Study Scenario &amp; Scenario Questions (A1 Short Questions = 15 Marks + A2 Long Strategic Question = 50 Marks; Total = 65 Marks).</w:t>
      </w:r>
    </w:p>
    <w:p>
      <w:pPr>
        <w:spacing w:after="60" w:line="276" w:lineRule="auto"/>
      </w:pPr>
      <w:r>
        <w:rPr>
          <w:rFonts w:ascii="Calibri" w:hAnsi="Calibri"/>
          <w:b w:val="0"/>
          <w:i w:val="0"/>
          <w:color w:val="222222"/>
          <w:sz w:val="22"/>
        </w:rPr>
        <w:t xml:space="preserve">   • Section B: 15 Scrambled Multiple Choice Questions @ 1 Mark each = 15 Marks.</w:t>
      </w:r>
    </w:p>
    <w:p>
      <w:pPr>
        <w:spacing w:after="60" w:line="276" w:lineRule="auto"/>
      </w:pPr>
      <w:r>
        <w:rPr>
          <w:rFonts w:ascii="Calibri" w:hAnsi="Calibri"/>
          <w:b w:val="0"/>
          <w:i w:val="0"/>
          <w:color w:val="222222"/>
          <w:sz w:val="22"/>
        </w:rPr>
        <w:t xml:space="preserve">   • Section C: 5 Scrambled True/False Questions with Justification @ 4 Marks each = 20 Marks.</w:t>
      </w:r>
    </w:p>
    <w:p>
      <w:pPr>
        <w:spacing w:after="60" w:line="276" w:lineRule="auto"/>
      </w:pPr>
      <w:r>
        <w:rPr>
          <w:rFonts w:ascii="Calibri" w:hAnsi="Calibri"/>
          <w:b w:val="0"/>
          <w:i w:val="0"/>
          <w:color w:val="222222"/>
          <w:sz w:val="22"/>
        </w:rPr>
        <w:t xml:space="preserve">   • TOTAL MARKS = 100 Marks | PASS MARK = 75% (75 Marks).</w:t>
      </w:r>
    </w:p>
    <w:p>
      <w:pPr>
        <w:spacing w:after="60" w:line="276" w:lineRule="auto"/>
      </w:pPr>
      <w:r>
        <w:rPr>
          <w:rFonts w:ascii="Calibri" w:hAnsi="Calibri"/>
          <w:b w:val="0"/>
          <w:i w:val="0"/>
          <w:color w:val="222222"/>
          <w:sz w:val="22"/>
        </w:rPr>
        <w:t>3. Assessment Principles: Maintain strict objectivity, validity, and reliability. Evaluate all technical justifications against the Labour Relations Act, LRA Schedule 8 Code of Good Practice, BCEA, EEA, POPIA, and SABPP Employment Relations Management Application Standard.</w:t>
      </w:r>
    </w:p>
    <w:p>
      <w:pPr>
        <w:spacing w:after="200"/>
      </w:pPr>
    </w:p>
    <w:p>
      <w:pPr>
        <w:keepNext/>
        <w:spacing w:before="320" w:after="120"/>
      </w:pPr>
      <w:r>
        <w:rPr>
          <w:rFonts w:ascii="Arial" w:hAnsi="Arial"/>
          <w:b/>
          <w:color w:val="8C280A"/>
          <w:sz w:val="32"/>
        </w:rPr>
        <w:t>SECTION 2: SECTION A - SCENARIO MODEL ANSWERS &amp; RUBRIC (65 MARKS)</w:t>
      </w:r>
    </w:p>
    <w:p>
      <w:pPr>
        <w:keepNext/>
        <w:spacing w:before="240" w:after="80"/>
      </w:pPr>
      <w:r>
        <w:rPr>
          <w:rFonts w:ascii="Arial" w:hAnsi="Arial"/>
          <w:b/>
          <w:color w:val="AA4614"/>
          <w:sz w:val="26"/>
        </w:rPr>
        <w:t>PART A1: SHORT QUESTIONS MODEL ANSWERS (15 MARKS)</w:t>
      </w:r>
    </w:p>
    <w:p>
      <w:pPr>
        <w:keepNext/>
        <w:spacing w:after="40"/>
      </w:pPr>
      <w:r>
        <w:rPr>
          <w:rFonts w:ascii="Calibri" w:hAnsi="Calibri"/>
          <w:b/>
          <w:sz w:val="21"/>
        </w:rPr>
        <w:t>Q1 Model Answer (Procedural Steps for Disciplinary Hearings)</w:t>
      </w:r>
    </w:p>
    <w:p>
      <w:pPr>
        <w:spacing w:after="120"/>
        <w:ind w:left="288"/>
      </w:pPr>
      <w:r>
        <w:rPr>
          <w:rFonts w:ascii="Calibri" w:hAnsi="Calibri"/>
          <w:sz w:val="19"/>
        </w:rPr>
        <w:t>Model Answer Criteria (Award 1 Mark per step fully explained):</w:t>
        <w:br/>
        <w:t>1. Investigation &amp; Charge Specificity: Conduct impartial investigation and formulate clear written allegations.</w:t>
        <w:br/>
        <w:t>2. Proper Written Notice: Issue Notice of Hearing at least 3 working days in advance outlining date, time, venue, allegations, and rights.</w:t>
        <w:br/>
        <w:t>3. Right to Representation &amp; Preparation: Ensure employee has the right to be represented by a fellow employee or shop steward and adequate time to prepare.</w:t>
        <w:br/>
        <w:t>4. Impartial Hearing &amp; Right to be Heard: Convene a hearing led by an impartial chairperson where the employee can present evidence, call witnesses, and cross-examine.</w:t>
        <w:br/>
        <w:t>5. Finding, Sanction &amp; Right to Appeal: Issue written finding based on balance of probabilities, state proportionate sanction, and inform employee of internal appeal/CCMA referral rights.</w:t>
      </w:r>
    </w:p>
    <w:p>
      <w:pPr>
        <w:keepNext/>
        <w:spacing w:after="40"/>
      </w:pPr>
      <w:r>
        <w:rPr>
          <w:rFonts w:ascii="Calibri" w:hAnsi="Calibri"/>
          <w:b/>
          <w:sz w:val="21"/>
        </w:rPr>
        <w:t>Q2 Model Answer (Shop Steward Rights under LRA Section 14)</w:t>
      </w:r>
    </w:p>
    <w:p>
      <w:pPr>
        <w:spacing w:after="120"/>
        <w:ind w:left="288"/>
      </w:pPr>
      <w:r>
        <w:rPr>
          <w:rFonts w:ascii="Calibri" w:hAnsi="Calibri"/>
          <w:sz w:val="19"/>
        </w:rPr>
        <w:t>Model Answer Criteria (Award 1.67 Marks per right fully explained):</w:t>
        <w:br/>
        <w:t>1. Time Off for Union Duties: Reasonable paid time off during working hours to perform union functions and attend union training.</w:t>
        <w:br/>
        <w:t>2. Workplace Access &amp; Facilities: Access to company premises, meeting rooms, notice boards, and communication tools to engage union members.</w:t>
        <w:br/>
        <w:t>3. Access to Information: Right to request relevant, non-confidential company information necessary for collective bargaining or representation.</w:t>
      </w:r>
    </w:p>
    <w:p>
      <w:pPr>
        <w:keepNext/>
        <w:spacing w:after="40"/>
      </w:pPr>
      <w:r>
        <w:rPr>
          <w:rFonts w:ascii="Calibri" w:hAnsi="Calibri"/>
          <w:b/>
          <w:sz w:val="21"/>
        </w:rPr>
        <w:t>Q3 Model Answer (Problem Identification Techniques for Safety Grievances)</w:t>
      </w:r>
    </w:p>
    <w:p>
      <w:pPr>
        <w:spacing w:after="120"/>
        <w:ind w:left="288"/>
      </w:pPr>
      <w:r>
        <w:rPr>
          <w:rFonts w:ascii="Calibri" w:hAnsi="Calibri"/>
          <w:sz w:val="19"/>
        </w:rPr>
        <w:t>Model Answer Criteria (Award 2.5 Marks per technique fully detailed):</w:t>
        <w:br/>
        <w:t>1. Grievance &amp; Complaint Tracking Analysis: Systematic logging and trend analysis of submitted formal/informal safety complaints to pinpoint recurring hazards.</w:t>
        <w:br/>
        <w:t>2. Joint Safety / ER Audits &amp; Stay Interviews: Periodic joint workplace audits with shop stewards and conducting stay interviews with factory workers to uncover hidden dissatisfaction before industrial action occurs.</w:t>
      </w:r>
    </w:p>
    <w:p>
      <w:pPr>
        <w:spacing w:after="200"/>
      </w:pPr>
    </w:p>
    <w:p>
      <w:pPr>
        <w:keepNext/>
        <w:spacing w:before="240" w:after="80"/>
      </w:pPr>
      <w:r>
        <w:rPr>
          <w:rFonts w:ascii="Arial" w:hAnsi="Arial"/>
          <w:b/>
          <w:color w:val="AA4614"/>
          <w:sz w:val="26"/>
        </w:rPr>
        <w:t>PART A2: STRATEGIC LONG QUESTION RUBRIC (50 MARKS)</w:t>
      </w:r>
    </w:p>
    <w:tbl>
      <w:tblPr>
        <w:tblW w:type="auto" w:w="0"/>
        <w:jc w:val="center"/>
        <w:tblLook w:firstColumn="1" w:firstRow="1" w:lastColumn="0" w:lastRow="0" w:noHBand="0" w:noVBand="1" w:val="04A0"/>
      </w:tblPr>
      <w:tblGrid>
        <w:gridCol w:w="3120"/>
        <w:gridCol w:w="3120"/>
        <w:gridCol w:w="3120"/>
      </w:tblGrid>
      <w:tr>
        <w:tc>
          <w:tcPr>
            <w:tcW w:type="dxa" w:w="2592"/>
            <w:shd w:fill="8C280A"/>
          </w:tcPr>
          <w:p>
            <w:r>
              <w:rPr>
                <w:color w:val="FFFFFF"/>
              </w:rPr>
              <w:t>Sub-Section &amp; Focus</w:t>
            </w:r>
          </w:p>
        </w:tc>
        <w:tc>
          <w:tcPr>
            <w:tcW w:type="dxa" w:w="1440"/>
            <w:shd w:fill="8C280A"/>
          </w:tcPr>
          <w:p>
            <w:r>
              <w:rPr>
                <w:color w:val="FFFFFF"/>
              </w:rPr>
              <w:t>Marks</w:t>
            </w:r>
          </w:p>
        </w:tc>
        <w:tc>
          <w:tcPr>
            <w:tcW w:type="dxa" w:w="5328"/>
            <w:shd w:fill="8C280A"/>
          </w:tcPr>
          <w:p>
            <w:r>
              <w:rPr>
                <w:color w:val="FFFFFF"/>
              </w:rPr>
              <w:t>Assessment Criteria &amp; Expected Depth</w:t>
            </w:r>
          </w:p>
        </w:tc>
      </w:tr>
      <w:tr>
        <w:tc>
          <w:tcPr>
            <w:tcW w:type="dxa" w:w="2592"/>
          </w:tcPr>
          <w:p>
            <w:r>
              <w:rPr>
                <w:rFonts w:ascii="Calibri" w:hAnsi="Calibri"/>
                <w:b/>
              </w:rPr>
              <w:t>A2.1: Disciplinary &amp; Grievance SOP &amp; Legislative Compliance</w:t>
            </w:r>
          </w:p>
        </w:tc>
        <w:tc>
          <w:tcPr>
            <w:tcW w:type="dxa" w:w="1440"/>
          </w:tcPr>
          <w:p>
            <w:r>
              <w:rPr>
                <w:rFonts w:ascii="Calibri" w:hAnsi="Calibri"/>
                <w:b/>
              </w:rPr>
              <w:t>13 Marks</w:t>
            </w:r>
          </w:p>
        </w:tc>
        <w:tc>
          <w:tcPr>
            <w:tcW w:type="dxa" w:w="5328"/>
          </w:tcPr>
          <w:p>
            <w:r>
              <w:rPr>
                <w:rFonts w:ascii="Calibri" w:hAnsi="Calibri"/>
              </w:rPr>
              <w:t>• Legally compliant SOP for disciplinary hearings under LRA Schedule 8 (4m)</w:t>
              <w:br/>
              <w:t>• Multi-stage formal Grievance procedure with escalation timelines (3m)</w:t>
              <w:br/>
              <w:t>• Application of burden of proof (balance of probabilities) &amp; evidence collection (3m)</w:t>
              <w:br/>
              <w:t>• Record-keeping, POPIA data protection, and file security protocols (3m)</w:t>
            </w:r>
          </w:p>
        </w:tc>
      </w:tr>
      <w:tr>
        <w:tc>
          <w:tcPr>
            <w:tcW w:type="dxa" w:w="2592"/>
          </w:tcPr>
          <w:p>
            <w:r>
              <w:rPr>
                <w:rFonts w:ascii="Calibri" w:hAnsi="Calibri"/>
                <w:b/>
              </w:rPr>
              <w:t>A2.2: Collective Bargaining &amp; Integrative Negotiation</w:t>
            </w:r>
          </w:p>
        </w:tc>
        <w:tc>
          <w:tcPr>
            <w:tcW w:type="dxa" w:w="1440"/>
          </w:tcPr>
          <w:p>
            <w:r>
              <w:rPr>
                <w:rFonts w:ascii="Calibri" w:hAnsi="Calibri"/>
                <w:b/>
              </w:rPr>
              <w:t>13 Marks</w:t>
            </w:r>
          </w:p>
        </w:tc>
        <w:tc>
          <w:tcPr>
            <w:tcW w:type="dxa" w:w="5328"/>
          </w:tcPr>
          <w:p>
            <w:r>
              <w:rPr>
                <w:rFonts w:ascii="Calibri" w:hAnsi="Calibri"/>
              </w:rPr>
              <w:t>• Transitioning from Distributive to Integrative (Win-Win) bargaining (4m)</w:t>
              <w:br/>
              <w:t>• Formulating bargaining mandate, BATNA, opening offers, concessions (3m)</w:t>
              <w:br/>
              <w:t>• Role of HR Officer before, during, and post-negotiation (3m)</w:t>
              <w:br/>
              <w:t>• Managing Bargaining Council / Company agreements under LRA Sec 23 (3m)</w:t>
            </w:r>
          </w:p>
        </w:tc>
      </w:tr>
      <w:tr>
        <w:tc>
          <w:tcPr>
            <w:tcW w:type="dxa" w:w="2592"/>
          </w:tcPr>
          <w:p>
            <w:r>
              <w:rPr>
                <w:rFonts w:ascii="Calibri" w:hAnsi="Calibri"/>
                <w:b/>
              </w:rPr>
              <w:t>A2.3: Organised Labour Relationships &amp; Forum Facilitation</w:t>
            </w:r>
          </w:p>
        </w:tc>
        <w:tc>
          <w:tcPr>
            <w:tcW w:type="dxa" w:w="1440"/>
          </w:tcPr>
          <w:p>
            <w:r>
              <w:rPr>
                <w:rFonts w:ascii="Calibri" w:hAnsi="Calibri"/>
                <w:b/>
              </w:rPr>
              <w:t>12 Marks</w:t>
            </w:r>
          </w:p>
        </w:tc>
        <w:tc>
          <w:tcPr>
            <w:tcW w:type="dxa" w:w="5328"/>
          </w:tcPr>
          <w:p>
            <w:r>
              <w:rPr>
                <w:rFonts w:ascii="Calibri" w:hAnsi="Calibri"/>
              </w:rPr>
              <w:t>• SABPP ERM Standard operationalisation to restore workplace trust (3m)</w:t>
              <w:br/>
              <w:t>• Coordinating SDC, EEC, and Workplace Forums (3m)</w:t>
              <w:br/>
              <w:t>• Structured shop steward engagement balancing union rights vs duties (3m)</w:t>
              <w:br/>
              <w:t>• Conflict de-escalation framework using EQ and active listening (3m)</w:t>
            </w:r>
          </w:p>
        </w:tc>
      </w:tr>
      <w:tr>
        <w:tc>
          <w:tcPr>
            <w:tcW w:type="dxa" w:w="2592"/>
          </w:tcPr>
          <w:p>
            <w:r>
              <w:rPr>
                <w:rFonts w:ascii="Calibri" w:hAnsi="Calibri"/>
                <w:b/>
              </w:rPr>
              <w:t>A2.4: ER Analytics, CCMA Dispute Governance &amp; Auditing</w:t>
            </w:r>
          </w:p>
        </w:tc>
        <w:tc>
          <w:tcPr>
            <w:tcW w:type="dxa" w:w="1440"/>
          </w:tcPr>
          <w:p>
            <w:r>
              <w:rPr>
                <w:rFonts w:ascii="Calibri" w:hAnsi="Calibri"/>
                <w:b/>
              </w:rPr>
              <w:t>12 Marks</w:t>
            </w:r>
          </w:p>
        </w:tc>
        <w:tc>
          <w:tcPr>
            <w:tcW w:type="dxa" w:w="5328"/>
          </w:tcPr>
          <w:p>
            <w:r>
              <w:rPr>
                <w:rFonts w:ascii="Calibri" w:hAnsi="Calibri"/>
              </w:rPr>
              <w:t>• CCMA dispute management (Conciliation, Con-Arb, Arbitration prep) (3m)</w:t>
              <w:br/>
              <w:t>• 5 core ER People Analytics metrics with formulas &amp; targets (4m)</w:t>
              <w:br/>
              <w:t>• Periodic ERM compliance audit methodology for line managers (3m)</w:t>
              <w:br/>
              <w:t>• Continuous improvement feedback loops aligning ER with business strategy (2m)</w:t>
            </w:r>
          </w:p>
        </w:tc>
      </w:tr>
    </w:tbl>
    <w:p>
      <w:pPr>
        <w:spacing w:after="240"/>
      </w:pPr>
    </w:p>
    <w:p>
      <w:pPr>
        <w:keepNext/>
        <w:spacing w:before="320" w:after="120"/>
      </w:pPr>
      <w:r>
        <w:rPr>
          <w:rFonts w:ascii="Arial" w:hAnsi="Arial"/>
          <w:b/>
          <w:color w:val="8C280A"/>
          <w:sz w:val="32"/>
        </w:rPr>
        <w:t>SECTION 3: SECTION B - SCRAMBLED MULTIPLE CHOICE MARKING KEY (15 MARKS)</w:t>
      </w:r>
    </w:p>
    <w:tbl>
      <w:tblPr>
        <w:tblW w:type="auto" w:w="0"/>
        <w:jc w:val="center"/>
        <w:tblLook w:firstColumn="1" w:firstRow="1" w:lastColumn="0" w:lastRow="0" w:noHBand="0" w:noVBand="1" w:val="04A0"/>
      </w:tblPr>
      <w:tblGrid>
        <w:gridCol w:w="2340"/>
        <w:gridCol w:w="2340"/>
        <w:gridCol w:w="2340"/>
        <w:gridCol w:w="2340"/>
      </w:tblGrid>
      <w:tr>
        <w:tc>
          <w:tcPr>
            <w:tcW w:type="dxa" w:w="864"/>
            <w:shd w:fill="8C280A"/>
          </w:tcPr>
          <w:p>
            <w:pPr>
              <w:spacing w:after="0"/>
            </w:pPr>
            <w:r>
              <w:rPr>
                <w:rFonts w:ascii="Arial" w:hAnsi="Arial"/>
                <w:b/>
                <w:color w:val="FFFFFF"/>
                <w:sz w:val="18"/>
              </w:rPr>
              <w:t>Q#</w:t>
            </w:r>
          </w:p>
        </w:tc>
        <w:tc>
          <w:tcPr>
            <w:tcW w:type="dxa" w:w="864"/>
            <w:shd w:fill="8C280A"/>
          </w:tcPr>
          <w:p>
            <w:pPr>
              <w:spacing w:after="0"/>
            </w:pPr>
            <w:r>
              <w:rPr>
                <w:rFonts w:ascii="Arial" w:hAnsi="Arial"/>
                <w:b/>
                <w:color w:val="FFFFFF"/>
                <w:sz w:val="18"/>
              </w:rPr>
              <w:t>Key</w:t>
            </w:r>
          </w:p>
        </w:tc>
        <w:tc>
          <w:tcPr>
            <w:tcW w:type="dxa" w:w="3312"/>
            <w:shd w:fill="8C280A"/>
          </w:tcPr>
          <w:p>
            <w:pPr>
              <w:spacing w:after="0"/>
            </w:pPr>
            <w:r>
              <w:rPr>
                <w:rFonts w:ascii="Arial" w:hAnsi="Arial"/>
                <w:b/>
                <w:color w:val="FFFFFF"/>
                <w:sz w:val="18"/>
              </w:rPr>
              <w:t>Correct Option</w:t>
            </w:r>
          </w:p>
        </w:tc>
        <w:tc>
          <w:tcPr>
            <w:tcW w:type="dxa" w:w="4320"/>
            <w:shd w:fill="8C280A"/>
          </w:tcPr>
          <w:p>
            <w:pPr>
              <w:spacing w:after="0"/>
            </w:pPr>
            <w:r>
              <w:rPr>
                <w:rFonts w:ascii="Arial" w:hAnsi="Arial"/>
                <w:b/>
                <w:color w:val="FFFFFF"/>
                <w:sz w:val="18"/>
              </w:rPr>
              <w:t>Assessor Rationale / Technical Reference</w:t>
            </w:r>
          </w:p>
        </w:tc>
      </w:tr>
      <w:tr>
        <w:tc>
          <w:tcPr>
            <w:tcW w:type="dxa" w:w="864"/>
            <w:tcMar>
              <w:top w:w="60" w:type="dxa"/>
              <w:bottom w:w="60" w:type="dxa"/>
              <w:left w:w="80" w:type="dxa"/>
              <w:right w:w="80" w:type="dxa"/>
            </w:tcMar>
          </w:tcPr>
          <w:p>
            <w:r>
              <w:rPr>
                <w:rFonts w:ascii="Calibri" w:hAnsi="Calibri"/>
              </w:rPr>
              <w:t>Q1</w:t>
            </w:r>
          </w:p>
        </w:tc>
        <w:tc>
          <w:tcPr>
            <w:tcW w:type="dxa" w:w="864"/>
            <w:tcMar>
              <w:top w:w="60" w:type="dxa"/>
              <w:bottom w:w="60" w:type="dxa"/>
              <w:left w:w="80" w:type="dxa"/>
              <w:right w:w="80" w:type="dxa"/>
            </w:tcMar>
          </w:tcPr>
          <w:p>
            <w:r>
              <w:rPr>
                <w:rFonts w:ascii="Calibri" w:hAnsi="Calibri"/>
                <w:b/>
              </w:rPr>
              <w:t>C</w:t>
            </w:r>
          </w:p>
        </w:tc>
        <w:tc>
          <w:tcPr>
            <w:tcW w:type="dxa" w:w="3312"/>
            <w:tcMar>
              <w:top w:w="60" w:type="dxa"/>
              <w:bottom w:w="60" w:type="dxa"/>
              <w:left w:w="80" w:type="dxa"/>
              <w:right w:w="80" w:type="dxa"/>
            </w:tcMar>
          </w:tcPr>
          <w:p>
            <w:r>
              <w:rPr>
                <w:rFonts w:ascii="Calibri" w:hAnsi="Calibri"/>
              </w:rPr>
              <w:t>To create and sustain a climate of trust, cooperation, and stability</w:t>
            </w:r>
          </w:p>
        </w:tc>
        <w:tc>
          <w:tcPr>
            <w:tcW w:type="dxa" w:w="4320"/>
            <w:tcMar>
              <w:top w:w="60" w:type="dxa"/>
              <w:bottom w:w="60" w:type="dxa"/>
              <w:left w:w="80" w:type="dxa"/>
              <w:right w:w="80" w:type="dxa"/>
            </w:tcMar>
          </w:tcPr>
          <w:p>
            <w:r>
              <w:rPr>
                <w:rFonts w:ascii="Calibri" w:hAnsi="Calibri"/>
              </w:rPr>
              <w:t>SABPP Employment Relations Management Application Standard core objective.</w:t>
            </w:r>
          </w:p>
        </w:tc>
      </w:tr>
      <w:tr>
        <w:tc>
          <w:tcPr>
            <w:tcW w:type="dxa" w:w="864"/>
            <w:tcMar>
              <w:top w:w="60" w:type="dxa"/>
              <w:bottom w:w="60" w:type="dxa"/>
              <w:left w:w="80" w:type="dxa"/>
              <w:right w:w="80" w:type="dxa"/>
            </w:tcMar>
          </w:tcPr>
          <w:p>
            <w:r>
              <w:rPr>
                <w:rFonts w:ascii="Calibri" w:hAnsi="Calibri"/>
              </w:rPr>
              <w:t>Q2</w:t>
            </w:r>
          </w:p>
        </w:tc>
        <w:tc>
          <w:tcPr>
            <w:tcW w:type="dxa" w:w="864"/>
            <w:tcMar>
              <w:top w:w="60" w:type="dxa"/>
              <w:bottom w:w="60" w:type="dxa"/>
              <w:left w:w="80" w:type="dxa"/>
              <w:right w:w="80" w:type="dxa"/>
            </w:tcMar>
          </w:tcPr>
          <w:p>
            <w:r>
              <w:rPr>
                <w:rFonts w:ascii="Calibri" w:hAnsi="Calibri"/>
                <w:b/>
              </w:rPr>
              <w:t>B</w:t>
            </w:r>
          </w:p>
        </w:tc>
        <w:tc>
          <w:tcPr>
            <w:tcW w:type="dxa" w:w="3312"/>
            <w:tcMar>
              <w:top w:w="60" w:type="dxa"/>
              <w:bottom w:w="60" w:type="dxa"/>
              <w:left w:w="80" w:type="dxa"/>
              <w:right w:w="80" w:type="dxa"/>
            </w:tcMar>
          </w:tcPr>
          <w:p>
            <w:r>
              <w:rPr>
                <w:rFonts w:ascii="Calibri" w:hAnsi="Calibri"/>
              </w:rPr>
              <w:t>Best Alternative To a Negotiated Agreement</w:t>
            </w:r>
          </w:p>
        </w:tc>
        <w:tc>
          <w:tcPr>
            <w:tcW w:type="dxa" w:w="4320"/>
            <w:tcMar>
              <w:top w:w="60" w:type="dxa"/>
              <w:bottom w:w="60" w:type="dxa"/>
              <w:left w:w="80" w:type="dxa"/>
              <w:right w:w="80" w:type="dxa"/>
            </w:tcMar>
          </w:tcPr>
          <w:p>
            <w:r>
              <w:rPr>
                <w:rFonts w:ascii="Calibri" w:hAnsi="Calibri"/>
              </w:rPr>
              <w:t>BATNA definition in collective bargaining.</w:t>
            </w:r>
          </w:p>
        </w:tc>
      </w:tr>
      <w:tr>
        <w:tc>
          <w:tcPr>
            <w:tcW w:type="dxa" w:w="864"/>
            <w:tcMar>
              <w:top w:w="60" w:type="dxa"/>
              <w:bottom w:w="60" w:type="dxa"/>
              <w:left w:w="80" w:type="dxa"/>
              <w:right w:w="80" w:type="dxa"/>
            </w:tcMar>
          </w:tcPr>
          <w:p>
            <w:r>
              <w:rPr>
                <w:rFonts w:ascii="Calibri" w:hAnsi="Calibri"/>
              </w:rPr>
              <w:t>Q3</w:t>
            </w:r>
          </w:p>
        </w:tc>
        <w:tc>
          <w:tcPr>
            <w:tcW w:type="dxa" w:w="864"/>
            <w:tcMar>
              <w:top w:w="60" w:type="dxa"/>
              <w:bottom w:w="60" w:type="dxa"/>
              <w:left w:w="80" w:type="dxa"/>
              <w:right w:w="80" w:type="dxa"/>
            </w:tcMar>
          </w:tcPr>
          <w:p>
            <w:r>
              <w:rPr>
                <w:rFonts w:ascii="Calibri" w:hAnsi="Calibri"/>
                <w:b/>
              </w:rPr>
              <w:t>B</w:t>
            </w:r>
          </w:p>
        </w:tc>
        <w:tc>
          <w:tcPr>
            <w:tcW w:type="dxa" w:w="3312"/>
            <w:tcMar>
              <w:top w:w="60" w:type="dxa"/>
              <w:bottom w:w="60" w:type="dxa"/>
              <w:left w:w="80" w:type="dxa"/>
              <w:right w:w="80" w:type="dxa"/>
            </w:tcMar>
          </w:tcPr>
          <w:p>
            <w:r>
              <w:rPr>
                <w:rFonts w:ascii="Calibri" w:hAnsi="Calibri"/>
              </w:rPr>
              <w:t>Reasonable time off with pay during working hours to perform union duties</w:t>
            </w:r>
          </w:p>
        </w:tc>
        <w:tc>
          <w:tcPr>
            <w:tcW w:type="dxa" w:w="4320"/>
            <w:tcMar>
              <w:top w:w="60" w:type="dxa"/>
              <w:bottom w:w="60" w:type="dxa"/>
              <w:left w:w="80" w:type="dxa"/>
              <w:right w:w="80" w:type="dxa"/>
            </w:tcMar>
          </w:tcPr>
          <w:p>
            <w:r>
              <w:rPr>
                <w:rFonts w:ascii="Calibri" w:hAnsi="Calibri"/>
              </w:rPr>
              <w:t>Section 14 of the Labour Relations Act statutory shop steward rights.</w:t>
            </w:r>
          </w:p>
        </w:tc>
      </w:tr>
      <w:tr>
        <w:tc>
          <w:tcPr>
            <w:tcW w:type="dxa" w:w="864"/>
            <w:tcMar>
              <w:top w:w="60" w:type="dxa"/>
              <w:bottom w:w="60" w:type="dxa"/>
              <w:left w:w="80" w:type="dxa"/>
              <w:right w:w="80" w:type="dxa"/>
            </w:tcMar>
          </w:tcPr>
          <w:p>
            <w:r>
              <w:rPr>
                <w:rFonts w:ascii="Calibri" w:hAnsi="Calibri"/>
              </w:rPr>
              <w:t>Q4</w:t>
            </w:r>
          </w:p>
        </w:tc>
        <w:tc>
          <w:tcPr>
            <w:tcW w:type="dxa" w:w="864"/>
            <w:tcMar>
              <w:top w:w="60" w:type="dxa"/>
              <w:bottom w:w="60" w:type="dxa"/>
              <w:left w:w="80" w:type="dxa"/>
              <w:right w:w="80" w:type="dxa"/>
            </w:tcMar>
          </w:tcPr>
          <w:p>
            <w:r>
              <w:rPr>
                <w:rFonts w:ascii="Calibri" w:hAnsi="Calibri"/>
                <w:b/>
              </w:rPr>
              <w:t>B</w:t>
            </w:r>
          </w:p>
        </w:tc>
        <w:tc>
          <w:tcPr>
            <w:tcW w:type="dxa" w:w="3312"/>
            <w:tcMar>
              <w:top w:w="60" w:type="dxa"/>
              <w:bottom w:w="60" w:type="dxa"/>
              <w:left w:w="80" w:type="dxa"/>
              <w:right w:w="80" w:type="dxa"/>
            </w:tcMar>
          </w:tcPr>
          <w:p>
            <w:r>
              <w:rPr>
                <w:rFonts w:ascii="Calibri" w:hAnsi="Calibri"/>
              </w:rPr>
              <w:t>A grievance is a complaint regarding unfair treatment; a disciplinary issue involves alleged misconduct</w:t>
            </w:r>
          </w:p>
        </w:tc>
        <w:tc>
          <w:tcPr>
            <w:tcW w:type="dxa" w:w="4320"/>
            <w:tcMar>
              <w:top w:w="60" w:type="dxa"/>
              <w:bottom w:w="60" w:type="dxa"/>
              <w:left w:w="80" w:type="dxa"/>
              <w:right w:w="80" w:type="dxa"/>
            </w:tcMar>
          </w:tcPr>
          <w:p>
            <w:r>
              <w:rPr>
                <w:rFonts w:ascii="Calibri" w:hAnsi="Calibri"/>
              </w:rPr>
              <w:t>Core distinction between grievance and discipline.</w:t>
            </w:r>
          </w:p>
        </w:tc>
      </w:tr>
      <w:tr>
        <w:tc>
          <w:tcPr>
            <w:tcW w:type="dxa" w:w="864"/>
            <w:tcMar>
              <w:top w:w="60" w:type="dxa"/>
              <w:bottom w:w="60" w:type="dxa"/>
              <w:left w:w="80" w:type="dxa"/>
              <w:right w:w="80" w:type="dxa"/>
            </w:tcMar>
          </w:tcPr>
          <w:p>
            <w:r>
              <w:rPr>
                <w:rFonts w:ascii="Calibri" w:hAnsi="Calibri"/>
              </w:rPr>
              <w:t>Q5</w:t>
            </w:r>
          </w:p>
        </w:tc>
        <w:tc>
          <w:tcPr>
            <w:tcW w:type="dxa" w:w="864"/>
            <w:tcMar>
              <w:top w:w="60" w:type="dxa"/>
              <w:bottom w:w="60" w:type="dxa"/>
              <w:left w:w="80" w:type="dxa"/>
              <w:right w:w="80" w:type="dxa"/>
            </w:tcMar>
          </w:tcPr>
          <w:p>
            <w:r>
              <w:rPr>
                <w:rFonts w:ascii="Calibri" w:hAnsi="Calibri"/>
                <w:b/>
              </w:rPr>
              <w:t>B</w:t>
            </w:r>
          </w:p>
        </w:tc>
        <w:tc>
          <w:tcPr>
            <w:tcW w:type="dxa" w:w="3312"/>
            <w:tcMar>
              <w:top w:w="60" w:type="dxa"/>
              <w:bottom w:w="60" w:type="dxa"/>
              <w:left w:w="80" w:type="dxa"/>
              <w:right w:w="80" w:type="dxa"/>
            </w:tcMar>
          </w:tcPr>
          <w:p>
            <w:r>
              <w:rPr>
                <w:rFonts w:ascii="Calibri" w:hAnsi="Calibri"/>
              </w:rPr>
              <w:t>On a balance of probabilities</w:t>
            </w:r>
          </w:p>
        </w:tc>
        <w:tc>
          <w:tcPr>
            <w:tcW w:type="dxa" w:w="4320"/>
            <w:tcMar>
              <w:top w:w="60" w:type="dxa"/>
              <w:bottom w:w="60" w:type="dxa"/>
              <w:left w:w="80" w:type="dxa"/>
              <w:right w:w="80" w:type="dxa"/>
            </w:tcMar>
          </w:tcPr>
          <w:p>
            <w:r>
              <w:rPr>
                <w:rFonts w:ascii="Calibri" w:hAnsi="Calibri"/>
              </w:rPr>
              <w:t>Civil/labour law standard of proof in CCMA proceedings.</w:t>
            </w:r>
          </w:p>
        </w:tc>
      </w:tr>
      <w:tr>
        <w:tc>
          <w:tcPr>
            <w:tcW w:type="dxa" w:w="864"/>
            <w:tcMar>
              <w:top w:w="60" w:type="dxa"/>
              <w:bottom w:w="60" w:type="dxa"/>
              <w:left w:w="80" w:type="dxa"/>
              <w:right w:w="80" w:type="dxa"/>
            </w:tcMar>
          </w:tcPr>
          <w:p>
            <w:r>
              <w:rPr>
                <w:rFonts w:ascii="Calibri" w:hAnsi="Calibri"/>
              </w:rPr>
              <w:t>Q6</w:t>
            </w:r>
          </w:p>
        </w:tc>
        <w:tc>
          <w:tcPr>
            <w:tcW w:type="dxa" w:w="864"/>
            <w:tcMar>
              <w:top w:w="60" w:type="dxa"/>
              <w:bottom w:w="60" w:type="dxa"/>
              <w:left w:w="80" w:type="dxa"/>
              <w:right w:w="80" w:type="dxa"/>
            </w:tcMar>
          </w:tcPr>
          <w:p>
            <w:r>
              <w:rPr>
                <w:rFonts w:ascii="Calibri" w:hAnsi="Calibri"/>
                <w:b/>
              </w:rPr>
              <w:t>C</w:t>
            </w:r>
          </w:p>
        </w:tc>
        <w:tc>
          <w:tcPr>
            <w:tcW w:type="dxa" w:w="3312"/>
            <w:tcMar>
              <w:top w:w="60" w:type="dxa"/>
              <w:bottom w:w="60" w:type="dxa"/>
              <w:left w:w="80" w:type="dxa"/>
              <w:right w:w="80" w:type="dxa"/>
            </w:tcMar>
          </w:tcPr>
          <w:p>
            <w:r>
              <w:rPr>
                <w:rFonts w:ascii="Calibri" w:hAnsi="Calibri"/>
              </w:rPr>
              <w:t>Conciliation</w:t>
            </w:r>
          </w:p>
        </w:tc>
        <w:tc>
          <w:tcPr>
            <w:tcW w:type="dxa" w:w="4320"/>
            <w:tcMar>
              <w:top w:w="60" w:type="dxa"/>
              <w:bottom w:w="60" w:type="dxa"/>
              <w:left w:w="80" w:type="dxa"/>
              <w:right w:w="80" w:type="dxa"/>
            </w:tcMar>
          </w:tcPr>
          <w:p>
            <w:r>
              <w:rPr>
                <w:rFonts w:ascii="Calibri" w:hAnsi="Calibri"/>
              </w:rPr>
              <w:t>Non-binding CCMA dispute resolution facilitation process.</w:t>
            </w:r>
          </w:p>
        </w:tc>
      </w:tr>
      <w:tr>
        <w:tc>
          <w:tcPr>
            <w:tcW w:type="dxa" w:w="864"/>
            <w:tcMar>
              <w:top w:w="60" w:type="dxa"/>
              <w:bottom w:w="60" w:type="dxa"/>
              <w:left w:w="80" w:type="dxa"/>
              <w:right w:w="80" w:type="dxa"/>
            </w:tcMar>
          </w:tcPr>
          <w:p>
            <w:r>
              <w:rPr>
                <w:rFonts w:ascii="Calibri" w:hAnsi="Calibri"/>
              </w:rPr>
              <w:t>Q7</w:t>
            </w:r>
          </w:p>
        </w:tc>
        <w:tc>
          <w:tcPr>
            <w:tcW w:type="dxa" w:w="864"/>
            <w:tcMar>
              <w:top w:w="60" w:type="dxa"/>
              <w:bottom w:w="60" w:type="dxa"/>
              <w:left w:w="80" w:type="dxa"/>
              <w:right w:w="80" w:type="dxa"/>
            </w:tcMar>
          </w:tcPr>
          <w:p>
            <w:r>
              <w:rPr>
                <w:rFonts w:ascii="Calibri" w:hAnsi="Calibri"/>
                <w:b/>
              </w:rPr>
              <w:t>A</w:t>
            </w:r>
          </w:p>
        </w:tc>
        <w:tc>
          <w:tcPr>
            <w:tcW w:type="dxa" w:w="3312"/>
            <w:tcMar>
              <w:top w:w="60" w:type="dxa"/>
              <w:bottom w:w="60" w:type="dxa"/>
              <w:left w:w="80" w:type="dxa"/>
              <w:right w:w="80" w:type="dxa"/>
            </w:tcMar>
          </w:tcPr>
          <w:p>
            <w:r>
              <w:rPr>
                <w:rFonts w:ascii="Calibri" w:hAnsi="Calibri"/>
              </w:rPr>
              <w:t>Integrative Bargaining</w:t>
            </w:r>
          </w:p>
        </w:tc>
        <w:tc>
          <w:tcPr>
            <w:tcW w:type="dxa" w:w="4320"/>
            <w:tcMar>
              <w:top w:w="60" w:type="dxa"/>
              <w:bottom w:w="60" w:type="dxa"/>
              <w:left w:w="80" w:type="dxa"/>
              <w:right w:w="80" w:type="dxa"/>
            </w:tcMar>
          </w:tcPr>
          <w:p>
            <w:r>
              <w:rPr>
                <w:rFonts w:ascii="Calibri" w:hAnsi="Calibri"/>
              </w:rPr>
              <w:t>Win-win interest-based bargaining approach.</w:t>
            </w:r>
          </w:p>
        </w:tc>
      </w:tr>
      <w:tr>
        <w:tc>
          <w:tcPr>
            <w:tcW w:type="dxa" w:w="864"/>
            <w:tcMar>
              <w:top w:w="60" w:type="dxa"/>
              <w:bottom w:w="60" w:type="dxa"/>
              <w:left w:w="80" w:type="dxa"/>
              <w:right w:w="80" w:type="dxa"/>
            </w:tcMar>
          </w:tcPr>
          <w:p>
            <w:r>
              <w:rPr>
                <w:rFonts w:ascii="Calibri" w:hAnsi="Calibri"/>
              </w:rPr>
              <w:t>Q8</w:t>
            </w:r>
          </w:p>
        </w:tc>
        <w:tc>
          <w:tcPr>
            <w:tcW w:type="dxa" w:w="864"/>
            <w:tcMar>
              <w:top w:w="60" w:type="dxa"/>
              <w:bottom w:w="60" w:type="dxa"/>
              <w:left w:w="80" w:type="dxa"/>
              <w:right w:w="80" w:type="dxa"/>
            </w:tcMar>
          </w:tcPr>
          <w:p>
            <w:r>
              <w:rPr>
                <w:rFonts w:ascii="Calibri" w:hAnsi="Calibri"/>
                <w:b/>
              </w:rPr>
              <w:t>C</w:t>
            </w:r>
          </w:p>
        </w:tc>
        <w:tc>
          <w:tcPr>
            <w:tcW w:type="dxa" w:w="3312"/>
            <w:tcMar>
              <w:top w:w="60" w:type="dxa"/>
              <w:bottom w:w="60" w:type="dxa"/>
              <w:left w:w="80" w:type="dxa"/>
              <w:right w:w="80" w:type="dxa"/>
            </w:tcMar>
          </w:tcPr>
          <w:p>
            <w:r>
              <w:rPr>
                <w:rFonts w:ascii="Calibri" w:hAnsi="Calibri"/>
              </w:rPr>
              <w:t>The employer must prove on a balance of probabilities</w:t>
            </w:r>
          </w:p>
        </w:tc>
        <w:tc>
          <w:tcPr>
            <w:tcW w:type="dxa" w:w="4320"/>
            <w:tcMar>
              <w:top w:w="60" w:type="dxa"/>
              <w:bottom w:w="60" w:type="dxa"/>
              <w:left w:w="80" w:type="dxa"/>
              <w:right w:w="80" w:type="dxa"/>
            </w:tcMar>
          </w:tcPr>
          <w:p>
            <w:r>
              <w:rPr>
                <w:rFonts w:ascii="Calibri" w:hAnsi="Calibri"/>
              </w:rPr>
              <w:t>Onus/burden of proof lies with the employer in misconduct disputes.</w:t>
            </w:r>
          </w:p>
        </w:tc>
      </w:tr>
      <w:tr>
        <w:tc>
          <w:tcPr>
            <w:tcW w:type="dxa" w:w="864"/>
            <w:tcMar>
              <w:top w:w="60" w:type="dxa"/>
              <w:bottom w:w="60" w:type="dxa"/>
              <w:left w:w="80" w:type="dxa"/>
              <w:right w:w="80" w:type="dxa"/>
            </w:tcMar>
          </w:tcPr>
          <w:p>
            <w:r>
              <w:rPr>
                <w:rFonts w:ascii="Calibri" w:hAnsi="Calibri"/>
              </w:rPr>
              <w:t>Q9</w:t>
            </w:r>
          </w:p>
        </w:tc>
        <w:tc>
          <w:tcPr>
            <w:tcW w:type="dxa" w:w="864"/>
            <w:tcMar>
              <w:top w:w="60" w:type="dxa"/>
              <w:bottom w:w="60" w:type="dxa"/>
              <w:left w:w="80" w:type="dxa"/>
              <w:right w:w="80" w:type="dxa"/>
            </w:tcMar>
          </w:tcPr>
          <w:p>
            <w:r>
              <w:rPr>
                <w:rFonts w:ascii="Calibri" w:hAnsi="Calibri"/>
                <w:b/>
              </w:rPr>
              <w:t>B</w:t>
            </w:r>
          </w:p>
        </w:tc>
        <w:tc>
          <w:tcPr>
            <w:tcW w:type="dxa" w:w="3312"/>
            <w:tcMar>
              <w:top w:w="60" w:type="dxa"/>
              <w:bottom w:w="60" w:type="dxa"/>
              <w:left w:w="80" w:type="dxa"/>
              <w:right w:w="80" w:type="dxa"/>
            </w:tcMar>
          </w:tcPr>
          <w:p>
            <w:r>
              <w:rPr>
                <w:rFonts w:ascii="Calibri" w:hAnsi="Calibri"/>
              </w:rPr>
              <w:t>Protection of Personal Information Act (POPIA)</w:t>
            </w:r>
          </w:p>
        </w:tc>
        <w:tc>
          <w:tcPr>
            <w:tcW w:type="dxa" w:w="4320"/>
            <w:tcMar>
              <w:top w:w="60" w:type="dxa"/>
              <w:bottom w:w="60" w:type="dxa"/>
              <w:left w:w="80" w:type="dxa"/>
              <w:right w:w="80" w:type="dxa"/>
            </w:tcMar>
          </w:tcPr>
          <w:p>
            <w:r>
              <w:rPr>
                <w:rFonts w:ascii="Calibri" w:hAnsi="Calibri"/>
              </w:rPr>
              <w:t>Statute regulating processing and storage of employee records.</w:t>
            </w:r>
          </w:p>
        </w:tc>
      </w:tr>
      <w:tr>
        <w:tc>
          <w:tcPr>
            <w:tcW w:type="dxa" w:w="864"/>
            <w:tcMar>
              <w:top w:w="60" w:type="dxa"/>
              <w:bottom w:w="60" w:type="dxa"/>
              <w:left w:w="80" w:type="dxa"/>
              <w:right w:w="80" w:type="dxa"/>
            </w:tcMar>
          </w:tcPr>
          <w:p>
            <w:r>
              <w:rPr>
                <w:rFonts w:ascii="Calibri" w:hAnsi="Calibri"/>
              </w:rPr>
              <w:t>10</w:t>
            </w:r>
          </w:p>
        </w:tc>
        <w:tc>
          <w:tcPr>
            <w:tcW w:type="dxa" w:w="864"/>
            <w:tcMar>
              <w:top w:w="60" w:type="dxa"/>
              <w:bottom w:w="60" w:type="dxa"/>
              <w:left w:w="80" w:type="dxa"/>
              <w:right w:w="80" w:type="dxa"/>
            </w:tcMar>
          </w:tcPr>
          <w:p>
            <w:r>
              <w:rPr>
                <w:rFonts w:ascii="Calibri" w:hAnsi="Calibri"/>
                <w:b/>
              </w:rPr>
              <w:t>B</w:t>
            </w:r>
          </w:p>
        </w:tc>
        <w:tc>
          <w:tcPr>
            <w:tcW w:type="dxa" w:w="3312"/>
            <w:tcMar>
              <w:top w:w="60" w:type="dxa"/>
              <w:bottom w:w="60" w:type="dxa"/>
              <w:left w:w="80" w:type="dxa"/>
              <w:right w:w="80" w:type="dxa"/>
            </w:tcMar>
          </w:tcPr>
          <w:p>
            <w:r>
              <w:rPr>
                <w:rFonts w:ascii="Calibri" w:hAnsi="Calibri"/>
              </w:rPr>
              <w:t>Legally binding on the employer, union members, and non-union employees if extended</w:t>
            </w:r>
          </w:p>
        </w:tc>
        <w:tc>
          <w:tcPr>
            <w:tcW w:type="dxa" w:w="4320"/>
            <w:tcMar>
              <w:top w:w="60" w:type="dxa"/>
              <w:bottom w:w="60" w:type="dxa"/>
              <w:left w:w="80" w:type="dxa"/>
              <w:right w:w="80" w:type="dxa"/>
            </w:tcMar>
          </w:tcPr>
          <w:p>
            <w:r>
              <w:rPr>
                <w:rFonts w:ascii="Calibri" w:hAnsi="Calibri"/>
              </w:rPr>
              <w:t>LRA Section 23 collective agreement binding effect.</w:t>
            </w:r>
          </w:p>
        </w:tc>
      </w:tr>
      <w:tr>
        <w:tc>
          <w:tcPr>
            <w:tcW w:type="dxa" w:w="864"/>
            <w:tcMar>
              <w:top w:w="60" w:type="dxa"/>
              <w:bottom w:w="60" w:type="dxa"/>
              <w:left w:w="80" w:type="dxa"/>
              <w:right w:w="80" w:type="dxa"/>
            </w:tcMar>
          </w:tcPr>
          <w:p>
            <w:r>
              <w:rPr>
                <w:rFonts w:ascii="Calibri" w:hAnsi="Calibri"/>
              </w:rPr>
              <w:t>Q11</w:t>
            </w:r>
          </w:p>
        </w:tc>
        <w:tc>
          <w:tcPr>
            <w:tcW w:type="dxa" w:w="864"/>
            <w:tcMar>
              <w:top w:w="60" w:type="dxa"/>
              <w:bottom w:w="60" w:type="dxa"/>
              <w:left w:w="80" w:type="dxa"/>
              <w:right w:w="80" w:type="dxa"/>
            </w:tcMar>
          </w:tcPr>
          <w:p>
            <w:r>
              <w:rPr>
                <w:rFonts w:ascii="Calibri" w:hAnsi="Calibri"/>
                <w:b/>
              </w:rPr>
              <w:t>C</w:t>
            </w:r>
          </w:p>
        </w:tc>
        <w:tc>
          <w:tcPr>
            <w:tcW w:type="dxa" w:w="3312"/>
            <w:tcMar>
              <w:top w:w="60" w:type="dxa"/>
              <w:bottom w:w="60" w:type="dxa"/>
              <w:left w:w="80" w:type="dxa"/>
              <w:right w:w="80" w:type="dxa"/>
            </w:tcMar>
          </w:tcPr>
          <w:p>
            <w:r>
              <w:rPr>
                <w:rFonts w:ascii="Calibri" w:hAnsi="Calibri"/>
              </w:rPr>
              <w:t>The employee providing skills and labour in exchange for remuneration</w:t>
            </w:r>
          </w:p>
        </w:tc>
        <w:tc>
          <w:tcPr>
            <w:tcW w:type="dxa" w:w="4320"/>
            <w:tcMar>
              <w:top w:w="60" w:type="dxa"/>
              <w:bottom w:w="60" w:type="dxa"/>
              <w:left w:w="80" w:type="dxa"/>
              <w:right w:w="80" w:type="dxa"/>
            </w:tcMar>
          </w:tcPr>
          <w:p>
            <w:r>
              <w:rPr>
                <w:rFonts w:ascii="Calibri" w:hAnsi="Calibri"/>
              </w:rPr>
              <w:t>Contract law consideration requirement.</w:t>
            </w:r>
          </w:p>
        </w:tc>
      </w:tr>
      <w:tr>
        <w:tc>
          <w:tcPr>
            <w:tcW w:type="dxa" w:w="864"/>
            <w:tcMar>
              <w:top w:w="60" w:type="dxa"/>
              <w:bottom w:w="60" w:type="dxa"/>
              <w:left w:w="80" w:type="dxa"/>
              <w:right w:w="80" w:type="dxa"/>
            </w:tcMar>
          </w:tcPr>
          <w:p>
            <w:r>
              <w:rPr>
                <w:rFonts w:ascii="Calibri" w:hAnsi="Calibri"/>
              </w:rPr>
              <w:t>Q12</w:t>
            </w:r>
          </w:p>
        </w:tc>
        <w:tc>
          <w:tcPr>
            <w:tcW w:type="dxa" w:w="864"/>
            <w:tcMar>
              <w:top w:w="60" w:type="dxa"/>
              <w:bottom w:w="60" w:type="dxa"/>
              <w:left w:w="80" w:type="dxa"/>
              <w:right w:w="80" w:type="dxa"/>
            </w:tcMar>
          </w:tcPr>
          <w:p>
            <w:r>
              <w:rPr>
                <w:rFonts w:ascii="Calibri" w:hAnsi="Calibri"/>
                <w:b/>
              </w:rPr>
              <w:t>B</w:t>
            </w:r>
          </w:p>
        </w:tc>
        <w:tc>
          <w:tcPr>
            <w:tcW w:type="dxa" w:w="3312"/>
            <w:tcMar>
              <w:top w:w="60" w:type="dxa"/>
              <w:bottom w:w="60" w:type="dxa"/>
              <w:left w:w="80" w:type="dxa"/>
              <w:right w:w="80" w:type="dxa"/>
            </w:tcMar>
          </w:tcPr>
          <w:p>
            <w:r>
              <w:rPr>
                <w:rFonts w:ascii="Calibri" w:hAnsi="Calibri"/>
              </w:rPr>
              <w:t>Stay Interviews</w:t>
            </w:r>
          </w:p>
        </w:tc>
        <w:tc>
          <w:tcPr>
            <w:tcW w:type="dxa" w:w="4320"/>
            <w:tcMar>
              <w:top w:w="60" w:type="dxa"/>
              <w:bottom w:w="60" w:type="dxa"/>
              <w:left w:w="80" w:type="dxa"/>
              <w:right w:w="80" w:type="dxa"/>
            </w:tcMar>
          </w:tcPr>
          <w:p>
            <w:r>
              <w:rPr>
                <w:rFonts w:ascii="Calibri" w:hAnsi="Calibri"/>
              </w:rPr>
              <w:t>Retention-focused proactive employee engagement technique.</w:t>
            </w:r>
          </w:p>
        </w:tc>
      </w:tr>
      <w:tr>
        <w:tc>
          <w:tcPr>
            <w:tcW w:type="dxa" w:w="864"/>
            <w:tcMar>
              <w:top w:w="60" w:type="dxa"/>
              <w:bottom w:w="60" w:type="dxa"/>
              <w:left w:w="80" w:type="dxa"/>
              <w:right w:w="80" w:type="dxa"/>
            </w:tcMar>
          </w:tcPr>
          <w:p>
            <w:r>
              <w:rPr>
                <w:rFonts w:ascii="Calibri" w:hAnsi="Calibri"/>
              </w:rPr>
              <w:t>Q13</w:t>
            </w:r>
          </w:p>
        </w:tc>
        <w:tc>
          <w:tcPr>
            <w:tcW w:type="dxa" w:w="864"/>
            <w:tcMar>
              <w:top w:w="60" w:type="dxa"/>
              <w:bottom w:w="60" w:type="dxa"/>
              <w:left w:w="80" w:type="dxa"/>
              <w:right w:w="80" w:type="dxa"/>
            </w:tcMar>
          </w:tcPr>
          <w:p>
            <w:r>
              <w:rPr>
                <w:rFonts w:ascii="Calibri" w:hAnsi="Calibri"/>
                <w:b/>
              </w:rPr>
              <w:t>B</w:t>
            </w:r>
          </w:p>
        </w:tc>
        <w:tc>
          <w:tcPr>
            <w:tcW w:type="dxa" w:w="3312"/>
            <w:tcMar>
              <w:top w:w="60" w:type="dxa"/>
              <w:bottom w:w="60" w:type="dxa"/>
              <w:left w:w="80" w:type="dxa"/>
              <w:right w:w="80" w:type="dxa"/>
            </w:tcMar>
          </w:tcPr>
          <w:p>
            <w:r>
              <w:rPr>
                <w:rFonts w:ascii="Calibri" w:hAnsi="Calibri"/>
              </w:rPr>
              <w:t>At least 3 working days</w:t>
            </w:r>
          </w:p>
        </w:tc>
        <w:tc>
          <w:tcPr>
            <w:tcW w:type="dxa" w:w="4320"/>
            <w:tcMar>
              <w:top w:w="60" w:type="dxa"/>
              <w:bottom w:w="60" w:type="dxa"/>
              <w:left w:w="80" w:type="dxa"/>
              <w:right w:w="80" w:type="dxa"/>
            </w:tcMar>
          </w:tcPr>
          <w:p>
            <w:r>
              <w:rPr>
                <w:rFonts w:ascii="Calibri" w:hAnsi="Calibri"/>
              </w:rPr>
              <w:t>LRA Code of Good Practice: Dismissal advance notice requirement.</w:t>
            </w:r>
          </w:p>
        </w:tc>
      </w:tr>
      <w:tr>
        <w:tc>
          <w:tcPr>
            <w:tcW w:type="dxa" w:w="864"/>
            <w:tcMar>
              <w:top w:w="60" w:type="dxa"/>
              <w:bottom w:w="60" w:type="dxa"/>
              <w:left w:w="80" w:type="dxa"/>
              <w:right w:w="80" w:type="dxa"/>
            </w:tcMar>
          </w:tcPr>
          <w:p>
            <w:r>
              <w:rPr>
                <w:rFonts w:ascii="Calibri" w:hAnsi="Calibri"/>
              </w:rPr>
              <w:t>14</w:t>
            </w:r>
          </w:p>
        </w:tc>
        <w:tc>
          <w:tcPr>
            <w:tcW w:type="dxa" w:w="864"/>
            <w:tcMar>
              <w:top w:w="60" w:type="dxa"/>
              <w:bottom w:w="60" w:type="dxa"/>
              <w:left w:w="80" w:type="dxa"/>
              <w:right w:w="80" w:type="dxa"/>
            </w:tcMar>
          </w:tcPr>
          <w:p>
            <w:r>
              <w:rPr>
                <w:rFonts w:ascii="Calibri" w:hAnsi="Calibri"/>
                <w:b/>
              </w:rPr>
              <w:t>B</w:t>
            </w:r>
          </w:p>
        </w:tc>
        <w:tc>
          <w:tcPr>
            <w:tcW w:type="dxa" w:w="3312"/>
            <w:tcMar>
              <w:top w:w="60" w:type="dxa"/>
              <w:bottom w:w="60" w:type="dxa"/>
              <w:left w:w="80" w:type="dxa"/>
              <w:right w:w="80" w:type="dxa"/>
            </w:tcMar>
          </w:tcPr>
          <w:p>
            <w:r>
              <w:rPr>
                <w:rFonts w:ascii="Calibri" w:hAnsi="Calibri"/>
              </w:rPr>
              <w:t>Bargaining Council</w:t>
            </w:r>
          </w:p>
        </w:tc>
        <w:tc>
          <w:tcPr>
            <w:tcW w:type="dxa" w:w="4320"/>
            <w:tcMar>
              <w:top w:w="60" w:type="dxa"/>
              <w:bottom w:w="60" w:type="dxa"/>
              <w:left w:w="80" w:type="dxa"/>
              <w:right w:w="80" w:type="dxa"/>
            </w:tcMar>
          </w:tcPr>
          <w:p>
            <w:r>
              <w:rPr>
                <w:rFonts w:ascii="Calibri" w:hAnsi="Calibri"/>
              </w:rPr>
              <w:t>Statutory sector bargaining body under LRA.</w:t>
            </w:r>
          </w:p>
        </w:tc>
      </w:tr>
      <w:tr>
        <w:tc>
          <w:tcPr>
            <w:tcW w:type="dxa" w:w="864"/>
            <w:tcMar>
              <w:top w:w="60" w:type="dxa"/>
              <w:bottom w:w="60" w:type="dxa"/>
              <w:left w:w="80" w:type="dxa"/>
              <w:right w:w="80" w:type="dxa"/>
            </w:tcMar>
          </w:tcPr>
          <w:p>
            <w:r>
              <w:rPr>
                <w:rFonts w:ascii="Calibri" w:hAnsi="Calibri"/>
              </w:rPr>
              <w:t>Q15</w:t>
            </w:r>
          </w:p>
        </w:tc>
        <w:tc>
          <w:tcPr>
            <w:tcW w:type="dxa" w:w="864"/>
            <w:tcMar>
              <w:top w:w="60" w:type="dxa"/>
              <w:bottom w:w="60" w:type="dxa"/>
              <w:left w:w="80" w:type="dxa"/>
              <w:right w:w="80" w:type="dxa"/>
            </w:tcMar>
          </w:tcPr>
          <w:p>
            <w:r>
              <w:rPr>
                <w:rFonts w:ascii="Calibri" w:hAnsi="Calibri"/>
                <w:b/>
              </w:rPr>
              <w:t>B</w:t>
            </w:r>
          </w:p>
        </w:tc>
        <w:tc>
          <w:tcPr>
            <w:tcW w:type="dxa" w:w="3312"/>
            <w:tcMar>
              <w:top w:w="60" w:type="dxa"/>
              <w:bottom w:w="60" w:type="dxa"/>
              <w:left w:w="80" w:type="dxa"/>
              <w:right w:w="80" w:type="dxa"/>
            </w:tcMar>
          </w:tcPr>
          <w:p>
            <w:r>
              <w:rPr>
                <w:rFonts w:ascii="Calibri" w:hAnsi="Calibri"/>
              </w:rPr>
              <w:t>It is final and legally binding on both parties, carrying the weight of a Labour Court order</w:t>
            </w:r>
          </w:p>
        </w:tc>
        <w:tc>
          <w:tcPr>
            <w:tcW w:type="dxa" w:w="4320"/>
            <w:tcMar>
              <w:top w:w="60" w:type="dxa"/>
              <w:bottom w:w="60" w:type="dxa"/>
              <w:left w:w="80" w:type="dxa"/>
              <w:right w:w="80" w:type="dxa"/>
            </w:tcMar>
          </w:tcPr>
          <w:p>
            <w:r>
              <w:rPr>
                <w:rFonts w:ascii="Calibri" w:hAnsi="Calibri"/>
              </w:rPr>
              <w:t>LRA Section 143 effect of CCMA Arbitration Awards.</w:t>
            </w:r>
          </w:p>
        </w:tc>
      </w:tr>
    </w:tbl>
    <w:p>
      <w:pPr>
        <w:spacing w:after="240"/>
      </w:pPr>
    </w:p>
    <w:p>
      <w:pPr>
        <w:keepNext/>
        <w:spacing w:before="320" w:after="120"/>
      </w:pPr>
      <w:r>
        <w:rPr>
          <w:rFonts w:ascii="Arial" w:hAnsi="Arial"/>
          <w:b/>
          <w:color w:val="8C280A"/>
          <w:sz w:val="32"/>
        </w:rPr>
        <w:t>SECTION 4: SECTION C - SCRAMBLED TRUE / FALSE MARKING MEMO (20 MARKS)</w:t>
      </w:r>
    </w:p>
    <w:p>
      <w:pPr>
        <w:keepNext/>
        <w:spacing w:after="40"/>
      </w:pPr>
      <w:r>
        <w:rPr>
          <w:rFonts w:ascii="Calibri" w:hAnsi="Calibri"/>
          <w:b/>
          <w:sz w:val="21"/>
        </w:rPr>
        <w:t>Statement 1: TRUE</w:t>
      </w:r>
    </w:p>
    <w:p>
      <w:pPr>
        <w:spacing w:after="120"/>
        <w:ind w:left="288"/>
      </w:pPr>
      <w:r>
        <w:rPr>
          <w:rFonts w:ascii="Calibri" w:hAnsi="Calibri"/>
          <w:sz w:val="19"/>
        </w:rPr>
        <w:t>Marking Key: 1 Mark for Status + 3 Marks for Justification.</w:t>
        <w:br/>
        <w:t>Model Rationale: Under South African contract law and constitutional principles, any contractual clause that violates statutory labour law (such as paying below the National Minimum Wage Act or waiving basic BCEA rights) is illegal, void ab initio, and unenforceable.</w:t>
      </w:r>
    </w:p>
    <w:p>
      <w:pPr>
        <w:keepNext/>
        <w:spacing w:after="40"/>
      </w:pPr>
      <w:r>
        <w:rPr>
          <w:rFonts w:ascii="Calibri" w:hAnsi="Calibri"/>
          <w:b/>
          <w:sz w:val="21"/>
        </w:rPr>
        <w:t>Statement 2: FALSE</w:t>
      </w:r>
    </w:p>
    <w:p>
      <w:pPr>
        <w:spacing w:after="120"/>
        <w:ind w:left="288"/>
      </w:pPr>
      <w:r>
        <w:rPr>
          <w:rFonts w:ascii="Calibri" w:hAnsi="Calibri"/>
          <w:sz w:val="19"/>
        </w:rPr>
        <w:t>Marking Key: 1 Mark for Status + 3 Marks for Justification.</w:t>
        <w:br/>
        <w:t>Model Rationale: Under Schedule 8 of the Labour Relations Act (Code of Good Practice: Dismissal), every employee is entitled to procedural fairness prior to dismissal, including a thorough investigation, written notice of charges, time to prepare, a hearing to state their case, representation, and written notification of the outcome. Unilateral summary dismissal without a hearing is procedurally unfair.</w:t>
      </w:r>
    </w:p>
    <w:p>
      <w:pPr>
        <w:keepNext/>
        <w:spacing w:after="40"/>
      </w:pPr>
      <w:r>
        <w:rPr>
          <w:rFonts w:ascii="Calibri" w:hAnsi="Calibri"/>
          <w:b/>
          <w:sz w:val="21"/>
        </w:rPr>
        <w:t>Statement 3: TRUE</w:t>
      </w:r>
    </w:p>
    <w:p>
      <w:pPr>
        <w:spacing w:after="120"/>
        <w:ind w:left="288"/>
      </w:pPr>
      <w:r>
        <w:rPr>
          <w:rFonts w:ascii="Calibri" w:hAnsi="Calibri"/>
          <w:sz w:val="19"/>
        </w:rPr>
        <w:t>Marking Key: 1 Mark for Status + 3 Marks for Justification.</w:t>
        <w:br/>
        <w:t>Model Rationale: According to the SABPP Employment Relations Management Application Standard, effective organized labour management requires establishing consultative forums, maintaining open communication channels, adhering to collective bargaining agreements, and respecting shop steward statutory rights under LRA Section 14.</w:t>
      </w:r>
    </w:p>
    <w:p>
      <w:pPr>
        <w:keepNext/>
        <w:spacing w:after="40"/>
      </w:pPr>
      <w:r>
        <w:rPr>
          <w:rFonts w:ascii="Calibri" w:hAnsi="Calibri"/>
          <w:b/>
          <w:sz w:val="21"/>
        </w:rPr>
        <w:t>Statement 4: FALSE</w:t>
      </w:r>
    </w:p>
    <w:p>
      <w:pPr>
        <w:spacing w:after="120"/>
        <w:ind w:left="288"/>
      </w:pPr>
      <w:r>
        <w:rPr>
          <w:rFonts w:ascii="Calibri" w:hAnsi="Calibri"/>
          <w:sz w:val="19"/>
        </w:rPr>
        <w:t>Marking Key: 1 Mark for Status + 3 Marks for Justification.</w:t>
        <w:br/>
        <w:t>Model Rationale: Shop stewards do not enjoy legal immunity for personal misconduct. While they have protection when performing legitimate trade union functions, they remain employees bound by the employer's disciplinary code for acts of misconduct (e.g., dishonesty, assault, gross insubordination). However, LRA guidelines require informing the union prior to initiating formal proceedings against a shop steward.</w:t>
      </w:r>
    </w:p>
    <w:p>
      <w:pPr>
        <w:keepNext/>
        <w:spacing w:after="40"/>
      </w:pPr>
      <w:r>
        <w:rPr>
          <w:rFonts w:ascii="Calibri" w:hAnsi="Calibri"/>
          <w:b/>
          <w:sz w:val="21"/>
        </w:rPr>
        <w:t>Statement 5: FALSE</w:t>
      </w:r>
    </w:p>
    <w:p>
      <w:pPr>
        <w:spacing w:after="120"/>
        <w:ind w:left="288"/>
      </w:pPr>
      <w:r>
        <w:rPr>
          <w:rFonts w:ascii="Calibri" w:hAnsi="Calibri"/>
          <w:sz w:val="19"/>
        </w:rPr>
        <w:t>Marking Key: 1 Mark for Status + 3 Marks for Justification.</w:t>
        <w:br/>
        <w:t>Model Rationale: Conciliation and arbitration are distinct CCMA processes. Conciliation is a voluntary, non-binding facilitation process. If conciliation fails, the commissioner issues a certificate of outcome. Arbitration is a separate formal hearing where both parties present evidence, call witnesses, and cross-examine before a binding award is made.</w:t>
      </w:r>
    </w:p>
    <w:p>
      <w:pPr>
        <w:spacing w:after="240"/>
      </w:pPr>
    </w:p>
    <w:p>
      <w:pPr>
        <w:keepNext/>
        <w:spacing w:before="320" w:after="120"/>
      </w:pPr>
      <w:r>
        <w:rPr>
          <w:rFonts w:ascii="Arial" w:hAnsi="Arial"/>
          <w:b/>
          <w:color w:val="8C280A"/>
          <w:sz w:val="32"/>
        </w:rPr>
        <w:t>SECTION 5: ASSESSOR RESULT SUMMARY &amp; RECORDING FORM (VERSION 2)</w:t>
      </w:r>
    </w:p>
    <w:tbl>
      <w:tblPr>
        <w:tblW w:type="auto" w:w="0"/>
        <w:jc w:val="center"/>
        <w:tblLook w:firstColumn="1" w:firstRow="1" w:lastColumn="0" w:lastRow="0" w:noHBand="0" w:noVBand="1" w:val="04A0"/>
      </w:tblPr>
      <w:tblGrid>
        <w:gridCol w:w="2340"/>
        <w:gridCol w:w="2340"/>
        <w:gridCol w:w="2340"/>
        <w:gridCol w:w="2340"/>
      </w:tblGrid>
      <w:tr>
        <w:tc>
          <w:tcPr>
            <w:tcW w:type="dxa" w:w="3600"/>
            <w:shd w:fill="8C280A"/>
          </w:tcPr>
          <w:p>
            <w:pPr>
              <w:spacing w:after="0"/>
            </w:pPr>
            <w:r>
              <w:rPr>
                <w:rFonts w:ascii="Arial" w:hAnsi="Arial"/>
                <w:b/>
                <w:color w:val="FFFFFF"/>
                <w:sz w:val="18"/>
              </w:rPr>
              <w:t>Assessment Section</w:t>
            </w:r>
          </w:p>
        </w:tc>
        <w:tc>
          <w:tcPr>
            <w:tcW w:type="dxa" w:w="1728"/>
            <w:shd w:fill="8C280A"/>
          </w:tcPr>
          <w:p>
            <w:pPr>
              <w:spacing w:after="0"/>
            </w:pPr>
            <w:r>
              <w:rPr>
                <w:rFonts w:ascii="Arial" w:hAnsi="Arial"/>
                <w:b/>
                <w:color w:val="FFFFFF"/>
                <w:sz w:val="18"/>
              </w:rPr>
              <w:t>Total Marks</w:t>
            </w:r>
          </w:p>
        </w:tc>
        <w:tc>
          <w:tcPr>
            <w:tcW w:type="dxa" w:w="1728"/>
            <w:shd w:fill="8C280A"/>
          </w:tcPr>
          <w:p>
            <w:pPr>
              <w:spacing w:after="0"/>
            </w:pPr>
            <w:r>
              <w:rPr>
                <w:rFonts w:ascii="Arial" w:hAnsi="Arial"/>
                <w:b/>
                <w:color w:val="FFFFFF"/>
                <w:sz w:val="18"/>
              </w:rPr>
              <w:t>Learner Score</w:t>
            </w:r>
          </w:p>
        </w:tc>
        <w:tc>
          <w:tcPr>
            <w:tcW w:type="dxa" w:w="2304"/>
            <w:shd w:fill="8C280A"/>
          </w:tcPr>
          <w:p>
            <w:pPr>
              <w:spacing w:after="0"/>
            </w:pPr>
            <w:r>
              <w:rPr>
                <w:rFonts w:ascii="Arial" w:hAnsi="Arial"/>
                <w:b/>
                <w:color w:val="FFFFFF"/>
                <w:sz w:val="18"/>
              </w:rPr>
              <w:t>Result (C / NYC)</w:t>
            </w:r>
          </w:p>
        </w:tc>
      </w:tr>
      <w:tr>
        <w:tc>
          <w:tcPr>
            <w:tcW w:type="dxa" w:w="3600"/>
            <w:tcMar>
              <w:top w:w="60" w:type="dxa"/>
              <w:bottom w:w="60" w:type="dxa"/>
              <w:left w:w="80" w:type="dxa"/>
              <w:right w:w="80" w:type="dxa"/>
            </w:tcMar>
          </w:tcPr>
          <w:p>
            <w:r>
              <w:rPr>
                <w:rFonts w:ascii="Calibri" w:hAnsi="Calibri"/>
                <w:b w:val="0"/>
              </w:rPr>
              <w:t>Section A: Case Study Scenario Questions (Makhado)</w:t>
            </w:r>
          </w:p>
        </w:tc>
        <w:tc>
          <w:tcPr>
            <w:tcW w:type="dxa" w:w="1728"/>
            <w:tcMar>
              <w:top w:w="60" w:type="dxa"/>
              <w:bottom w:w="60" w:type="dxa"/>
              <w:left w:w="80" w:type="dxa"/>
              <w:right w:w="80" w:type="dxa"/>
            </w:tcMar>
          </w:tcPr>
          <w:p>
            <w:r>
              <w:rPr>
                <w:rFonts w:ascii="Calibri" w:hAnsi="Calibri"/>
                <w:b w:val="0"/>
              </w:rPr>
              <w:t>65 Marks</w:t>
            </w:r>
          </w:p>
        </w:tc>
        <w:tc>
          <w:tcPr>
            <w:tcW w:type="dxa" w:w="1728"/>
            <w:tcMar>
              <w:top w:w="60" w:type="dxa"/>
              <w:bottom w:w="60" w:type="dxa"/>
              <w:left w:w="80" w:type="dxa"/>
              <w:right w:w="80" w:type="dxa"/>
            </w:tcMar>
          </w:tcPr>
          <w:p/>
        </w:tc>
        <w:tc>
          <w:tcPr>
            <w:tcW w:type="dxa" w:w="2304"/>
            <w:tcMar>
              <w:top w:w="60" w:type="dxa"/>
              <w:bottom w:w="60" w:type="dxa"/>
              <w:left w:w="80" w:type="dxa"/>
              <w:right w:w="80" w:type="dxa"/>
            </w:tcMar>
          </w:tcPr>
          <w:p/>
        </w:tc>
      </w:tr>
      <w:tr>
        <w:tc>
          <w:tcPr>
            <w:tcW w:type="dxa" w:w="3600"/>
            <w:tcMar>
              <w:top w:w="60" w:type="dxa"/>
              <w:bottom w:w="60" w:type="dxa"/>
              <w:left w:w="80" w:type="dxa"/>
              <w:right w:w="80" w:type="dxa"/>
            </w:tcMar>
          </w:tcPr>
          <w:p>
            <w:r>
              <w:rPr>
                <w:rFonts w:ascii="Calibri" w:hAnsi="Calibri"/>
                <w:b w:val="0"/>
              </w:rPr>
              <w:t>Section B: Scrambled Multiple Choice Questions</w:t>
            </w:r>
          </w:p>
        </w:tc>
        <w:tc>
          <w:tcPr>
            <w:tcW w:type="dxa" w:w="1728"/>
            <w:tcMar>
              <w:top w:w="60" w:type="dxa"/>
              <w:bottom w:w="60" w:type="dxa"/>
              <w:left w:w="80" w:type="dxa"/>
              <w:right w:w="80" w:type="dxa"/>
            </w:tcMar>
          </w:tcPr>
          <w:p>
            <w:r>
              <w:rPr>
                <w:rFonts w:ascii="Calibri" w:hAnsi="Calibri"/>
                <w:b w:val="0"/>
              </w:rPr>
              <w:t>15 Marks</w:t>
            </w:r>
          </w:p>
        </w:tc>
        <w:tc>
          <w:tcPr>
            <w:tcW w:type="dxa" w:w="1728"/>
            <w:tcMar>
              <w:top w:w="60" w:type="dxa"/>
              <w:bottom w:w="60" w:type="dxa"/>
              <w:left w:w="80" w:type="dxa"/>
              <w:right w:w="80" w:type="dxa"/>
            </w:tcMar>
          </w:tcPr>
          <w:p/>
        </w:tc>
        <w:tc>
          <w:tcPr>
            <w:tcW w:type="dxa" w:w="2304"/>
            <w:tcMar>
              <w:top w:w="60" w:type="dxa"/>
              <w:bottom w:w="60" w:type="dxa"/>
              <w:left w:w="80" w:type="dxa"/>
              <w:right w:w="80" w:type="dxa"/>
            </w:tcMar>
          </w:tcPr>
          <w:p/>
        </w:tc>
      </w:tr>
      <w:tr>
        <w:tc>
          <w:tcPr>
            <w:tcW w:type="dxa" w:w="3600"/>
            <w:tcMar>
              <w:top w:w="60" w:type="dxa"/>
              <w:bottom w:w="60" w:type="dxa"/>
              <w:left w:w="80" w:type="dxa"/>
              <w:right w:w="80" w:type="dxa"/>
            </w:tcMar>
          </w:tcPr>
          <w:p>
            <w:r>
              <w:rPr>
                <w:rFonts w:ascii="Calibri" w:hAnsi="Calibri"/>
                <w:b w:val="0"/>
              </w:rPr>
              <w:t>Section C: Scrambled True / False with Justification</w:t>
            </w:r>
          </w:p>
        </w:tc>
        <w:tc>
          <w:tcPr>
            <w:tcW w:type="dxa" w:w="1728"/>
            <w:tcMar>
              <w:top w:w="60" w:type="dxa"/>
              <w:bottom w:w="60" w:type="dxa"/>
              <w:left w:w="80" w:type="dxa"/>
              <w:right w:w="80" w:type="dxa"/>
            </w:tcMar>
          </w:tcPr>
          <w:p>
            <w:r>
              <w:rPr>
                <w:rFonts w:ascii="Calibri" w:hAnsi="Calibri"/>
                <w:b w:val="0"/>
              </w:rPr>
              <w:t>20 Marks</w:t>
            </w:r>
          </w:p>
        </w:tc>
        <w:tc>
          <w:tcPr>
            <w:tcW w:type="dxa" w:w="1728"/>
            <w:tcMar>
              <w:top w:w="60" w:type="dxa"/>
              <w:bottom w:w="60" w:type="dxa"/>
              <w:left w:w="80" w:type="dxa"/>
              <w:right w:w="80" w:type="dxa"/>
            </w:tcMar>
          </w:tcPr>
          <w:p/>
        </w:tc>
        <w:tc>
          <w:tcPr>
            <w:tcW w:type="dxa" w:w="2304"/>
            <w:tcMar>
              <w:top w:w="60" w:type="dxa"/>
              <w:bottom w:w="60" w:type="dxa"/>
              <w:left w:w="80" w:type="dxa"/>
              <w:right w:w="80" w:type="dxa"/>
            </w:tcMar>
          </w:tcPr>
          <w:p/>
        </w:tc>
      </w:tr>
      <w:tr>
        <w:tc>
          <w:tcPr>
            <w:tcW w:type="dxa" w:w="3600"/>
            <w:tcMar>
              <w:top w:w="60" w:type="dxa"/>
              <w:bottom w:w="60" w:type="dxa"/>
              <w:left w:w="80" w:type="dxa"/>
              <w:right w:w="80" w:type="dxa"/>
            </w:tcMar>
          </w:tcPr>
          <w:p>
            <w:r>
              <w:rPr>
                <w:rFonts w:ascii="Calibri" w:hAnsi="Calibri"/>
                <w:b/>
              </w:rPr>
              <w:t>TOTAL OVERALL SCORE</w:t>
            </w:r>
          </w:p>
        </w:tc>
        <w:tc>
          <w:tcPr>
            <w:tcW w:type="dxa" w:w="1728"/>
            <w:tcMar>
              <w:top w:w="60" w:type="dxa"/>
              <w:bottom w:w="60" w:type="dxa"/>
              <w:left w:w="80" w:type="dxa"/>
              <w:right w:w="80" w:type="dxa"/>
            </w:tcMar>
          </w:tcPr>
          <w:p>
            <w:r>
              <w:rPr>
                <w:rFonts w:ascii="Calibri" w:hAnsi="Calibri"/>
                <w:b/>
              </w:rPr>
              <w:t>100 Marks</w:t>
            </w:r>
          </w:p>
        </w:tc>
        <w:tc>
          <w:tcPr>
            <w:tcW w:type="dxa" w:w="1728"/>
            <w:tcMar>
              <w:top w:w="60" w:type="dxa"/>
              <w:bottom w:w="60" w:type="dxa"/>
              <w:left w:w="80" w:type="dxa"/>
              <w:right w:w="80" w:type="dxa"/>
            </w:tcMar>
          </w:tcPr>
          <w:p/>
        </w:tc>
        <w:tc>
          <w:tcPr>
            <w:tcW w:type="dxa" w:w="2304"/>
            <w:tcMar>
              <w:top w:w="60" w:type="dxa"/>
              <w:bottom w:w="60" w:type="dxa"/>
              <w:left w:w="80" w:type="dxa"/>
              <w:right w:w="80" w:type="dxa"/>
            </w:tcMar>
          </w:tcPr>
          <w:p/>
        </w:tc>
      </w:tr>
      <w:tr>
        <w:tc>
          <w:tcPr>
            <w:tcW w:type="dxa" w:w="3600"/>
            <w:tcMar>
              <w:top w:w="60" w:type="dxa"/>
              <w:bottom w:w="60" w:type="dxa"/>
              <w:left w:w="80" w:type="dxa"/>
              <w:right w:w="80" w:type="dxa"/>
            </w:tcMar>
          </w:tcPr>
          <w:p>
            <w:r>
              <w:rPr>
                <w:rFonts w:ascii="Calibri" w:hAnsi="Calibri"/>
                <w:b/>
              </w:rPr>
              <w:t>PASS MARK BENCHMARK (75%)</w:t>
            </w:r>
          </w:p>
        </w:tc>
        <w:tc>
          <w:tcPr>
            <w:tcW w:type="dxa" w:w="1728"/>
            <w:tcMar>
              <w:top w:w="60" w:type="dxa"/>
              <w:bottom w:w="60" w:type="dxa"/>
              <w:left w:w="80" w:type="dxa"/>
              <w:right w:w="80" w:type="dxa"/>
            </w:tcMar>
          </w:tcPr>
          <w:p>
            <w:r>
              <w:rPr>
                <w:rFonts w:ascii="Calibri" w:hAnsi="Calibri"/>
                <w:b/>
              </w:rPr>
              <w:t>75 Marks</w:t>
            </w:r>
          </w:p>
        </w:tc>
        <w:tc>
          <w:tcPr>
            <w:tcW w:type="dxa" w:w="1728"/>
            <w:tcMar>
              <w:top w:w="60" w:type="dxa"/>
              <w:bottom w:w="60" w:type="dxa"/>
              <w:left w:w="80" w:type="dxa"/>
              <w:right w:w="80" w:type="dxa"/>
            </w:tcMar>
          </w:tcPr>
          <w:p/>
        </w:tc>
        <w:tc>
          <w:tcPr>
            <w:tcW w:type="dxa" w:w="2304"/>
            <w:tcMar>
              <w:top w:w="60" w:type="dxa"/>
              <w:bottom w:w="60" w:type="dxa"/>
              <w:left w:w="80" w:type="dxa"/>
              <w:right w:w="80" w:type="dxa"/>
            </w:tcMar>
          </w:tcPr>
          <w:p/>
        </w:tc>
      </w:tr>
    </w:tbl>
    <w:p>
      <w:pPr>
        <w:spacing w:after="200"/>
      </w:pPr>
    </w:p>
    <w:p>
      <w:pPr>
        <w:keepNext/>
        <w:spacing w:before="240" w:after="80"/>
      </w:pPr>
      <w:r>
        <w:rPr>
          <w:rFonts w:ascii="Arial" w:hAnsi="Arial"/>
          <w:b/>
          <w:color w:val="AA4614"/>
          <w:sz w:val="26"/>
        </w:rPr>
        <w:t>CONSTRUCTIVE ASSESSOR FEEDBACK &amp; MODERATION NOTES:</w:t>
      </w:r>
    </w:p>
    <w:p>
      <w:pPr>
        <w:spacing w:after="240"/>
      </w:pPr>
      <w:r>
        <w:rPr>
          <w:rFonts w:ascii="Calibri" w:hAnsi="Calibri"/>
          <w:color w:val="969696"/>
          <w:sz w:val="19"/>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W w:type="auto" w:w="0"/>
        <w:jc w:val="center"/>
        <w:tblLook w:firstColumn="1" w:firstRow="1" w:lastColumn="0" w:lastRow="0" w:noHBand="0" w:noVBand="1" w:val="04A0"/>
      </w:tblPr>
      <w:tblGrid>
        <w:gridCol w:w="4680"/>
        <w:gridCol w:w="4680"/>
      </w:tblGrid>
      <w:tr>
        <w:tc>
          <w:tcPr>
            <w:tcW w:type="dxa" w:w="4680"/>
            <w:tcMar>
              <w:top w:w="60" w:type="dxa"/>
              <w:bottom w:w="60" w:type="dxa"/>
              <w:left w:w="80" w:type="dxa"/>
              <w:right w:w="80" w:type="dxa"/>
            </w:tcMar>
          </w:tcPr>
          <w:p>
            <w:r>
              <w:rPr>
                <w:rFonts w:ascii="Calibri" w:hAnsi="Calibri"/>
              </w:rPr>
              <w:t>Assessor Signature: ______________________</w:t>
            </w:r>
          </w:p>
        </w:tc>
        <w:tc>
          <w:tcPr>
            <w:tcW w:type="dxa" w:w="4680"/>
            <w:tcMar>
              <w:top w:w="60" w:type="dxa"/>
              <w:bottom w:w="60" w:type="dxa"/>
              <w:left w:w="80" w:type="dxa"/>
              <w:right w:w="80" w:type="dxa"/>
            </w:tcMar>
          </w:tcPr>
          <w:p>
            <w:r>
              <w:rPr>
                <w:rFonts w:ascii="Calibri" w:hAnsi="Calibri"/>
              </w:rPr>
              <w:t>Date: ________________________</w:t>
            </w:r>
          </w:p>
        </w:tc>
      </w:tr>
      <w:tr>
        <w:tc>
          <w:tcPr>
            <w:tcW w:type="dxa" w:w="4680"/>
            <w:tcMar>
              <w:top w:w="60" w:type="dxa"/>
              <w:bottom w:w="60" w:type="dxa"/>
              <w:left w:w="80" w:type="dxa"/>
              <w:right w:w="80" w:type="dxa"/>
            </w:tcMar>
          </w:tcPr>
          <w:p>
            <w:r>
              <w:rPr>
                <w:rFonts w:ascii="Calibri" w:hAnsi="Calibri"/>
              </w:rPr>
              <w:t>Moderator Signature: ____________________</w:t>
            </w:r>
          </w:p>
        </w:tc>
        <w:tc>
          <w:tcPr>
            <w:tcW w:type="dxa" w:w="4680"/>
            <w:tcMar>
              <w:top w:w="60" w:type="dxa"/>
              <w:bottom w:w="60" w:type="dxa"/>
              <w:left w:w="80" w:type="dxa"/>
              <w:right w:w="80" w:type="dxa"/>
            </w:tcMar>
          </w:tcPr>
          <w:p>
            <w:r>
              <w:rPr>
                <w:rFonts w:ascii="Calibri" w:hAnsi="Calibri"/>
              </w:rPr>
              <w:t>Date: ________________________</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