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3168"/>
            <w:shd w:fill="8C280A"/>
            <w:tcMar>
              <w:top w:w="80" w:type="dxa"/>
              <w:bottom w:w="80" w:type="dxa"/>
              <w:left w:w="120" w:type="dxa"/>
              <w:right w:w="120" w:type="dxa"/>
            </w:tcMar>
          </w:tcPr>
          <w:p>
            <w:pPr>
              <w:spacing w:after="0"/>
            </w:pPr>
            <w:r>
              <w:rPr>
                <w:rFonts w:ascii="Arial" w:hAnsi="Arial"/>
                <w:b/>
                <w:color w:val="FFFFFF"/>
                <w:sz w:val="19"/>
              </w:rPr>
              <w:t>INSTITUTION:</w:t>
            </w:r>
          </w:p>
        </w:tc>
        <w:tc>
          <w:tcPr>
            <w:tcW w:type="dxa" w:w="6192"/>
            <w:shd w:fill="FDF3EE"/>
            <w:tcMar>
              <w:top w:w="80" w:type="dxa"/>
              <w:bottom w:w="80" w:type="dxa"/>
              <w:left w:w="120" w:type="dxa"/>
              <w:right w:w="120" w:type="dxa"/>
            </w:tcMar>
          </w:tcPr>
          <w:p>
            <w:pPr>
              <w:spacing w:after="0"/>
            </w:pPr>
            <w:r>
              <w:rPr>
                <w:rFonts w:ascii="Calibri" w:hAnsi="Calibri"/>
                <w:b/>
                <w:color w:val="222222"/>
                <w:sz w:val="20"/>
              </w:rPr>
              <w:t>CURIOSA ACADEMY</w:t>
            </w:r>
          </w:p>
        </w:tc>
      </w:tr>
      <w:tr>
        <w:tc>
          <w:tcPr>
            <w:tcW w:type="dxa" w:w="3168"/>
            <w:shd w:fill="8C280A"/>
            <w:tcMar>
              <w:top w:w="80" w:type="dxa"/>
              <w:bottom w:w="80" w:type="dxa"/>
              <w:left w:w="120" w:type="dxa"/>
              <w:right w:w="120" w:type="dxa"/>
            </w:tcMar>
          </w:tcPr>
          <w:p>
            <w:pPr>
              <w:spacing w:after="0"/>
            </w:pPr>
            <w:r>
              <w:rPr>
                <w:rFonts w:ascii="Arial" w:hAnsi="Arial"/>
                <w:b/>
                <w:color w:val="FFFFFF"/>
                <w:sz w:val="19"/>
              </w:rPr>
              <w:t>QUALIFICATION:</w:t>
            </w:r>
          </w:p>
        </w:tc>
        <w:tc>
          <w:tcPr>
            <w:tcW w:type="dxa" w:w="6192"/>
            <w:shd w:fill="FDF3EE"/>
            <w:tcMar>
              <w:top w:w="80" w:type="dxa"/>
              <w:bottom w:w="80" w:type="dxa"/>
              <w:left w:w="120" w:type="dxa"/>
              <w:right w:w="120" w:type="dxa"/>
            </w:tcMar>
          </w:tcPr>
          <w:p>
            <w:pPr>
              <w:spacing w:after="0"/>
            </w:pPr>
            <w:r>
              <w:rPr>
                <w:rFonts w:ascii="Calibri" w:hAnsi="Calibri"/>
                <w:b w:val="0"/>
                <w:color w:val="222222"/>
                <w:sz w:val="20"/>
              </w:rPr>
              <w:t>Advanced Occupational Certificate: Human Resource Management Officer (NQF Level 6, 134 Credits)</w:t>
            </w:r>
          </w:p>
        </w:tc>
      </w:tr>
      <w:tr>
        <w:tc>
          <w:tcPr>
            <w:tcW w:type="dxa" w:w="3168"/>
            <w:shd w:fill="8C280A"/>
            <w:tcMar>
              <w:top w:w="80" w:type="dxa"/>
              <w:bottom w:w="80" w:type="dxa"/>
              <w:left w:w="120" w:type="dxa"/>
              <w:right w:w="120" w:type="dxa"/>
            </w:tcMar>
          </w:tcPr>
          <w:p>
            <w:pPr>
              <w:spacing w:after="0"/>
            </w:pPr>
            <w:r>
              <w:rPr>
                <w:rFonts w:ascii="Arial" w:hAnsi="Arial"/>
                <w:b/>
                <w:color w:val="FFFFFF"/>
                <w:sz w:val="19"/>
              </w:rPr>
              <w:t>SAQA ID / CURRICULUM:</w:t>
            </w:r>
          </w:p>
        </w:tc>
        <w:tc>
          <w:tcPr>
            <w:tcW w:type="dxa" w:w="6192"/>
            <w:shd w:fill="FDF3EE"/>
            <w:tcMar>
              <w:top w:w="80" w:type="dxa"/>
              <w:bottom w:w="80" w:type="dxa"/>
              <w:left w:w="120" w:type="dxa"/>
              <w:right w:w="120" w:type="dxa"/>
            </w:tcMar>
          </w:tcPr>
          <w:p>
            <w:pPr>
              <w:spacing w:after="0"/>
            </w:pPr>
            <w:r>
              <w:rPr>
                <w:rFonts w:ascii="Calibri" w:hAnsi="Calibri"/>
                <w:b w:val="0"/>
                <w:color w:val="222222"/>
                <w:sz w:val="20"/>
              </w:rPr>
              <w:t>SAQA ID: 121151 | Curriculum Code: 242303-001-00-00</w:t>
            </w:r>
          </w:p>
        </w:tc>
      </w:tr>
      <w:tr>
        <w:tc>
          <w:tcPr>
            <w:tcW w:type="dxa" w:w="3168"/>
            <w:shd w:fill="8C280A"/>
            <w:tcMar>
              <w:top w:w="80" w:type="dxa"/>
              <w:bottom w:w="80" w:type="dxa"/>
              <w:left w:w="120" w:type="dxa"/>
              <w:right w:w="120" w:type="dxa"/>
            </w:tcMar>
          </w:tcPr>
          <w:p>
            <w:pPr>
              <w:spacing w:after="0"/>
            </w:pPr>
            <w:r>
              <w:rPr>
                <w:rFonts w:ascii="Arial" w:hAnsi="Arial"/>
                <w:b/>
                <w:color w:val="FFFFFF"/>
                <w:sz w:val="19"/>
              </w:rPr>
              <w:t>MODULES ASSESSED:</w:t>
            </w:r>
          </w:p>
        </w:tc>
        <w:tc>
          <w:tcPr>
            <w:tcW w:type="dxa" w:w="6192"/>
            <w:shd w:fill="FDF3EE"/>
            <w:tcMar>
              <w:top w:w="80" w:type="dxa"/>
              <w:bottom w:w="80" w:type="dxa"/>
              <w:left w:w="120" w:type="dxa"/>
              <w:right w:w="120" w:type="dxa"/>
            </w:tcMar>
          </w:tcPr>
          <w:p>
            <w:pPr>
              <w:spacing w:after="0"/>
            </w:pPr>
            <w:r>
              <w:rPr>
                <w:rFonts w:ascii="Calibri" w:hAnsi="Calibri"/>
                <w:b w:val="0"/>
                <w:color w:val="222222"/>
                <w:sz w:val="20"/>
              </w:rPr>
              <w:t>KM-04 (Implementing Employment Relations Strategies, NQF L6, 20 Credits)</w:t>
              <w:br/>
              <w:t>PM-04 (Operationalise Employment Relations Strategies &amp; Plans, NQF L6, 10 Credits)</w:t>
            </w:r>
          </w:p>
        </w:tc>
      </w:tr>
      <w:tr>
        <w:tc>
          <w:tcPr>
            <w:tcW w:type="dxa" w:w="3168"/>
            <w:shd w:fill="8C280A"/>
            <w:tcMar>
              <w:top w:w="80" w:type="dxa"/>
              <w:bottom w:w="80" w:type="dxa"/>
              <w:left w:w="120" w:type="dxa"/>
              <w:right w:w="120" w:type="dxa"/>
            </w:tcMar>
          </w:tcPr>
          <w:p>
            <w:pPr>
              <w:spacing w:after="0"/>
            </w:pPr>
            <w:r>
              <w:rPr>
                <w:rFonts w:ascii="Arial" w:hAnsi="Arial"/>
                <w:b/>
                <w:color w:val="FFFFFF"/>
                <w:sz w:val="19"/>
              </w:rPr>
              <w:t>ASSESSMENT TYPE:</w:t>
            </w:r>
          </w:p>
        </w:tc>
        <w:tc>
          <w:tcPr>
            <w:tcW w:type="dxa" w:w="6192"/>
            <w:shd w:fill="FDF3EE"/>
            <w:tcMar>
              <w:top w:w="80" w:type="dxa"/>
              <w:bottom w:w="80" w:type="dxa"/>
              <w:left w:w="120" w:type="dxa"/>
              <w:right w:w="120" w:type="dxa"/>
            </w:tcMar>
          </w:tcPr>
          <w:p>
            <w:pPr>
              <w:spacing w:after="0"/>
            </w:pPr>
            <w:r>
              <w:rPr>
                <w:rFonts w:ascii="Calibri" w:hAnsi="Calibri"/>
                <w:b/>
                <w:color w:val="222222"/>
                <w:sz w:val="20"/>
              </w:rPr>
              <w:t>Internal Summative Assessment Script (SU 4 - VERSION 2)</w:t>
            </w:r>
          </w:p>
        </w:tc>
      </w:tr>
      <w:tr>
        <w:tc>
          <w:tcPr>
            <w:tcW w:type="dxa" w:w="3168"/>
            <w:shd w:fill="8C280A"/>
            <w:tcMar>
              <w:top w:w="80" w:type="dxa"/>
              <w:bottom w:w="80" w:type="dxa"/>
              <w:left w:w="120" w:type="dxa"/>
              <w:right w:w="120" w:type="dxa"/>
            </w:tcMar>
          </w:tcPr>
          <w:p>
            <w:pPr>
              <w:spacing w:after="0"/>
            </w:pPr>
            <w:r>
              <w:rPr>
                <w:rFonts w:ascii="Arial" w:hAnsi="Arial"/>
                <w:b/>
                <w:color w:val="FFFFFF"/>
                <w:sz w:val="19"/>
              </w:rPr>
              <w:t>TOTAL MARKS &amp; TIME:</w:t>
            </w:r>
          </w:p>
        </w:tc>
        <w:tc>
          <w:tcPr>
            <w:tcW w:type="dxa" w:w="6192"/>
            <w:shd w:fill="FDF3EE"/>
            <w:tcMar>
              <w:top w:w="80" w:type="dxa"/>
              <w:bottom w:w="80" w:type="dxa"/>
              <w:left w:w="120" w:type="dxa"/>
              <w:right w:w="120" w:type="dxa"/>
            </w:tcMar>
          </w:tcPr>
          <w:p>
            <w:pPr>
              <w:spacing w:after="0"/>
            </w:pPr>
            <w:r>
              <w:rPr>
                <w:rFonts w:ascii="Calibri" w:hAnsi="Calibri"/>
                <w:b/>
                <w:color w:val="222222"/>
                <w:sz w:val="20"/>
              </w:rPr>
              <w:t>100 Marks | Pass Mark: 75% (75 Marks) | Duration: 2.5 Hours</w:t>
            </w:r>
          </w:p>
        </w:tc>
      </w:tr>
      <w:tr>
        <w:tc>
          <w:tcPr>
            <w:tcW w:type="dxa" w:w="3168"/>
            <w:shd w:fill="8C280A"/>
            <w:tcMar>
              <w:top w:w="80" w:type="dxa"/>
              <w:bottom w:w="80" w:type="dxa"/>
              <w:left w:w="120" w:type="dxa"/>
              <w:right w:w="120" w:type="dxa"/>
            </w:tcMar>
          </w:tcPr>
          <w:p>
            <w:pPr>
              <w:spacing w:after="0"/>
            </w:pPr>
            <w:r>
              <w:rPr>
                <w:rFonts w:ascii="Arial" w:hAnsi="Arial"/>
                <w:b/>
                <w:color w:val="FFFFFF"/>
                <w:sz w:val="19"/>
              </w:rPr>
              <w:t>LEARNER NAME &amp; ID:</w:t>
            </w:r>
          </w:p>
        </w:tc>
        <w:tc>
          <w:tcPr>
            <w:tcW w:type="dxa" w:w="6192"/>
            <w:shd w:fill="FDF3EE"/>
            <w:tcMar>
              <w:top w:w="80" w:type="dxa"/>
              <w:bottom w:w="80" w:type="dxa"/>
              <w:left w:w="120" w:type="dxa"/>
              <w:right w:w="120" w:type="dxa"/>
            </w:tcMar>
          </w:tcPr>
          <w:p>
            <w:pPr>
              <w:spacing w:after="0"/>
            </w:pPr>
            <w:r>
              <w:rPr>
                <w:rFonts w:ascii="Calibri" w:hAnsi="Calibri"/>
                <w:b w:val="0"/>
                <w:color w:val="222222"/>
                <w:sz w:val="20"/>
              </w:rPr>
            </w:r>
          </w:p>
        </w:tc>
      </w:tr>
    </w:tbl>
    <w:p>
      <w:pPr>
        <w:spacing w:after="200"/>
      </w:pPr>
    </w:p>
    <w:p>
      <w:pPr>
        <w:keepNext/>
        <w:spacing w:before="320" w:after="120"/>
      </w:pPr>
      <w:r>
        <w:rPr>
          <w:rFonts w:ascii="Arial" w:hAnsi="Arial"/>
          <w:b/>
          <w:color w:val="8C280A"/>
          <w:sz w:val="32"/>
        </w:rPr>
        <w:t>INSTRUCTIONS TO LEARNERS (VERSION 2)</w:t>
      </w:r>
    </w:p>
    <w:p>
      <w:pPr>
        <w:spacing w:after="60" w:line="276" w:lineRule="auto"/>
      </w:pPr>
      <w:r>
        <w:rPr>
          <w:rFonts w:ascii="Calibri" w:hAnsi="Calibri"/>
          <w:b w:val="0"/>
          <w:i w:val="0"/>
          <w:color w:val="222222"/>
          <w:sz w:val="22"/>
        </w:rPr>
        <w:t>1. Answer ALL questions in Section A, Section B, Section C, and Section D.</w:t>
      </w:r>
    </w:p>
    <w:p>
      <w:pPr>
        <w:spacing w:after="60" w:line="276" w:lineRule="auto"/>
      </w:pPr>
      <w:r>
        <w:rPr>
          <w:rFonts w:ascii="Calibri" w:hAnsi="Calibri"/>
          <w:b w:val="0"/>
          <w:i w:val="0"/>
          <w:color w:val="222222"/>
          <w:sz w:val="22"/>
        </w:rPr>
        <w:t>2. Structural Rearrangement (Version 2): Note the scrambled section sequence in Version 2. The Case Study Scenario is presented FIRST as Section A (Part A1 Short Scenario Questions = 15 Marks, Part A2 Strategic Long Question = 50 Marks; Total = 65 Marks). This is followed by Section B (15 Scrambled Multiple Choice Questions = 15 Marks), and Section C (5 Scrambled True/False Questions with Justification = 20 Marks). Total = 100 Marks.</w:t>
      </w:r>
    </w:p>
    <w:p>
      <w:pPr>
        <w:spacing w:after="60" w:line="276" w:lineRule="auto"/>
      </w:pPr>
      <w:r>
        <w:rPr>
          <w:rFonts w:ascii="Calibri" w:hAnsi="Calibri"/>
          <w:b w:val="0"/>
          <w:i w:val="0"/>
          <w:color w:val="222222"/>
          <w:sz w:val="22"/>
        </w:rPr>
        <w:t>3. Read the Case Study Scenario in Section A thoroughly before answering the scenario questions.</w:t>
      </w:r>
    </w:p>
    <w:p>
      <w:pPr>
        <w:spacing w:after="60" w:line="276" w:lineRule="auto"/>
      </w:pPr>
      <w:r>
        <w:rPr>
          <w:rFonts w:ascii="Calibri" w:hAnsi="Calibri"/>
          <w:b w:val="0"/>
          <w:i w:val="0"/>
          <w:color w:val="222222"/>
          <w:sz w:val="22"/>
        </w:rPr>
        <w:t>4. Highlighting professional standards (SABPP Employment Relations Management Application Standard) and statutory compliance (Labour Relations Act 66 of 1995, BCEA, EEA, CCMA guidelines, and Contract Law) is essential for full marks.</w:t>
      </w:r>
    </w:p>
    <w:p>
      <w:pPr>
        <w:spacing w:after="60" w:line="276" w:lineRule="auto"/>
      </w:pPr>
      <w:r>
        <w:rPr>
          <w:rFonts w:ascii="Calibri" w:hAnsi="Calibri"/>
          <w:b w:val="0"/>
          <w:i w:val="0"/>
          <w:color w:val="222222"/>
          <w:sz w:val="22"/>
        </w:rPr>
        <w:t>5. The pass mark for this internal summative assessment script is strictly 75% (75/100 Marks).</w:t>
      </w:r>
    </w:p>
    <w:p>
      <w:pPr>
        <w:spacing w:after="60" w:line="276" w:lineRule="auto"/>
      </w:pPr>
      <w:r>
        <w:rPr>
          <w:rFonts w:ascii="Calibri" w:hAnsi="Calibri"/>
          <w:b w:val="0"/>
          <w:i w:val="0"/>
          <w:color w:val="222222"/>
          <w:sz w:val="22"/>
        </w:rPr>
        <w:t>6. Write legibly and present your answers in a clear, professional business format.</w:t>
      </w:r>
    </w:p>
    <w:p>
      <w:pPr>
        <w:spacing w:after="200"/>
      </w:pPr>
    </w:p>
    <w:p>
      <w:pPr>
        <w:keepNext/>
        <w:spacing w:before="320" w:after="120"/>
      </w:pPr>
      <w:r>
        <w:rPr>
          <w:rFonts w:ascii="Arial" w:hAnsi="Arial"/>
          <w:b/>
          <w:color w:val="8C280A"/>
          <w:sz w:val="32"/>
        </w:rPr>
        <w:t>SECTION A: CASE STUDY SCENARIO &amp; SCENARIO QUESTIONS (65 MARKS)</w:t>
      </w:r>
    </w:p>
    <w:tbl>
      <w:tblPr>
        <w:tblW w:type="auto" w:w="0"/>
        <w:jc w:val="center"/>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Pr>
          <w:p>
            <w:pPr>
              <w:spacing w:after="80"/>
            </w:pPr>
            <w:r>
              <w:rPr>
                <w:rFonts w:ascii="Arial" w:hAnsi="Arial"/>
                <w:b/>
                <w:color w:val="8C280A"/>
                <w:sz w:val="22"/>
              </w:rPr>
              <w:t>ORGANISATIONAL CONTEXT: MAKHADO HEAVY ENGINEERING (ALODEON, GAUTENG)</w:t>
              <w:br/>
            </w:r>
          </w:p>
          <w:p>
            <w:pPr>
              <w:spacing w:after="0" w:line="276" w:lineRule="auto"/>
            </w:pPr>
            <w:r>
              <w:rPr>
                <w:rFonts w:ascii="Calibri" w:hAnsi="Calibri"/>
                <w:sz w:val="20"/>
              </w:rPr>
              <w:t>Background: Makhado Heavy Engineering (MHE) is a large-scale steel fabrication and mining equipment manufacturer operating in Alrode, Gauteng. Led by Managing Director Johan Pretorius and Chief Operations Officer Thandiwe Khoza, MHE employs 850 permanent factory workers, technicians, and administrative staff.</w:t>
              <w:br/>
              <w:br/>
              <w:t>Industrial Relations Climate &amp; Union Dynamics: Approximately 65% of MHE's shopfloor workforce belongs to the Metal &amp; Allied Workers Union (MAWU), a majority recognized trade union. A smaller 15% minority union, the National Metal Workers Association (NMWA), also operates on site. Over the past 12 months, employment relations at MHE have severely deteriorated, resulting in illegal wildcat work stoppages, mutual distrust, and a backlog of unresolved grievances.</w:t>
              <w:br/>
              <w:br/>
              <w:t>Current Operational &amp; ER Crises:</w:t>
              <w:br/>
              <w:t>1. Impending Wage &amp; Shift Negotiations: Annual collective bargaining for shift allowances and wages is approaching. MAWU is demanding a 12% across-the-board increase, while management's mandate is capped at 4.5% due to rising steel input costs.</w:t>
              <w:br/>
              <w:t>2. Procedural Flaws in Disciplinary Proceedings: Line managers frequently issue informal verbal dismissals or conduct inconsistent disciplinary hearings without proper notice, leading to a flood of CCMA referrals for unfair dismissal.</w:t>
              <w:br/>
              <w:t>3. Shop Steward Friction &amp; Breach of Rights: Line supervisors have denied shop stewards paid time off for union duties and refused to provide meeting facilities, prompting MAWU to threaten a protected strike.</w:t>
              <w:br/>
              <w:t>4. Unresolved Safety Grievances &amp; Poor Communication: Factory workers have submitted collective grievances regarding inadequate personal protective equipment (PPE) and machine guarding, which management ignored for six months.</w:t>
            </w:r>
          </w:p>
        </w:tc>
      </w:tr>
    </w:tbl>
    <w:p>
      <w:pPr>
        <w:spacing w:after="200"/>
      </w:pPr>
    </w:p>
    <w:p>
      <w:pPr>
        <w:keepNext/>
        <w:spacing w:before="240" w:after="80"/>
      </w:pPr>
      <w:r>
        <w:rPr>
          <w:rFonts w:ascii="Arial" w:hAnsi="Arial"/>
          <w:b/>
          <w:color w:val="AA4614"/>
          <w:sz w:val="26"/>
        </w:rPr>
        <w:t>PART A1: SCENARIO-BASED SHORT QUESTIONS (15 MARKS)</w:t>
      </w:r>
    </w:p>
    <w:p>
      <w:pPr>
        <w:spacing w:after="160" w:line="276" w:lineRule="auto"/>
      </w:pPr>
      <w:r>
        <w:rPr>
          <w:rFonts w:ascii="Calibri" w:hAnsi="Calibri"/>
          <w:b w:val="0"/>
          <w:i/>
          <w:color w:val="222222"/>
          <w:sz w:val="22"/>
        </w:rPr>
        <w:t>Instructions: Answer the following practical short questions based on the Makhado Heavy Engineering scenario.</w:t>
      </w:r>
    </w:p>
    <w:p>
      <w:pPr>
        <w:keepNext/>
        <w:spacing w:after="40"/>
      </w:pPr>
      <w:r>
        <w:rPr>
          <w:rFonts w:ascii="Arial" w:hAnsi="Arial"/>
          <w:b/>
          <w:sz w:val="21"/>
        </w:rPr>
        <w:t xml:space="preserve">Question 1: Procedural Fairness in Disciplinary Hearings </w:t>
      </w:r>
      <w:r>
        <w:rPr>
          <w:b/>
          <w:color w:val="AA4614"/>
        </w:rPr>
        <w:t>[5 Marks]</w:t>
      </w:r>
    </w:p>
    <w:p>
      <w:pPr>
        <w:spacing w:after="120"/>
      </w:pPr>
      <w:r>
        <w:rPr>
          <w:rFonts w:ascii="Calibri" w:hAnsi="Calibri"/>
          <w:sz w:val="20"/>
        </w:rPr>
        <w:t>MHE line managers have been issuing summary dismissals without proper hearings. Outline the 5 mandatory procedural steps required under the LRA Code of Good Practice: Dismissal that the HR Officer must enforce to ensure procedural fairness when convening a disciplinary hearing.</w:t>
      </w:r>
    </w:p>
    <w:p>
      <w:pPr>
        <w:keepNext/>
        <w:spacing w:after="40"/>
      </w:pPr>
      <w:r>
        <w:rPr>
          <w:rFonts w:ascii="Arial" w:hAnsi="Arial"/>
          <w:b/>
          <w:sz w:val="21"/>
        </w:rPr>
        <w:t xml:space="preserve">Question 2: Shop Steward Rights &amp; Statutory Compliance </w:t>
      </w:r>
      <w:r>
        <w:rPr>
          <w:b/>
          <w:color w:val="AA4614"/>
        </w:rPr>
        <w:t>[5 Marks]</w:t>
      </w:r>
    </w:p>
    <w:p>
      <w:pPr>
        <w:spacing w:after="120"/>
      </w:pPr>
      <w:r>
        <w:rPr>
          <w:rFonts w:ascii="Calibri" w:hAnsi="Calibri"/>
          <w:sz w:val="20"/>
        </w:rPr>
        <w:t>MAWU shop stewards are threatening strike action due to denied rights. Detail THREE statutory rights granted to shop stewards under Section 14 of the LRA that MHE management must respect and facilitate immediately.</w:t>
      </w:r>
    </w:p>
    <w:p>
      <w:pPr>
        <w:keepNext/>
        <w:spacing w:after="40"/>
      </w:pPr>
      <w:r>
        <w:rPr>
          <w:rFonts w:ascii="Arial" w:hAnsi="Arial"/>
          <w:b/>
          <w:sz w:val="21"/>
        </w:rPr>
        <w:t xml:space="preserve">Question 3: Problem Identification &amp; Grievance Resolution </w:t>
      </w:r>
      <w:r>
        <w:rPr>
          <w:b/>
          <w:color w:val="AA4614"/>
        </w:rPr>
        <w:t>[5 Marks]</w:t>
      </w:r>
    </w:p>
    <w:p>
      <w:pPr>
        <w:spacing w:after="120"/>
      </w:pPr>
      <w:r>
        <w:rPr>
          <w:rFonts w:ascii="Calibri" w:hAnsi="Calibri"/>
          <w:sz w:val="20"/>
        </w:rPr>
        <w:t>The factory floor has unresolved collective safety grievances. Detail TWO problem identification techniques (e.g., stay interviews, ER audits, grievance tracking) the HR Officer can implement to diagnose hidden workplace conflict before it escalates.</w:t>
      </w:r>
    </w:p>
    <w:p>
      <w:pPr>
        <w:spacing w:after="200"/>
      </w:pPr>
    </w:p>
    <w:p>
      <w:pPr>
        <w:keepNext/>
        <w:spacing w:before="240" w:after="80"/>
      </w:pPr>
      <w:r>
        <w:rPr>
          <w:rFonts w:ascii="Arial" w:hAnsi="Arial"/>
          <w:b/>
          <w:color w:val="AA4614"/>
          <w:sz w:val="26"/>
        </w:rPr>
        <w:t>PART A2: COMPREHENSIVE STRATEGIC LONG QUESTION (50 MARKS)</w:t>
      </w:r>
    </w:p>
    <w:p>
      <w:pPr>
        <w:spacing w:after="160" w:line="276" w:lineRule="auto"/>
      </w:pPr>
      <w:r>
        <w:rPr>
          <w:rFonts w:ascii="Calibri" w:hAnsi="Calibri"/>
          <w:b w:val="0"/>
          <w:i/>
          <w:color w:val="222222"/>
          <w:sz w:val="22"/>
        </w:rPr>
        <w:t>Instructions: Develop a comprehensive, professional Employment Relations Turnaround Strategy for MD Johan Pretorius and COO Thandiwe Khoza. Your response must address all four core sub-sections thoroughly, aligning recommendations with SABPP Standards, South African Legislation (LRA, BCEA, EEA, POPIA), CCMA rules, and sound ER theory.</w:t>
      </w:r>
    </w:p>
    <w:p>
      <w:pPr>
        <w:keepNext/>
        <w:spacing w:before="160" w:after="40"/>
      </w:pPr>
      <w:r>
        <w:rPr>
          <w:rFonts w:ascii="Arial" w:hAnsi="Arial"/>
          <w:b/>
          <w:sz w:val="22"/>
        </w:rPr>
        <w:t xml:space="preserve">SUB-SECTION A2.1: INTEGRATED LEGISLATIVE COMPLIANCE &amp; DISCIPLINARY / GRIEVANCE FRAMEWORK </w:t>
      </w:r>
      <w:r>
        <w:rPr>
          <w:b/>
          <w:color w:val="AA4614"/>
        </w:rPr>
        <w:t>[13 Marks]</w:t>
      </w:r>
    </w:p>
    <w:p>
      <w:pPr>
        <w:spacing w:after="160"/>
      </w:pPr>
      <w:r>
        <w:rPr>
          <w:rFonts w:ascii="Calibri" w:hAnsi="Calibri"/>
          <w:sz w:val="20"/>
        </w:rPr>
        <w:t>Formulate an integrated legislative compliance and dispute handling strategy to resolve MHE's procedural flaws.</w:t>
        <w:br/>
        <w:t>• Standard Operating Procedures (SOP) for conducting legally compliant disciplinary hearings under LRA Schedule 8.</w:t>
        <w:br/>
        <w:t>• Formal multi-stage Grievance Handling procedure with clear escalation timelines.</w:t>
        <w:br/>
        <w:t>• Burden of proof application principles (balance of probabilities) and evidence collation guidelines.</w:t>
        <w:br/>
        <w:t>• Record-keeping and POPIA compliance protocols for safe maintenance of employment relations files.</w:t>
      </w:r>
    </w:p>
    <w:p>
      <w:pPr>
        <w:keepNext/>
        <w:spacing w:before="160" w:after="40"/>
      </w:pPr>
      <w:r>
        <w:rPr>
          <w:rFonts w:ascii="Arial" w:hAnsi="Arial"/>
          <w:b/>
          <w:sz w:val="22"/>
        </w:rPr>
        <w:t xml:space="preserve">SUB-SECTION A2.2: COLLECTIVE BARGAINING &amp; INTEGRATIVE NEGOTIATION STRATEGY </w:t>
      </w:r>
      <w:r>
        <w:rPr>
          <w:b/>
          <w:color w:val="AA4614"/>
        </w:rPr>
        <w:t>[13 Marks]</w:t>
      </w:r>
    </w:p>
    <w:p>
      <w:pPr>
        <w:spacing w:after="160"/>
      </w:pPr>
      <w:r>
        <w:rPr>
          <w:rFonts w:ascii="Calibri" w:hAnsi="Calibri"/>
          <w:sz w:val="20"/>
        </w:rPr>
        <w:t>Develop a strategic negotiation framework for the upcoming annual wage and shift allowance negotiations with MAWU.</w:t>
        <w:br/>
        <w:t>• Shifting from Distributive (Win-Lose) bargaining to Integrative (Win-Win) bargaining principles.</w:t>
        <w:br/>
        <w:t>• Formulating MHE's bargaining mandate, BATNA, opening offers, and concession strategies.</w:t>
        <w:br/>
        <w:t>• Role of the HR Officer before, during, and after collective bargaining sessions.</w:t>
        <w:br/>
        <w:t>• Managing bargaining council / company-level bargaining structures and concluding legally binding collective agreements under LRA Section 23.</w:t>
      </w:r>
    </w:p>
    <w:p>
      <w:pPr>
        <w:keepNext/>
        <w:spacing w:before="160" w:after="40"/>
      </w:pPr>
      <w:r>
        <w:rPr>
          <w:rFonts w:ascii="Arial" w:hAnsi="Arial"/>
          <w:b/>
          <w:sz w:val="22"/>
        </w:rPr>
        <w:t xml:space="preserve">SUB-SECTION A2.3: ORGANISED LABOUR RELATIONSHIP BUILDING &amp; FORUM FACILITATION </w:t>
      </w:r>
      <w:r>
        <w:rPr>
          <w:b/>
          <w:color w:val="AA4614"/>
        </w:rPr>
        <w:t>[12 Marks]</w:t>
      </w:r>
    </w:p>
    <w:p>
      <w:pPr>
        <w:spacing w:after="160"/>
      </w:pPr>
      <w:r>
        <w:rPr>
          <w:rFonts w:ascii="Calibri" w:hAnsi="Calibri"/>
          <w:sz w:val="20"/>
        </w:rPr>
        <w:t>Design an organized labour facilitation strategy to restore trust between MHE management and union representatives.</w:t>
        <w:br/>
        <w:t>• Operationalising the SABPP Employment Relations Management Application Standard to foster a climate of trust.</w:t>
        <w:br/>
        <w:t>• Framework for coordinating joint consultative forums (Skills Development, EE Committees, Workplace Forums).</w:t>
        <w:br/>
        <w:t>• Structured engagement model with shop stewards, balancing union rights with employee performance duties.</w:t>
        <w:br/>
        <w:t>• Conflict de-escalation framework using emotional intelligence (EQ) and active listening practices.</w:t>
      </w:r>
    </w:p>
    <w:p>
      <w:pPr>
        <w:keepNext/>
        <w:spacing w:before="160" w:after="40"/>
      </w:pPr>
      <w:r>
        <w:rPr>
          <w:rFonts w:ascii="Arial" w:hAnsi="Arial"/>
          <w:b/>
          <w:sz w:val="22"/>
        </w:rPr>
        <w:t xml:space="preserve">SUB-SECTION A2.4: ER DATA ANALYTICS, CCMA DISPUTE GOVERNANCE &amp; CONTINUOUS AUDITING </w:t>
      </w:r>
      <w:r>
        <w:rPr>
          <w:b/>
          <w:color w:val="AA4614"/>
        </w:rPr>
        <w:t>[12 Marks]</w:t>
      </w:r>
    </w:p>
    <w:p>
      <w:pPr>
        <w:spacing w:after="160"/>
      </w:pPr>
      <w:r>
        <w:rPr>
          <w:rFonts w:ascii="Calibri" w:hAnsi="Calibri"/>
          <w:sz w:val="20"/>
        </w:rPr>
        <w:t>Establish a technology-driven ER analytics and CCMA dispute governance framework.</w:t>
        <w:br/>
        <w:t>• Managing CCMA dispute referrals (Conciliation, Con-Arb, Arbitration) and preparing MHE's case files.</w:t>
        <w:br/>
        <w:t>• Defining 5 core ER People Analytics metrics (e.g., Disciplinary Referral Rate, Grievance Resolution Velocity, CCMA Employer Win Rate, Absenteeism Index, Strike Risk Index) with targets.</w:t>
        <w:br/>
        <w:t>• Periodic ERM compliance audit methodology to review line manager compliance.</w:t>
        <w:br/>
        <w:t>• Continuous improvement feedback loops to align ER strategy with overall business success.</w:t>
      </w:r>
    </w:p>
    <w:p>
      <w:pPr>
        <w:spacing w:after="200"/>
      </w:pPr>
    </w:p>
    <w:p>
      <w:pPr>
        <w:keepNext/>
        <w:spacing w:before="320" w:after="120"/>
      </w:pPr>
      <w:r>
        <w:rPr>
          <w:rFonts w:ascii="Arial" w:hAnsi="Arial"/>
          <w:b/>
          <w:color w:val="8C280A"/>
          <w:sz w:val="32"/>
        </w:rPr>
        <w:t>SECTION B: MULTIPLE CHOICE QUESTIONS (15 MARKS)</w:t>
      </w:r>
    </w:p>
    <w:p>
      <w:pPr>
        <w:spacing w:after="160" w:line="276" w:lineRule="auto"/>
      </w:pPr>
      <w:r>
        <w:rPr>
          <w:rFonts w:ascii="Calibri" w:hAnsi="Calibri"/>
          <w:b w:val="0"/>
          <w:i/>
          <w:color w:val="222222"/>
          <w:sz w:val="22"/>
        </w:rPr>
        <w:t>Instructions: Select the SINGLE best answer for each question. Question order has been scrambled for Version 2. Each question carries 1 mark.</w:t>
      </w:r>
    </w:p>
    <w:p>
      <w:pPr>
        <w:keepNext/>
        <w:spacing w:after="60"/>
      </w:pPr>
      <w:r>
        <w:rPr>
          <w:rFonts w:ascii="Calibri" w:hAnsi="Calibri"/>
          <w:b/>
          <w:sz w:val="21"/>
        </w:rPr>
        <w:t>1. According to the SABPP Employment Relations Management Application Standard, what is the primary objective of an organizational ERM strategy?</w:t>
      </w:r>
    </w:p>
    <w:p>
      <w:pPr>
        <w:spacing w:after="40"/>
        <w:ind w:left="360"/>
      </w:pPr>
      <w:r>
        <w:rPr>
          <w:rFonts w:ascii="Calibri" w:hAnsi="Calibri"/>
          <w:sz w:val="20"/>
        </w:rPr>
        <w:t>A. To eliminate all trade unions from the workplace</w:t>
      </w:r>
    </w:p>
    <w:p>
      <w:pPr>
        <w:spacing w:after="40"/>
        <w:ind w:left="360"/>
      </w:pPr>
      <w:r>
        <w:rPr>
          <w:rFonts w:ascii="Calibri" w:hAnsi="Calibri"/>
          <w:sz w:val="20"/>
        </w:rPr>
        <w:t>B. To enforce mandatory unpaid overtime during peak production</w:t>
      </w:r>
    </w:p>
    <w:p>
      <w:pPr>
        <w:spacing w:after="40"/>
        <w:ind w:left="360"/>
      </w:pPr>
      <w:r>
        <w:rPr>
          <w:rFonts w:ascii="Calibri" w:hAnsi="Calibri"/>
          <w:sz w:val="20"/>
        </w:rPr>
        <w:t>C. To create and sustain a climate of trust, cooperation, and stability that enables organizational success</w:t>
      </w:r>
    </w:p>
    <w:p>
      <w:pPr>
        <w:spacing w:after="40"/>
        <w:ind w:left="360"/>
      </w:pPr>
      <w:r>
        <w:rPr>
          <w:rFonts w:ascii="Calibri" w:hAnsi="Calibri"/>
          <w:sz w:val="20"/>
        </w:rPr>
        <w:t>D. To maximize employer unilateral decision-making power</w:t>
      </w:r>
    </w:p>
    <w:p>
      <w:pPr>
        <w:keepNext/>
        <w:spacing w:after="60"/>
      </w:pPr>
      <w:r>
        <w:rPr>
          <w:rFonts w:ascii="Calibri" w:hAnsi="Calibri"/>
          <w:b/>
          <w:sz w:val="21"/>
        </w:rPr>
        <w:t>2. In collective bargaining terminology, what does the acronym 'BATNA' stand for?</w:t>
      </w:r>
    </w:p>
    <w:p>
      <w:pPr>
        <w:spacing w:after="40"/>
        <w:ind w:left="360"/>
      </w:pPr>
      <w:r>
        <w:rPr>
          <w:rFonts w:ascii="Calibri" w:hAnsi="Calibri"/>
          <w:sz w:val="20"/>
        </w:rPr>
        <w:t>A. Binding Agreement To Negotiate Arbitration</w:t>
      </w:r>
    </w:p>
    <w:p>
      <w:pPr>
        <w:spacing w:after="40"/>
        <w:ind w:left="360"/>
      </w:pPr>
      <w:r>
        <w:rPr>
          <w:rFonts w:ascii="Calibri" w:hAnsi="Calibri"/>
          <w:sz w:val="20"/>
        </w:rPr>
        <w:t>B. Best Alternative To a Negotiated Agreement</w:t>
      </w:r>
    </w:p>
    <w:p>
      <w:pPr>
        <w:spacing w:after="40"/>
        <w:ind w:left="360"/>
      </w:pPr>
      <w:r>
        <w:rPr>
          <w:rFonts w:ascii="Calibri" w:hAnsi="Calibri"/>
          <w:sz w:val="20"/>
        </w:rPr>
        <w:t>C. Bargaining Authority Through National Association</w:t>
      </w:r>
    </w:p>
    <w:p>
      <w:pPr>
        <w:spacing w:after="40"/>
        <w:ind w:left="360"/>
      </w:pPr>
      <w:r>
        <w:rPr>
          <w:rFonts w:ascii="Calibri" w:hAnsi="Calibri"/>
          <w:sz w:val="20"/>
        </w:rPr>
        <w:t>D. Basic Allocation Terms for Network Audits</w:t>
      </w:r>
    </w:p>
    <w:p>
      <w:pPr>
        <w:keepNext/>
        <w:spacing w:after="60"/>
      </w:pPr>
      <w:r>
        <w:rPr>
          <w:rFonts w:ascii="Calibri" w:hAnsi="Calibri"/>
          <w:b/>
          <w:sz w:val="21"/>
        </w:rPr>
        <w:t>3. Under Section 14 of the Labour Relations Act (LRA), trade union shop stewards are legally entitled to which of the following rights in the workplace?</w:t>
      </w:r>
    </w:p>
    <w:p>
      <w:pPr>
        <w:spacing w:after="40"/>
        <w:ind w:left="360"/>
      </w:pPr>
      <w:r>
        <w:rPr>
          <w:rFonts w:ascii="Calibri" w:hAnsi="Calibri"/>
          <w:sz w:val="20"/>
        </w:rPr>
        <w:t>A. Unlimited paid leave to attend any political party conference</w:t>
      </w:r>
    </w:p>
    <w:p>
      <w:pPr>
        <w:spacing w:after="40"/>
        <w:ind w:left="360"/>
      </w:pPr>
      <w:r>
        <w:rPr>
          <w:rFonts w:ascii="Calibri" w:hAnsi="Calibri"/>
          <w:sz w:val="20"/>
        </w:rPr>
        <w:t>B. Reasonable time off with pay during working hours to perform union duties and receive training</w:t>
      </w:r>
    </w:p>
    <w:p>
      <w:pPr>
        <w:spacing w:after="40"/>
        <w:ind w:left="360"/>
      </w:pPr>
      <w:r>
        <w:rPr>
          <w:rFonts w:ascii="Calibri" w:hAnsi="Calibri"/>
          <w:sz w:val="20"/>
        </w:rPr>
        <w:t>C. Automatic exemption from company disciplinary codes</w:t>
      </w:r>
    </w:p>
    <w:p>
      <w:pPr>
        <w:spacing w:after="40"/>
        <w:ind w:left="360"/>
      </w:pPr>
      <w:r>
        <w:rPr>
          <w:rFonts w:ascii="Calibri" w:hAnsi="Calibri"/>
          <w:sz w:val="20"/>
        </w:rPr>
        <w:t>D. Sole authority to hire and fire line managers</w:t>
      </w:r>
    </w:p>
    <w:p>
      <w:pPr>
        <w:keepNext/>
        <w:spacing w:after="60"/>
      </w:pPr>
      <w:r>
        <w:rPr>
          <w:rFonts w:ascii="Calibri" w:hAnsi="Calibri"/>
          <w:b/>
          <w:sz w:val="21"/>
        </w:rPr>
        <w:t>4. What is the fundamental distinction between a Grievance and a Disciplinary Issue?</w:t>
      </w:r>
    </w:p>
    <w:p>
      <w:pPr>
        <w:spacing w:after="40"/>
        <w:ind w:left="360"/>
      </w:pPr>
      <w:r>
        <w:rPr>
          <w:rFonts w:ascii="Calibri" w:hAnsi="Calibri"/>
          <w:sz w:val="20"/>
        </w:rPr>
        <w:t>A. Grievances are raised by management against workers; disciplinary issues are raised by workers against managers</w:t>
      </w:r>
    </w:p>
    <w:p>
      <w:pPr>
        <w:spacing w:after="40"/>
        <w:ind w:left="360"/>
      </w:pPr>
      <w:r>
        <w:rPr>
          <w:rFonts w:ascii="Calibri" w:hAnsi="Calibri"/>
          <w:sz w:val="20"/>
        </w:rPr>
        <w:t>B. A grievance is a complaint raised by an employee regarding unfair treatment; a disciplinary issue involves alleged employee misconduct/breach of rules</w:t>
      </w:r>
    </w:p>
    <w:p>
      <w:pPr>
        <w:spacing w:after="40"/>
        <w:ind w:left="360"/>
      </w:pPr>
      <w:r>
        <w:rPr>
          <w:rFonts w:ascii="Calibri" w:hAnsi="Calibri"/>
          <w:sz w:val="20"/>
        </w:rPr>
        <w:t>C. Grievances apply only to permanent staff; discipline applies only to temporary staff</w:t>
      </w:r>
    </w:p>
    <w:p>
      <w:pPr>
        <w:spacing w:after="40"/>
        <w:ind w:left="360"/>
      </w:pPr>
      <w:r>
        <w:rPr>
          <w:rFonts w:ascii="Calibri" w:hAnsi="Calibri"/>
          <w:sz w:val="20"/>
        </w:rPr>
        <w:t>D. Grievances carry criminal penalties; discipline carries civil penalties</w:t>
      </w:r>
    </w:p>
    <w:p>
      <w:pPr>
        <w:keepNext/>
        <w:spacing w:after="60"/>
      </w:pPr>
      <w:r>
        <w:rPr>
          <w:rFonts w:ascii="Calibri" w:hAnsi="Calibri"/>
          <w:b/>
          <w:sz w:val="21"/>
        </w:rPr>
        <w:t>5. In South African labour law, what is the required standard of proof in CCMA arbitration proceedings for establishing employee misconduct?</w:t>
      </w:r>
    </w:p>
    <w:p>
      <w:pPr>
        <w:spacing w:after="40"/>
        <w:ind w:left="360"/>
      </w:pPr>
      <w:r>
        <w:rPr>
          <w:rFonts w:ascii="Calibri" w:hAnsi="Calibri"/>
          <w:sz w:val="20"/>
        </w:rPr>
        <w:t>A. Beyond a reasonable doubt</w:t>
      </w:r>
    </w:p>
    <w:p>
      <w:pPr>
        <w:spacing w:after="40"/>
        <w:ind w:left="360"/>
      </w:pPr>
      <w:r>
        <w:rPr>
          <w:rFonts w:ascii="Calibri" w:hAnsi="Calibri"/>
          <w:sz w:val="20"/>
        </w:rPr>
        <w:t>B. On a balance of probabilities</w:t>
      </w:r>
    </w:p>
    <w:p>
      <w:pPr>
        <w:spacing w:after="40"/>
        <w:ind w:left="360"/>
      </w:pPr>
      <w:r>
        <w:rPr>
          <w:rFonts w:ascii="Calibri" w:hAnsi="Calibri"/>
          <w:sz w:val="20"/>
        </w:rPr>
        <w:t>C. Prima facie certainty</w:t>
      </w:r>
    </w:p>
    <w:p>
      <w:pPr>
        <w:spacing w:after="40"/>
        <w:ind w:left="360"/>
      </w:pPr>
      <w:r>
        <w:rPr>
          <w:rFonts w:ascii="Calibri" w:hAnsi="Calibri"/>
          <w:sz w:val="20"/>
        </w:rPr>
        <w:t>D. Absolute certainty</w:t>
      </w:r>
    </w:p>
    <w:p>
      <w:pPr>
        <w:keepNext/>
        <w:spacing w:after="60"/>
      </w:pPr>
      <w:r>
        <w:rPr>
          <w:rFonts w:ascii="Calibri" w:hAnsi="Calibri"/>
          <w:b/>
          <w:sz w:val="21"/>
        </w:rPr>
        <w:t>6. Which dispute resolution mechanism involves a neutral CCMA commissioner facilitating discussions to help parties reach a voluntary, mutually acceptable settlement without issuing a binding award?</w:t>
      </w:r>
    </w:p>
    <w:p>
      <w:pPr>
        <w:spacing w:after="40"/>
        <w:ind w:left="360"/>
      </w:pPr>
      <w:r>
        <w:rPr>
          <w:rFonts w:ascii="Calibri" w:hAnsi="Calibri"/>
          <w:sz w:val="20"/>
        </w:rPr>
        <w:t>A. Formal Adjudication</w:t>
      </w:r>
    </w:p>
    <w:p>
      <w:pPr>
        <w:spacing w:after="40"/>
        <w:ind w:left="360"/>
      </w:pPr>
      <w:r>
        <w:rPr>
          <w:rFonts w:ascii="Calibri" w:hAnsi="Calibri"/>
          <w:sz w:val="20"/>
        </w:rPr>
        <w:t>B. Arbitration</w:t>
      </w:r>
    </w:p>
    <w:p>
      <w:pPr>
        <w:spacing w:after="40"/>
        <w:ind w:left="360"/>
      </w:pPr>
      <w:r>
        <w:rPr>
          <w:rFonts w:ascii="Calibri" w:hAnsi="Calibri"/>
          <w:sz w:val="20"/>
        </w:rPr>
        <w:t>C. Conciliation</w:t>
      </w:r>
    </w:p>
    <w:p>
      <w:pPr>
        <w:spacing w:after="40"/>
        <w:ind w:left="360"/>
      </w:pPr>
      <w:r>
        <w:rPr>
          <w:rFonts w:ascii="Calibri" w:hAnsi="Calibri"/>
          <w:sz w:val="20"/>
        </w:rPr>
        <w:t>D. Summary Hearing</w:t>
      </w:r>
    </w:p>
    <w:p>
      <w:pPr>
        <w:keepNext/>
        <w:spacing w:after="60"/>
      </w:pPr>
      <w:r>
        <w:rPr>
          <w:rFonts w:ascii="Calibri" w:hAnsi="Calibri"/>
          <w:b/>
          <w:sz w:val="21"/>
        </w:rPr>
        <w:t>7. Which negotiation approach focuses on identifying underlying interests, mutual gains, and creative win-win solutions rather than rigid adversarial stances?</w:t>
      </w:r>
    </w:p>
    <w:p>
      <w:pPr>
        <w:spacing w:after="40"/>
        <w:ind w:left="360"/>
      </w:pPr>
      <w:r>
        <w:rPr>
          <w:rFonts w:ascii="Calibri" w:hAnsi="Calibri"/>
          <w:sz w:val="20"/>
        </w:rPr>
        <w:t>A. Integrative Bargaining</w:t>
      </w:r>
    </w:p>
    <w:p>
      <w:pPr>
        <w:spacing w:after="40"/>
        <w:ind w:left="360"/>
      </w:pPr>
      <w:r>
        <w:rPr>
          <w:rFonts w:ascii="Calibri" w:hAnsi="Calibri"/>
          <w:sz w:val="20"/>
        </w:rPr>
        <w:t>B. Distributive Bargaining</w:t>
      </w:r>
    </w:p>
    <w:p>
      <w:pPr>
        <w:spacing w:after="40"/>
        <w:ind w:left="360"/>
      </w:pPr>
      <w:r>
        <w:rPr>
          <w:rFonts w:ascii="Calibri" w:hAnsi="Calibri"/>
          <w:sz w:val="20"/>
        </w:rPr>
        <w:t>C. Positional Bargaining</w:t>
      </w:r>
    </w:p>
    <w:p>
      <w:pPr>
        <w:spacing w:after="40"/>
        <w:ind w:left="360"/>
      </w:pPr>
      <w:r>
        <w:rPr>
          <w:rFonts w:ascii="Calibri" w:hAnsi="Calibri"/>
          <w:sz w:val="20"/>
        </w:rPr>
        <w:t>D. Zero-Sum Bargaining</w:t>
      </w:r>
    </w:p>
    <w:p>
      <w:pPr>
        <w:keepNext/>
        <w:spacing w:after="60"/>
      </w:pPr>
      <w:r>
        <w:rPr>
          <w:rFonts w:ascii="Calibri" w:hAnsi="Calibri"/>
          <w:b/>
          <w:sz w:val="21"/>
        </w:rPr>
        <w:t>8. When an employee is charged with gross dishonesty, who bears the legal burden of proof during a CCMA arbitration hearing?</w:t>
      </w:r>
    </w:p>
    <w:p>
      <w:pPr>
        <w:spacing w:after="40"/>
        <w:ind w:left="360"/>
      </w:pPr>
      <w:r>
        <w:rPr>
          <w:rFonts w:ascii="Calibri" w:hAnsi="Calibri"/>
          <w:sz w:val="20"/>
        </w:rPr>
        <w:t>A. The employee must prove they are innocent</w:t>
      </w:r>
    </w:p>
    <w:p>
      <w:pPr>
        <w:spacing w:after="40"/>
        <w:ind w:left="360"/>
      </w:pPr>
      <w:r>
        <w:rPr>
          <w:rFonts w:ascii="Calibri" w:hAnsi="Calibri"/>
          <w:sz w:val="20"/>
        </w:rPr>
        <w:t>B. The trade union shop steward</w:t>
      </w:r>
    </w:p>
    <w:p>
      <w:pPr>
        <w:spacing w:after="40"/>
        <w:ind w:left="360"/>
      </w:pPr>
      <w:r>
        <w:rPr>
          <w:rFonts w:ascii="Calibri" w:hAnsi="Calibri"/>
          <w:sz w:val="20"/>
        </w:rPr>
        <w:t>C. The employer must prove on a balance of probabilities that the employee committed the misconduct</w:t>
      </w:r>
    </w:p>
    <w:p>
      <w:pPr>
        <w:spacing w:after="40"/>
        <w:ind w:left="360"/>
      </w:pPr>
      <w:r>
        <w:rPr>
          <w:rFonts w:ascii="Calibri" w:hAnsi="Calibri"/>
          <w:sz w:val="20"/>
        </w:rPr>
        <w:t>D. The CCMA commissioner personally</w:t>
      </w:r>
    </w:p>
    <w:p>
      <w:pPr>
        <w:keepNext/>
        <w:spacing w:after="60"/>
      </w:pPr>
      <w:r>
        <w:rPr>
          <w:rFonts w:ascii="Calibri" w:hAnsi="Calibri"/>
          <w:b/>
          <w:sz w:val="21"/>
        </w:rPr>
        <w:t>9. Which statutory act regulates how personal information gathered during disciplinary investigations and grievance records must be processed, stored, and protected?</w:t>
      </w:r>
    </w:p>
    <w:p>
      <w:pPr>
        <w:spacing w:after="40"/>
        <w:ind w:left="360"/>
      </w:pPr>
      <w:r>
        <w:rPr>
          <w:rFonts w:ascii="Calibri" w:hAnsi="Calibri"/>
          <w:sz w:val="20"/>
        </w:rPr>
        <w:t>A. Basic Conditions of Employment Act (BCEA)</w:t>
      </w:r>
    </w:p>
    <w:p>
      <w:pPr>
        <w:spacing w:after="40"/>
        <w:ind w:left="360"/>
      </w:pPr>
      <w:r>
        <w:rPr>
          <w:rFonts w:ascii="Calibri" w:hAnsi="Calibri"/>
          <w:sz w:val="20"/>
        </w:rPr>
        <w:t>B. Protection of Personal Information Act (POPIA)</w:t>
      </w:r>
    </w:p>
    <w:p>
      <w:pPr>
        <w:spacing w:after="40"/>
        <w:ind w:left="360"/>
      </w:pPr>
      <w:r>
        <w:rPr>
          <w:rFonts w:ascii="Calibri" w:hAnsi="Calibri"/>
          <w:sz w:val="20"/>
        </w:rPr>
        <w:t>C. Occupational Health and Safety Act (OHSA)</w:t>
      </w:r>
    </w:p>
    <w:p>
      <w:pPr>
        <w:spacing w:after="40"/>
        <w:ind w:left="360"/>
      </w:pPr>
      <w:r>
        <w:rPr>
          <w:rFonts w:ascii="Calibri" w:hAnsi="Calibri"/>
          <w:sz w:val="20"/>
        </w:rPr>
        <w:t>D. Skills Development Levies Act (SDLA)</w:t>
      </w:r>
    </w:p>
    <w:p>
      <w:pPr>
        <w:keepNext/>
        <w:spacing w:after="60"/>
      </w:pPr>
      <w:r>
        <w:rPr>
          <w:rFonts w:ascii="Calibri" w:hAnsi="Calibri"/>
          <w:b/>
          <w:sz w:val="21"/>
        </w:rPr>
        <w:t>10. Under Section 23 of the Labour Relations Act, a collective agreement concluded between a recognized trade union and an employer is:</w:t>
      </w:r>
    </w:p>
    <w:p>
      <w:pPr>
        <w:spacing w:after="40"/>
        <w:ind w:left="360"/>
      </w:pPr>
      <w:r>
        <w:rPr>
          <w:rFonts w:ascii="Calibri" w:hAnsi="Calibri"/>
          <w:sz w:val="20"/>
        </w:rPr>
        <w:t>A. An informal non-binding guideline</w:t>
      </w:r>
    </w:p>
    <w:p>
      <w:pPr>
        <w:spacing w:after="40"/>
        <w:ind w:left="360"/>
      </w:pPr>
      <w:r>
        <w:rPr>
          <w:rFonts w:ascii="Calibri" w:hAnsi="Calibri"/>
          <w:sz w:val="20"/>
        </w:rPr>
        <w:t>B. Legally binding on the employer, union members, and non-union employees if extended under statutory criteria</w:t>
      </w:r>
    </w:p>
    <w:p>
      <w:pPr>
        <w:spacing w:after="40"/>
        <w:ind w:left="360"/>
      </w:pPr>
      <w:r>
        <w:rPr>
          <w:rFonts w:ascii="Calibri" w:hAnsi="Calibri"/>
          <w:sz w:val="20"/>
        </w:rPr>
        <w:t>C. Applicable only during public holidays</w:t>
      </w:r>
    </w:p>
    <w:p>
      <w:pPr>
        <w:spacing w:after="40"/>
        <w:ind w:left="360"/>
      </w:pPr>
      <w:r>
        <w:rPr>
          <w:rFonts w:ascii="Calibri" w:hAnsi="Calibri"/>
          <w:sz w:val="20"/>
        </w:rPr>
        <w:t>D. Valid only if ratified by a High Court judge</w:t>
      </w:r>
    </w:p>
    <w:p>
      <w:pPr>
        <w:keepNext/>
        <w:spacing w:after="60"/>
      </w:pPr>
      <w:r>
        <w:rPr>
          <w:rFonts w:ascii="Calibri" w:hAnsi="Calibri"/>
          <w:b/>
          <w:sz w:val="21"/>
        </w:rPr>
        <w:t>11. In contract law as applied to Employment Contracts and SLAs, 'Consideration' in the employment relationship primarily consists of:</w:t>
      </w:r>
    </w:p>
    <w:p>
      <w:pPr>
        <w:spacing w:after="40"/>
        <w:ind w:left="360"/>
      </w:pPr>
      <w:r>
        <w:rPr>
          <w:rFonts w:ascii="Calibri" w:hAnsi="Calibri"/>
          <w:sz w:val="20"/>
        </w:rPr>
        <w:t>A. Employer verbal praise in exchange for employee loyalty</w:t>
      </w:r>
    </w:p>
    <w:p>
      <w:pPr>
        <w:spacing w:after="40"/>
        <w:ind w:left="360"/>
      </w:pPr>
      <w:r>
        <w:rPr>
          <w:rFonts w:ascii="Calibri" w:hAnsi="Calibri"/>
          <w:sz w:val="20"/>
        </w:rPr>
        <w:t>B. Payment of Skills Development Levies to SARS</w:t>
      </w:r>
    </w:p>
    <w:p>
      <w:pPr>
        <w:spacing w:after="40"/>
        <w:ind w:left="360"/>
      </w:pPr>
      <w:r>
        <w:rPr>
          <w:rFonts w:ascii="Calibri" w:hAnsi="Calibri"/>
          <w:sz w:val="20"/>
        </w:rPr>
        <w:t>C. The employee providing skills and labour in exchange for the employer providing remuneration</w:t>
      </w:r>
    </w:p>
    <w:p>
      <w:pPr>
        <w:spacing w:after="40"/>
        <w:ind w:left="360"/>
      </w:pPr>
      <w:r>
        <w:rPr>
          <w:rFonts w:ascii="Calibri" w:hAnsi="Calibri"/>
          <w:sz w:val="20"/>
        </w:rPr>
        <w:t>D. Free parking spaces provided on company grounds</w:t>
      </w:r>
    </w:p>
    <w:p>
      <w:pPr>
        <w:keepNext/>
        <w:spacing w:after="60"/>
      </w:pPr>
      <w:r>
        <w:rPr>
          <w:rFonts w:ascii="Calibri" w:hAnsi="Calibri"/>
          <w:b/>
          <w:sz w:val="21"/>
        </w:rPr>
        <w:t>12. Which problem identification technique involves conducting structured, one-on-one discussions with high-performing employees to understand what keeps them engaged and prevent future dissatisfaction?</w:t>
      </w:r>
    </w:p>
    <w:p>
      <w:pPr>
        <w:spacing w:after="40"/>
        <w:ind w:left="360"/>
      </w:pPr>
      <w:r>
        <w:rPr>
          <w:rFonts w:ascii="Calibri" w:hAnsi="Calibri"/>
          <w:sz w:val="20"/>
        </w:rPr>
        <w:t>A. Exit Interviews</w:t>
      </w:r>
    </w:p>
    <w:p>
      <w:pPr>
        <w:spacing w:after="40"/>
        <w:ind w:left="360"/>
      </w:pPr>
      <w:r>
        <w:rPr>
          <w:rFonts w:ascii="Calibri" w:hAnsi="Calibri"/>
          <w:sz w:val="20"/>
        </w:rPr>
        <w:t>B. Stay Interviews</w:t>
      </w:r>
    </w:p>
    <w:p>
      <w:pPr>
        <w:spacing w:after="40"/>
        <w:ind w:left="360"/>
      </w:pPr>
      <w:r>
        <w:rPr>
          <w:rFonts w:ascii="Calibri" w:hAnsi="Calibri"/>
          <w:sz w:val="20"/>
        </w:rPr>
        <w:t>C. Disciplinary Hearings</w:t>
      </w:r>
    </w:p>
    <w:p>
      <w:pPr>
        <w:spacing w:after="40"/>
        <w:ind w:left="360"/>
      </w:pPr>
      <w:r>
        <w:rPr>
          <w:rFonts w:ascii="Calibri" w:hAnsi="Calibri"/>
          <w:sz w:val="20"/>
        </w:rPr>
        <w:t>D. Sentiment Parsing</w:t>
      </w:r>
    </w:p>
    <w:p>
      <w:pPr>
        <w:keepNext/>
        <w:spacing w:after="60"/>
      </w:pPr>
      <w:r>
        <w:rPr>
          <w:rFonts w:ascii="Calibri" w:hAnsi="Calibri"/>
          <w:b/>
          <w:sz w:val="21"/>
        </w:rPr>
        <w:t>13. According to the LRA Code of Good Practice: Dismissal, procedural fairness in a disciplinary hearing requires that the employer must issue a written notice of hearing to the employee at least how many days in advance?</w:t>
      </w:r>
    </w:p>
    <w:p>
      <w:pPr>
        <w:spacing w:after="40"/>
        <w:ind w:left="360"/>
      </w:pPr>
      <w:r>
        <w:rPr>
          <w:rFonts w:ascii="Calibri" w:hAnsi="Calibri"/>
          <w:sz w:val="20"/>
        </w:rPr>
        <w:t>A. 24 hours</w:t>
      </w:r>
    </w:p>
    <w:p>
      <w:pPr>
        <w:spacing w:after="40"/>
        <w:ind w:left="360"/>
      </w:pPr>
      <w:r>
        <w:rPr>
          <w:rFonts w:ascii="Calibri" w:hAnsi="Calibri"/>
          <w:sz w:val="20"/>
        </w:rPr>
        <w:t>B. At least 3 working days</w:t>
      </w:r>
    </w:p>
    <w:p>
      <w:pPr>
        <w:spacing w:after="40"/>
        <w:ind w:left="360"/>
      </w:pPr>
      <w:r>
        <w:rPr>
          <w:rFonts w:ascii="Calibri" w:hAnsi="Calibri"/>
          <w:sz w:val="20"/>
        </w:rPr>
        <w:t>C. 21 calendar days</w:t>
      </w:r>
    </w:p>
    <w:p>
      <w:pPr>
        <w:spacing w:after="40"/>
        <w:ind w:left="360"/>
      </w:pPr>
      <w:r>
        <w:rPr>
          <w:rFonts w:ascii="Calibri" w:hAnsi="Calibri"/>
          <w:sz w:val="20"/>
        </w:rPr>
        <w:t>D. 30 working days</w:t>
      </w:r>
    </w:p>
    <w:p>
      <w:pPr>
        <w:keepNext/>
        <w:spacing w:after="60"/>
      </w:pPr>
      <w:r>
        <w:rPr>
          <w:rFonts w:ascii="Calibri" w:hAnsi="Calibri"/>
          <w:b/>
          <w:sz w:val="21"/>
        </w:rPr>
        <w:t>14. Which statutory body is established by the Minister of Higher Education &amp; Training / Labour to negotiate sector-wide minimum wages and collective agreements across an entire industry?</w:t>
      </w:r>
    </w:p>
    <w:p>
      <w:pPr>
        <w:spacing w:after="40"/>
        <w:ind w:left="360"/>
      </w:pPr>
      <w:r>
        <w:rPr>
          <w:rFonts w:ascii="Calibri" w:hAnsi="Calibri"/>
          <w:sz w:val="20"/>
        </w:rPr>
        <w:t>A. Essential Services Committee</w:t>
      </w:r>
    </w:p>
    <w:p>
      <w:pPr>
        <w:spacing w:after="40"/>
        <w:ind w:left="360"/>
      </w:pPr>
      <w:r>
        <w:rPr>
          <w:rFonts w:ascii="Calibri" w:hAnsi="Calibri"/>
          <w:sz w:val="20"/>
        </w:rPr>
        <w:t>B. Bargaining Council</w:t>
      </w:r>
    </w:p>
    <w:p>
      <w:pPr>
        <w:spacing w:after="40"/>
        <w:ind w:left="360"/>
      </w:pPr>
      <w:r>
        <w:rPr>
          <w:rFonts w:ascii="Calibri" w:hAnsi="Calibri"/>
          <w:sz w:val="20"/>
        </w:rPr>
        <w:t>C. Workplace Forum</w:t>
      </w:r>
    </w:p>
    <w:p>
      <w:pPr>
        <w:spacing w:after="40"/>
        <w:ind w:left="360"/>
      </w:pPr>
      <w:r>
        <w:rPr>
          <w:rFonts w:ascii="Calibri" w:hAnsi="Calibri"/>
          <w:sz w:val="20"/>
        </w:rPr>
        <w:t>D. CCMA Governing Body</w:t>
      </w:r>
    </w:p>
    <w:p>
      <w:pPr>
        <w:keepNext/>
        <w:spacing w:after="60"/>
      </w:pPr>
      <w:r>
        <w:rPr>
          <w:rFonts w:ascii="Calibri" w:hAnsi="Calibri"/>
          <w:b/>
          <w:sz w:val="21"/>
        </w:rPr>
        <w:t>15. What is the legal effect of a CCMA Arbitration Award issued by a commissioner at the conclusion of arbitration proceedings?</w:t>
      </w:r>
    </w:p>
    <w:p>
      <w:pPr>
        <w:spacing w:after="40"/>
        <w:ind w:left="360"/>
      </w:pPr>
      <w:r>
        <w:rPr>
          <w:rFonts w:ascii="Calibri" w:hAnsi="Calibri"/>
          <w:sz w:val="20"/>
        </w:rPr>
        <w:t>A. It is a non-binding suggestion that can be ignored</w:t>
      </w:r>
    </w:p>
    <w:p>
      <w:pPr>
        <w:spacing w:after="40"/>
        <w:ind w:left="360"/>
      </w:pPr>
      <w:r>
        <w:rPr>
          <w:rFonts w:ascii="Calibri" w:hAnsi="Calibri"/>
          <w:sz w:val="20"/>
        </w:rPr>
        <w:t>B. It is final and legally binding on both parties, carrying the same weight as an order of the Labour Court</w:t>
      </w:r>
    </w:p>
    <w:p>
      <w:pPr>
        <w:spacing w:after="40"/>
        <w:ind w:left="360"/>
      </w:pPr>
      <w:r>
        <w:rPr>
          <w:rFonts w:ascii="Calibri" w:hAnsi="Calibri"/>
          <w:sz w:val="20"/>
        </w:rPr>
        <w:t>C. It requires approval by the company CEO within 14 days</w:t>
      </w:r>
    </w:p>
    <w:p>
      <w:pPr>
        <w:spacing w:after="40"/>
        <w:ind w:left="360"/>
      </w:pPr>
      <w:r>
        <w:rPr>
          <w:rFonts w:ascii="Calibri" w:hAnsi="Calibri"/>
          <w:sz w:val="20"/>
        </w:rPr>
        <w:t>D. It automatically cancels the employment contract</w:t>
      </w:r>
    </w:p>
    <w:p>
      <w:pPr>
        <w:spacing w:after="200"/>
      </w:pPr>
    </w:p>
    <w:p>
      <w:pPr>
        <w:keepNext/>
        <w:spacing w:before="320" w:after="120"/>
      </w:pPr>
      <w:r>
        <w:rPr>
          <w:rFonts w:ascii="Arial" w:hAnsi="Arial"/>
          <w:b/>
          <w:color w:val="8C280A"/>
          <w:sz w:val="32"/>
        </w:rPr>
        <w:t>SECTION C: TRUE / FALSE WITH JUSTIFICATION (20 MARKS)</w:t>
      </w:r>
    </w:p>
    <w:p>
      <w:pPr>
        <w:spacing w:after="160" w:line="276" w:lineRule="auto"/>
      </w:pPr>
      <w:r>
        <w:rPr>
          <w:rFonts w:ascii="Calibri" w:hAnsi="Calibri"/>
          <w:b w:val="0"/>
          <w:i/>
          <w:color w:val="222222"/>
          <w:sz w:val="22"/>
        </w:rPr>
        <w:t>Instructions: State whether each statement is TRUE or FALSE, and provide a detailed technical justification citing relevant principles, statutory frameworks (e.g., LRA, BCEA, EEA, POPIA, CCMA rules) or SABPP standards. Question order has been scrambled for Version 2. Allocation: 1 mark for correct True/False identification + 3 marks for comprehensive justification. Total: 4 marks each (5 Questions = 20 Marks).</w:t>
      </w:r>
    </w:p>
    <w:p>
      <w:pPr>
        <w:keepNext/>
        <w:spacing w:after="40"/>
      </w:pPr>
      <w:r>
        <w:rPr>
          <w:rFonts w:ascii="Calibri" w:hAnsi="Calibri"/>
          <w:b/>
          <w:sz w:val="21"/>
        </w:rPr>
        <w:t xml:space="preserve">Statement 1: </w:t>
      </w:r>
      <w:r>
        <w:rPr>
          <w:rFonts w:ascii="Calibri" w:hAnsi="Calibri"/>
          <w:i/>
          <w:sz w:val="21"/>
        </w:rPr>
        <w:t>"According to contract law principles applicable to SLAs and employment contracts, a contract term that violates mandatory statutory provisions (such as paying below the National Minimum Wage) is legally void and unenforceable."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2: </w:t>
      </w:r>
      <w:r>
        <w:rPr>
          <w:rFonts w:ascii="Calibri" w:hAnsi="Calibri"/>
          <w:i/>
          <w:sz w:val="21"/>
        </w:rPr>
        <w:t>"In South African labour law, an employer is legally permitted to dismiss an employee immediately for a first offence of minor misconduct without conducting a disciplinary investigation or hearing, provided the manager gives verbal notice."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3: </w:t>
      </w:r>
      <w:r>
        <w:rPr>
          <w:rFonts w:ascii="Calibri" w:hAnsi="Calibri"/>
          <w:i/>
          <w:sz w:val="21"/>
        </w:rPr>
        <w:t>"According to the SABPP Employment Relations Management Application Standard, managing organised labour relationships effectively requires establishing formal consultative committees, respecting collective agreements, and engaging shop stewards in good faith."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4: </w:t>
      </w:r>
      <w:r>
        <w:rPr>
          <w:rFonts w:ascii="Calibri" w:hAnsi="Calibri"/>
          <w:i/>
          <w:sz w:val="21"/>
        </w:rPr>
        <w:t>"Under Section 14 of the Labour Relations Act, elected trade union shop stewards are legally immune from disciplinary action or dismissal for their own personal misconduct while in office."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5: </w:t>
      </w:r>
      <w:r>
        <w:rPr>
          <w:rFonts w:ascii="Calibri" w:hAnsi="Calibri"/>
          <w:i/>
          <w:sz w:val="21"/>
        </w:rPr>
        <w:t>"In CCMA dispute resolution, if conciliation fails to resolve a dispute regarding an alleged unfair dismissal for misconduct, the commissioner immediately issues a binding arbitration award without hearing any verbal evidence or cross-examination."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after="4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