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107C41"/>
          <w:sz w:val="20"/>
        </w:rPr>
        <w:t>ADVANCED OCCUPATIONAL CERTIFICATE: HUMAN RESOURCE MANAGEMENT OFFICER</w:t>
      </w:r>
    </w:p>
    <w:p>
      <w:pPr>
        <w:spacing w:before="0" w:after="120"/>
      </w:pPr>
      <w:r>
        <w:rPr>
          <w:b/>
          <w:color w:val="1B365D"/>
          <w:sz w:val="40"/>
        </w:rPr>
        <w:t>ASSESSOR GUIDE &amp; MARKING MEMORANDUM</w:t>
      </w:r>
    </w:p>
    <w:p>
      <w:pPr>
        <w:spacing w:after="240"/>
      </w:pPr>
      <w:r>
        <w:rPr>
          <w:i/>
          <w:color w:val="646464"/>
          <w:sz w:val="19"/>
        </w:rPr>
        <w:t>Topic KM0401: Integrated Application of HRM Legislation (Weighting: 33% of KM-04)</w:t>
        <w:br/>
        <w:t>Qualification SAQA ID: 121151 | NQF Level 6 | Curriculum Code: 242303-001-00-00 | Total Marks: 50 Marks</w:t>
      </w:r>
    </w:p>
    <w:p>
      <w:pPr>
        <w:keepNext/>
        <w:spacing w:before="160" w:after="40"/>
      </w:pPr>
      <w:r>
        <w:rPr>
          <w:rFonts w:ascii="Arial" w:hAnsi="Arial"/>
          <w:b/>
          <w:color w:val="1B365D"/>
          <w:sz w:val="22"/>
        </w:rPr>
        <w:t>Assessor &amp; Quality Governance Details</w:t>
      </w:r>
    </w:p>
    <w:tbl>
      <w:tblPr>
        <w:tblW w:type="auto" w:w="0"/>
        <w:jc w:val="center"/>
        <w:tblLook w:firstColumn="1" w:firstRow="1" w:lastColumn="0" w:lastRow="0" w:noHBand="0" w:noVBand="1" w:val="04A0"/>
      </w:tblPr>
      <w:tblGrid>
        <w:gridCol w:w="4968"/>
        <w:gridCol w:w="4968"/>
      </w:tblGrid>
      <w:tr>
        <w:trPr>
          <w:cantSplit/>
          <w:tblHeader/>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Document Type:</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Topic KM0401 Assessor Guide &amp; Model Answer Memorandum</w:t>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Target Audience:</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Accredited Assessors, Internal Moderators, and Facilitators</w:t>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b/>
                <w:color w:val="333333"/>
                <w:sz w:val="18"/>
              </w:rPr>
              <w:t>Minimum Benchmark for Competence:</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80% Overall Score (40 / 50 Marks)</w:t>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Language &amp; Style Standard:</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UK English / NQF Level 6 Legal &amp; Statutory Professional Standards</w:t>
            </w:r>
          </w:p>
        </w:tc>
      </w:tr>
    </w:tbl>
    <w:p>
      <w:pPr>
        <w:spacing w:after="120"/>
      </w:pP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ASSESSOR GUIDELINES &amp; MARKING PRINCIPLES</w:t>
              <w:br/>
            </w:r>
            <w:r>
              <w:rPr>
                <w:color w:val="333333"/>
                <w:sz w:val="19"/>
              </w:rPr>
              <w:t>1. This Assessor Guide contains model solutions, legal references, and marking schemes for Topic KM0401.</w:t>
            </w:r>
          </w:p>
          <w:p>
            <w:pPr>
              <w:spacing w:before="0" w:after="40"/>
            </w:pPr>
            <w:r>
              <w:rPr>
                <w:color w:val="333333"/>
                <w:sz w:val="19"/>
              </w:rPr>
              <w:t>2. Evaluate learner responses against NQF Level 6 criteria: accurate statutory citation, clear conceptual distinction, and sound practical legal reasoning.</w:t>
            </w:r>
          </w:p>
          <w:p>
            <w:pPr>
              <w:spacing w:before="0" w:after="40"/>
            </w:pPr>
            <w:r>
              <w:rPr>
                <w:color w:val="333333"/>
                <w:sz w:val="19"/>
              </w:rPr>
              <w:t>3. Partial marks are permitted for open-ended questions and practical scenarios where well-reasoned legal arguments are presented.</w:t>
            </w:r>
          </w:p>
          <w:p>
            <w:pPr>
              <w:spacing w:before="0" w:after="40"/>
            </w:pPr>
            <w:r>
              <w:rPr>
                <w:color w:val="333333"/>
                <w:sz w:val="19"/>
              </w:rPr>
              <w:t>4. Record marks accurately in Section 3 of the Learner Workbook and provide constructive development feedback.</w:t>
            </w:r>
          </w:p>
        </w:tc>
      </w:tr>
    </w:tbl>
    <w:p>
      <w:pPr>
        <w:spacing w:after="80"/>
      </w:pPr>
    </w:p>
    <w:p>
      <w:pPr>
        <w:keepNext/>
        <w:spacing w:before="320" w:after="120"/>
        <w:pBdr>
          <w:bottom w:val="single" w:sz="12" w:space="4" w:color="1B365D"/>
        </w:pBdr>
      </w:pPr>
      <w:r>
        <w:rPr>
          <w:rFonts w:ascii="Arial" w:hAnsi="Arial"/>
          <w:b/>
          <w:color w:val="1B365D"/>
          <w:sz w:val="30"/>
        </w:rPr>
        <w:t>SECTION 1: KNOWLEDGE &amp; UNDERSTANDING MEMORANDUM (30 MARKS)</w:t>
      </w:r>
    </w:p>
    <w:p>
      <w:pPr>
        <w:keepNext/>
        <w:spacing w:before="240" w:after="80"/>
      </w:pPr>
      <w:r>
        <w:rPr>
          <w:rFonts w:ascii="Arial" w:hAnsi="Arial"/>
          <w:b/>
          <w:color w:val="107C41"/>
          <w:sz w:val="25"/>
        </w:rPr>
        <w:t>Part A: Multiple-Choice Questions Memorandum (5 Marks)</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864"/>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Q#</w:t>
            </w:r>
          </w:p>
        </w:tc>
        <w:tc>
          <w:tcPr>
            <w:tcW w:type="dxa" w:w="172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Correct Option</w:t>
            </w:r>
          </w:p>
        </w:tc>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Key Answer / Legal Concept</w:t>
            </w:r>
          </w:p>
        </w:tc>
        <w:tc>
          <w:tcPr>
            <w:tcW w:type="dxa" w:w="3744"/>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Mark Allocation &amp; Criteria</w:t>
            </w:r>
          </w:p>
        </w:tc>
      </w:tr>
      <w:tr>
        <w:trPr>
          <w:cantSplit/>
        </w:trPr>
        <w:tc>
          <w:tcPr>
            <w:tcW w:type="dxa" w:w="86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1</w:t>
            </w:r>
          </w:p>
        </w:tc>
        <w:tc>
          <w:tcPr>
            <w:tcW w:type="dxa" w:w="172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B</w:t>
            </w:r>
          </w:p>
        </w:tc>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Constitution (Act 108 of 1996)</w:t>
            </w:r>
          </w:p>
        </w:tc>
        <w:tc>
          <w:tcPr>
            <w:tcW w:type="dxa" w:w="374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Mark. Enshrines fundamental rights (equality, fair labour practices, freedom of association).</w:t>
            </w:r>
          </w:p>
        </w:tc>
      </w:tr>
      <w:tr>
        <w:trPr>
          <w:cantSplit/>
        </w:trPr>
        <w:tc>
          <w:tcPr>
            <w:tcW w:type="dxa" w:w="86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2</w:t>
            </w:r>
          </w:p>
        </w:tc>
        <w:tc>
          <w:tcPr>
            <w:tcW w:type="dxa" w:w="1728"/>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B</w:t>
            </w:r>
          </w:p>
        </w:tc>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Skills Development Levies Act</w:t>
            </w:r>
          </w:p>
        </w:tc>
        <w:tc>
          <w:tcPr>
            <w:tcW w:type="dxa" w:w="374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1 Mark. Mandates 1% payroll levy paid via SARS for employers with annual payroll &gt; R500k.</w:t>
            </w:r>
          </w:p>
        </w:tc>
      </w:tr>
      <w:tr>
        <w:trPr>
          <w:cantSplit/>
        </w:trPr>
        <w:tc>
          <w:tcPr>
            <w:tcW w:type="dxa" w:w="86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3</w:t>
            </w:r>
          </w:p>
        </w:tc>
        <w:tc>
          <w:tcPr>
            <w:tcW w:type="dxa" w:w="172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C</w:t>
            </w:r>
          </w:p>
        </w:tc>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Principle of Fairness</w:t>
            </w:r>
          </w:p>
        </w:tc>
        <w:tc>
          <w:tcPr>
            <w:tcW w:type="dxa" w:w="374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Mark. Enforces both substantive fairness (valid reason) and procedural fairness (fair process).</w:t>
            </w:r>
          </w:p>
        </w:tc>
      </w:tr>
      <w:tr>
        <w:trPr>
          <w:cantSplit/>
        </w:trPr>
        <w:tc>
          <w:tcPr>
            <w:tcW w:type="dxa" w:w="86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4</w:t>
            </w:r>
          </w:p>
        </w:tc>
        <w:tc>
          <w:tcPr>
            <w:tcW w:type="dxa" w:w="1728"/>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B</w:t>
            </w:r>
          </w:p>
        </w:tc>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Conciliation</w:t>
            </w:r>
          </w:p>
        </w:tc>
        <w:tc>
          <w:tcPr>
            <w:tcW w:type="dxa" w:w="374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1 Mark. CCMA process where a neutral commissioner facilitates voluntary dispute settlement.</w:t>
            </w:r>
          </w:p>
        </w:tc>
      </w:tr>
      <w:tr>
        <w:trPr>
          <w:cantSplit/>
        </w:trPr>
        <w:tc>
          <w:tcPr>
            <w:tcW w:type="dxa" w:w="86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5</w:t>
            </w:r>
          </w:p>
        </w:tc>
        <w:tc>
          <w:tcPr>
            <w:tcW w:type="dxa" w:w="172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B</w:t>
            </w:r>
          </w:p>
        </w:tc>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Consideration</w:t>
            </w:r>
          </w:p>
        </w:tc>
        <w:tc>
          <w:tcPr>
            <w:tcW w:type="dxa" w:w="374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Mark. Exchange of value: employee skills/labour in return for employer remuneration.</w:t>
            </w:r>
          </w:p>
        </w:tc>
      </w:tr>
    </w:tbl>
    <w:p>
      <w:pPr>
        <w:spacing w:after="120"/>
      </w:pPr>
    </w:p>
    <w:p>
      <w:pPr>
        <w:keepNext/>
        <w:spacing w:before="240" w:after="80"/>
      </w:pPr>
      <w:r>
        <w:rPr>
          <w:rFonts w:ascii="Arial" w:hAnsi="Arial"/>
          <w:b/>
          <w:color w:val="107C41"/>
          <w:sz w:val="25"/>
        </w:rPr>
        <w:t>Part B: True / False Memorandum (5 Marks)</w:t>
      </w:r>
    </w:p>
    <w:tbl>
      <w:tblPr>
        <w:tblW w:type="auto" w:w="0"/>
        <w:jc w:val="center"/>
        <w:tblLook w:firstColumn="1" w:firstRow="1" w:lastColumn="0" w:lastRow="0" w:noHBand="0" w:noVBand="1" w:val="04A0"/>
      </w:tblPr>
      <w:tblGrid>
        <w:gridCol w:w="3312"/>
        <w:gridCol w:w="3312"/>
        <w:gridCol w:w="3312"/>
      </w:tblGrid>
      <w:tr>
        <w:trPr>
          <w:cantSplit/>
          <w:tblHeader/>
        </w:trPr>
        <w:tc>
          <w:tcPr>
            <w:tcW w:type="dxa" w:w="144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Statement #</w:t>
            </w:r>
          </w:p>
        </w:tc>
        <w:tc>
          <w:tcPr>
            <w:tcW w:type="dxa" w:w="201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Correct Answer</w:t>
            </w:r>
          </w:p>
        </w:tc>
        <w:tc>
          <w:tcPr>
            <w:tcW w:type="dxa" w:w="648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Assessment Guidance / Rationale</w:t>
            </w:r>
          </w:p>
        </w:tc>
      </w:tr>
      <w:tr>
        <w:trPr>
          <w:cantSplit/>
        </w:trPr>
        <w:tc>
          <w:tcPr>
            <w:tcW w:type="dxa" w:w="144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1</w:t>
            </w:r>
          </w:p>
        </w:tc>
        <w:tc>
          <w:tcPr>
            <w:tcW w:type="dxa" w:w="201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TRUE</w:t>
            </w:r>
          </w:p>
        </w:tc>
        <w:tc>
          <w:tcPr>
            <w:tcW w:type="dxa" w:w="64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Mark. Act = WHAT; Regulations = HOW; Codes of Good Practice = GUIDELINES; Policy = BEST PRACTICE.</w:t>
            </w:r>
          </w:p>
        </w:tc>
      </w:tr>
      <w:tr>
        <w:trPr>
          <w:cantSplit/>
        </w:trPr>
        <w:tc>
          <w:tcPr>
            <w:tcW w:type="dxa" w:w="144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2</w:t>
            </w:r>
          </w:p>
        </w:tc>
        <w:tc>
          <w:tcPr>
            <w:tcW w:type="dxa" w:w="201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FALSE</w:t>
            </w:r>
          </w:p>
        </w:tc>
        <w:tc>
          <w:tcPr>
            <w:tcW w:type="dxa" w:w="648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1 Mark. Labour/CCMA disputes use 'balance of probabilities'. 'Beyond reasonable doubt' is strictly criminal law.</w:t>
            </w:r>
          </w:p>
        </w:tc>
      </w:tr>
      <w:tr>
        <w:trPr>
          <w:cantSplit/>
        </w:trPr>
        <w:tc>
          <w:tcPr>
            <w:tcW w:type="dxa" w:w="144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3</w:t>
            </w:r>
          </w:p>
        </w:tc>
        <w:tc>
          <w:tcPr>
            <w:tcW w:type="dxa" w:w="201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FALSE</w:t>
            </w:r>
          </w:p>
        </w:tc>
        <w:tc>
          <w:tcPr>
            <w:tcW w:type="dxa" w:w="64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Mark. POPIA strictly mandates lawful purpose, employee consent, data minimisation, and security safeguards.</w:t>
            </w:r>
          </w:p>
        </w:tc>
      </w:tr>
      <w:tr>
        <w:trPr>
          <w:cantSplit/>
        </w:trPr>
        <w:tc>
          <w:tcPr>
            <w:tcW w:type="dxa" w:w="144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4</w:t>
            </w:r>
          </w:p>
        </w:tc>
        <w:tc>
          <w:tcPr>
            <w:tcW w:type="dxa" w:w="201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TRUE</w:t>
            </w:r>
          </w:p>
        </w:tc>
        <w:tc>
          <w:tcPr>
            <w:tcW w:type="dxa" w:w="648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1 Mark. Purposive interpretation focuses on legal intention, social context, and constitutional alignment.</w:t>
            </w:r>
          </w:p>
        </w:tc>
      </w:tr>
      <w:tr>
        <w:trPr>
          <w:cantSplit/>
        </w:trPr>
        <w:tc>
          <w:tcPr>
            <w:tcW w:type="dxa" w:w="144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5</w:t>
            </w:r>
          </w:p>
        </w:tc>
        <w:tc>
          <w:tcPr>
            <w:tcW w:type="dxa" w:w="201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FALSE</w:t>
            </w:r>
          </w:p>
        </w:tc>
        <w:tc>
          <w:tcPr>
            <w:tcW w:type="dxa" w:w="64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Mark. Under contract law, the contract purpose must be lawful; agreements requiring illegal acts are void.</w:t>
            </w:r>
          </w:p>
        </w:tc>
      </w:tr>
    </w:tbl>
    <w:p>
      <w:pPr>
        <w:spacing w:after="120"/>
      </w:pPr>
    </w:p>
    <w:p>
      <w:pPr>
        <w:keepNext/>
        <w:spacing w:before="240" w:after="80"/>
      </w:pPr>
      <w:r>
        <w:rPr>
          <w:rFonts w:ascii="Arial" w:hAnsi="Arial"/>
          <w:b/>
          <w:color w:val="107C41"/>
          <w:sz w:val="25"/>
        </w:rPr>
        <w:t>Part C: True / False with Technical Justification Memorandum (5 Marks)</w:t>
      </w:r>
    </w:p>
    <w:p>
      <w:pPr>
        <w:spacing w:before="80" w:after="40"/>
      </w:pPr>
      <w:r>
        <w:rPr>
          <w:b/>
        </w:rPr>
        <w:t>Statement 1: 'When an employee is suspected of theft in the workplace, the employer must initiate criminal proceedings in a magistrate's court before conducting an internal disciplinary hearing.'</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MODEL ANSWER &amp; MARKING SCHEME</w:t>
              <w:br/>
            </w:r>
            <w:r>
              <w:rPr>
                <w:color w:val="333333"/>
                <w:sz w:val="19"/>
              </w:rPr>
              <w:t>Correct Answer: FALSE (1 Mark)</w:t>
            </w:r>
          </w:p>
          <w:p>
            <w:pPr>
              <w:spacing w:before="0" w:after="40"/>
            </w:pPr>
            <w:r>
              <w:rPr>
                <w:color w:val="333333"/>
                <w:sz w:val="19"/>
              </w:rPr>
              <w:t>Justification Benchmark (1.5 Marks):</w:t>
              <w:br/>
              <w:t>Internal workplace disciplinary proceedings and criminal court prosecutions are legally independent. An employer is entitled to proceed immediately with an internal hearing based on the balance of probabilities under the Labour Relations Act, without waiting for police or criminal court outcomes which operate under 'beyond reasonable doubt'.</w:t>
            </w:r>
          </w:p>
        </w:tc>
      </w:tr>
    </w:tbl>
    <w:p>
      <w:pPr>
        <w:spacing w:after="80"/>
      </w:pPr>
    </w:p>
    <w:p>
      <w:pPr>
        <w:spacing w:before="80" w:after="40"/>
      </w:pPr>
      <w:r>
        <w:rPr>
          <w:b/>
        </w:rPr>
        <w:t>Statement 2: 'Under contract law, a Service Level Agreement (SLA) with an external HR service provider requires clear performance standards, remedies for breach, and mutual consideration to be legally binding.'</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MODEL ANSWER &amp; MARKING SCHEME</w:t>
              <w:br/>
            </w:r>
            <w:r>
              <w:rPr>
                <w:color w:val="333333"/>
                <w:sz w:val="19"/>
              </w:rPr>
              <w:t>Correct Answer: TRUE (1 Mark)</w:t>
            </w:r>
          </w:p>
          <w:p>
            <w:pPr>
              <w:spacing w:before="0" w:after="40"/>
            </w:pPr>
            <w:r>
              <w:rPr>
                <w:color w:val="333333"/>
                <w:sz w:val="19"/>
              </w:rPr>
              <w:t>Justification Benchmark (1.5 Marks):</w:t>
              <w:br/>
              <w:t>A valid SLA is a civil contract requiring offer/acceptance, lawful purpose, clear terms, mutual consideration (payment for defined HR services), and explicit remedies for breach (such as service credits or termination clauses) to ensure legal certainty and enforceability.</w:t>
            </w:r>
          </w:p>
        </w:tc>
      </w:tr>
    </w:tbl>
    <w:p>
      <w:pPr>
        <w:spacing w:after="80"/>
      </w:pPr>
    </w:p>
    <w:p>
      <w:pPr>
        <w:keepNext/>
        <w:spacing w:before="240" w:after="80"/>
      </w:pPr>
      <w:r>
        <w:rPr>
          <w:rFonts w:ascii="Arial" w:hAnsi="Arial"/>
          <w:b/>
          <w:color w:val="107C41"/>
          <w:sz w:val="25"/>
        </w:rPr>
        <w:t>Part D: Short Answer Conceptual Questions Memorandum (15 Marks)</w:t>
      </w:r>
    </w:p>
    <w:p>
      <w:pPr>
        <w:spacing w:before="120" w:after="40"/>
      </w:pPr>
      <w:r>
        <w:rPr>
          <w:b/>
        </w:rPr>
        <w:t>Question 1 (IAC0101): Core Purpose of Statutory Labour Framework (3 Marks)</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MARKING SCHEME &amp; BENCHMARK</w:t>
              <w:br/>
            </w:r>
            <w:r>
              <w:rPr>
                <w:color w:val="333333"/>
                <w:sz w:val="19"/>
              </w:rPr>
              <w:t>Award 1 Mark per statute correctly outlined with purpose (Max 3 Marks):</w:t>
            </w:r>
          </w:p>
          <w:p>
            <w:pPr>
              <w:spacing w:before="0" w:after="40"/>
            </w:pPr>
            <w:r>
              <w:rPr>
                <w:color w:val="333333"/>
                <w:sz w:val="19"/>
              </w:rPr>
              <w:t>• LRA (Act 66 of 1995): Regulates collective bargaining, trade union rights, fair dismissals, and dispute resolution via CCMA.</w:t>
            </w:r>
          </w:p>
          <w:p>
            <w:pPr>
              <w:spacing w:before="0" w:after="40"/>
            </w:pPr>
            <w:r>
              <w:rPr>
                <w:color w:val="333333"/>
                <w:sz w:val="19"/>
              </w:rPr>
              <w:t>• BCEA (Act 75 of 1997): Establishes statutory minimum employment conditions (leave, working hours, overtime, notice periods).</w:t>
            </w:r>
          </w:p>
          <w:p>
            <w:pPr>
              <w:spacing w:before="0" w:after="40"/>
            </w:pPr>
            <w:r>
              <w:rPr>
                <w:color w:val="333333"/>
                <w:sz w:val="19"/>
              </w:rPr>
              <w:t>• EEA (Act 52 of 1998): Eliminates unfair workplace discrimination and mandates affirmative action/employment equity plans.</w:t>
            </w:r>
          </w:p>
          <w:p>
            <w:pPr>
              <w:spacing w:before="0" w:after="40"/>
            </w:pPr>
            <w:r>
              <w:rPr>
                <w:color w:val="333333"/>
                <w:sz w:val="19"/>
              </w:rPr>
              <w:t>• SDA (Act 98 of 1998): Establishes national framework for workplace skills development and SETA initiatives.</w:t>
            </w:r>
          </w:p>
        </w:tc>
      </w:tr>
    </w:tbl>
    <w:p>
      <w:pPr>
        <w:spacing w:after="80"/>
      </w:pPr>
    </w:p>
    <w:p>
      <w:pPr>
        <w:spacing w:before="120" w:after="40"/>
      </w:pPr>
      <w:r>
        <w:rPr>
          <w:b/>
        </w:rPr>
        <w:t>Question 2 (IAC0102): Substantive vs. Procedural Fairness (3 Marks)</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MARKING SCHEME &amp; BENCHMARK</w:t>
              <w:br/>
            </w:r>
            <w:r>
              <w:rPr>
                <w:color w:val="333333"/>
                <w:sz w:val="19"/>
              </w:rPr>
              <w:t>• Substantive Fairness (1.5 Marks): Requires a valid, fair, and proven reason for disciplinary action or dismissal (e.g., proven gross misconduct or uncorrected poor performance).</w:t>
            </w:r>
          </w:p>
          <w:p>
            <w:pPr>
              <w:spacing w:before="0" w:after="40"/>
            </w:pPr>
            <w:r>
              <w:rPr>
                <w:color w:val="333333"/>
                <w:sz w:val="19"/>
              </w:rPr>
              <w:t>• Procedural Fairness (1.5 Marks): Requires following a fair process before taking action (e.g., providing written notice, right to representation, opportunity to present defense, impartial chairperson).</w:t>
            </w:r>
          </w:p>
        </w:tc>
      </w:tr>
    </w:tbl>
    <w:p>
      <w:pPr>
        <w:spacing w:after="80"/>
      </w:pPr>
    </w:p>
    <w:p>
      <w:pPr>
        <w:spacing w:before="120" w:after="40"/>
      </w:pPr>
      <w:r>
        <w:rPr>
          <w:b/>
        </w:rPr>
        <w:t>Question 3 (IAC0103): Secondary Sources for Statutory Interpretation (3 Marks)</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MARKING SCHEME &amp; BENCHMARK</w:t>
              <w:br/>
            </w:r>
            <w:r>
              <w:rPr>
                <w:color w:val="333333"/>
                <w:sz w:val="19"/>
              </w:rPr>
              <w:t>Award 1 Mark per valid source identified and explained (Max 3 Marks):</w:t>
            </w:r>
          </w:p>
          <w:p>
            <w:pPr>
              <w:spacing w:before="0" w:after="40"/>
            </w:pPr>
            <w:r>
              <w:rPr>
                <w:color w:val="333333"/>
                <w:sz w:val="19"/>
              </w:rPr>
              <w:t>1. Codes of Good Practice (e.g., Code of Good Practice: Dismissal or Prevention of Harassment).</w:t>
            </w:r>
          </w:p>
          <w:p>
            <w:pPr>
              <w:spacing w:before="0" w:after="40"/>
            </w:pPr>
            <w:r>
              <w:rPr>
                <w:color w:val="333333"/>
                <w:sz w:val="19"/>
              </w:rPr>
              <w:t>2. Case Law &amp; Judicial Precedents (Labour Court, Labour Appeal Court, Constitutional Court judgments).</w:t>
            </w:r>
          </w:p>
          <w:p>
            <w:pPr>
              <w:spacing w:before="0" w:after="40"/>
            </w:pPr>
            <w:r>
              <w:rPr>
                <w:color w:val="333333"/>
                <w:sz w:val="19"/>
              </w:rPr>
              <w:t>3. CCMA Guidelines &amp; Determinations / Legal Commentaries and Statutory Textbooks.</w:t>
            </w:r>
          </w:p>
        </w:tc>
      </w:tr>
    </w:tbl>
    <w:p>
      <w:pPr>
        <w:spacing w:after="80"/>
      </w:pPr>
    </w:p>
    <w:p>
      <w:pPr>
        <w:spacing w:before="120" w:after="40"/>
      </w:pPr>
      <w:r>
        <w:rPr>
          <w:b/>
        </w:rPr>
        <w:t>Question 4 (IAC0104): Contract Elements &amp; Breach Comparison (3 Marks)</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MARKING SCHEME &amp; BENCHMARK</w:t>
              <w:br/>
            </w:r>
            <w:r>
              <w:rPr>
                <w:color w:val="333333"/>
                <w:sz w:val="19"/>
              </w:rPr>
              <w:t>• Essential Elements (1.5 Marks): Offer &amp; Acceptance, Mutual Consideration, Legal Capacity, Lawful Purpose, Certainty of Terms.</w:t>
            </w:r>
          </w:p>
          <w:p>
            <w:pPr>
              <w:spacing w:before="0" w:after="40"/>
            </w:pPr>
            <w:r>
              <w:rPr>
                <w:color w:val="333333"/>
                <w:sz w:val="19"/>
              </w:rPr>
              <w:t>• Breach Comparison (1.5 Marks): In an Employment Contract, breach involves failure of employment duties/remuneration governed by labour law (LRA/BCEA/CCMA). In an SLA, breach involves vendor failure to meet operational service levels governed by civil contract law and commercial remedies.</w:t>
            </w:r>
          </w:p>
        </w:tc>
      </w:tr>
    </w:tbl>
    <w:p>
      <w:pPr>
        <w:spacing w:after="80"/>
      </w:pPr>
    </w:p>
    <w:p>
      <w:pPr>
        <w:spacing w:before="120" w:after="40"/>
      </w:pPr>
      <w:r>
        <w:rPr>
          <w:b/>
        </w:rPr>
        <w:t>Question 5 (IAC0105): Burden of Proof Comparison (3 Marks)</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MARKING SCHEME &amp; BENCHMARK</w:t>
              <w:br/>
            </w:r>
            <w:r>
              <w:rPr>
                <w:color w:val="333333"/>
                <w:sz w:val="19"/>
              </w:rPr>
              <w:t>• Civil/Labour Dispute (1.5 Marks): Burden rests on the employer/initiator; Standard of proof is 'on a balance of probabilities' (more likely than not).</w:t>
            </w:r>
          </w:p>
          <w:p>
            <w:pPr>
              <w:spacing w:before="0" w:after="40"/>
            </w:pPr>
            <w:r>
              <w:rPr>
                <w:color w:val="333333"/>
                <w:sz w:val="19"/>
              </w:rPr>
              <w:t>• Criminal Proceeding (1.5 Marks): Burden rests on the State/Prosecution; Standard of proof is 'beyond a reasonable doubt' (presumption of innocence applies).</w:t>
            </w:r>
          </w:p>
        </w:tc>
      </w:tr>
    </w:tbl>
    <w:p>
      <w:pPr>
        <w:spacing w:after="80"/>
      </w:pPr>
    </w:p>
    <w:p>
      <w:pPr>
        <w:keepNext/>
        <w:spacing w:before="320" w:after="120"/>
        <w:pBdr>
          <w:bottom w:val="single" w:sz="12" w:space="4" w:color="1B365D"/>
        </w:pBdr>
      </w:pPr>
      <w:r>
        <w:rPr>
          <w:rFonts w:ascii="Arial" w:hAnsi="Arial"/>
          <w:b/>
          <w:color w:val="1B365D"/>
          <w:sz w:val="30"/>
        </w:rPr>
        <w:t>SECTION 2: SCENARIO-BASED PRACTICAL TASK MEMO (20 MARKS)</w:t>
      </w:r>
    </w:p>
    <w:p>
      <w:pPr>
        <w:keepNext/>
        <w:spacing w:before="240" w:after="80"/>
      </w:pPr>
      <w:r>
        <w:rPr>
          <w:rFonts w:ascii="Arial" w:hAnsi="Arial"/>
          <w:b/>
          <w:color w:val="107C41"/>
          <w:sz w:val="25"/>
        </w:rPr>
        <w:t>Task 1 Model Answer: SLA Breach &amp; Contract Law Analysis (10 Marks - IAC0104)</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MODEL ANSWER &amp; RUBRIC - PRACTICAL TASK 1</w:t>
              <w:br/>
            </w:r>
            <w:r>
              <w:rPr>
                <w:color w:val="333333"/>
                <w:sz w:val="19"/>
              </w:rPr>
              <w:t>1.1 Breach Evaluation &amp; Third-Party Exemption Analysis (5 Marks):</w:t>
            </w:r>
          </w:p>
          <w:p>
            <w:pPr>
              <w:spacing w:before="0" w:after="40"/>
            </w:pPr>
            <w:r>
              <w:rPr>
                <w:color w:val="333333"/>
                <w:sz w:val="19"/>
              </w:rPr>
              <w:t>• Material Breach Determination (2.5 Marks): TechHR Solutions is in material breach of contract. System downtime reached 18% (violating the 99.5% uptime SLA guarantee), and the data leak violates explicit POPIA encryption and confidentiality clauses.</w:t>
            </w:r>
          </w:p>
          <w:p>
            <w:pPr>
              <w:spacing w:before="0" w:after="40"/>
            </w:pPr>
            <w:r>
              <w:rPr>
                <w:color w:val="333333"/>
                <w:sz w:val="19"/>
              </w:rPr>
              <w:t>• Exemption Argument Rejection (2.5 Marks): Under contract law, TechHR Solutions cannot claim 'third-party exemption'. They contracted directly with Apex Logistics and remain strictly liable for the performance of their sub-contractors. Sub-contractor failure does not relieve the primary contractor of contractual obligations unless a specific force majeure clause applies (which server overload does not satisfy).</w:t>
            </w:r>
          </w:p>
          <w:p>
            <w:pPr>
              <w:spacing w:before="0" w:after="40"/>
            </w:pPr>
            <w:r>
              <w:rPr>
                <w:color w:val="333333"/>
                <w:sz w:val="19"/>
              </w:rPr>
            </w:r>
          </w:p>
          <w:p>
            <w:pPr>
              <w:spacing w:before="0" w:after="40"/>
            </w:pPr>
            <w:r>
              <w:rPr>
                <w:color w:val="333333"/>
                <w:sz w:val="19"/>
              </w:rPr>
              <w:t>1.2 Actionable Contractual Remedies (5 Marks):</w:t>
            </w:r>
          </w:p>
          <w:p>
            <w:pPr>
              <w:spacing w:before="0" w:after="40"/>
            </w:pPr>
            <w:r>
              <w:rPr>
                <w:color w:val="333333"/>
                <w:sz w:val="19"/>
              </w:rPr>
              <w:t>• Award 1.5 Marks per valid remedy correctly articulated (Max 5 Marks):</w:t>
            </w:r>
          </w:p>
          <w:p>
            <w:pPr>
              <w:spacing w:before="0" w:after="40"/>
            </w:pPr>
            <w:r>
              <w:rPr>
                <w:color w:val="333333"/>
                <w:sz w:val="19"/>
              </w:rPr>
              <w:t>1. Enforcement of SLA Financial Penalties / Service Credits: Deducting contract fees as pre-agreed in the SLA penalty schedule.</w:t>
            </w:r>
          </w:p>
          <w:p>
            <w:pPr>
              <w:spacing w:before="0" w:after="40"/>
            </w:pPr>
            <w:r>
              <w:rPr>
                <w:color w:val="333333"/>
                <w:sz w:val="19"/>
              </w:rPr>
              <w:t>2. Formal Notice to Cure &amp; Contract Termination: Issuing a formal breach notice granting a 7-day cure window, failing which Apex terminates the contract without penalty.</w:t>
            </w:r>
          </w:p>
          <w:p>
            <w:pPr>
              <w:spacing w:before="0" w:after="40"/>
            </w:pPr>
            <w:r>
              <w:rPr>
                <w:color w:val="333333"/>
                <w:sz w:val="19"/>
              </w:rPr>
              <w:t>3. Claim for Damages: Seeking compensation for financial losses incurred due to delayed salary processing and potential POPIA regulatory fines.</w:t>
            </w:r>
          </w:p>
        </w:tc>
      </w:tr>
    </w:tbl>
    <w:p>
      <w:pPr>
        <w:spacing w:after="80"/>
      </w:pPr>
    </w:p>
    <w:p>
      <w:pPr>
        <w:keepNext/>
        <w:spacing w:before="240" w:after="80"/>
      </w:pPr>
      <w:r>
        <w:rPr>
          <w:rFonts w:ascii="Arial" w:hAnsi="Arial"/>
          <w:b/>
          <w:color w:val="107C41"/>
          <w:sz w:val="25"/>
        </w:rPr>
        <w:t>Task 2 Model Answer: Burden of Proof &amp; Criminal Procedure (10 Marks - IAC0105)</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MODEL ANSWER &amp; RUBRIC - PRACTICAL TASK 2</w:t>
              <w:br/>
            </w:r>
            <w:r>
              <w:rPr>
                <w:color w:val="333333"/>
                <w:sz w:val="19"/>
              </w:rPr>
              <w:t>2.1 Evaluation of Operations Manager's Position (5 Marks):</w:t>
            </w:r>
          </w:p>
          <w:p>
            <w:pPr>
              <w:spacing w:before="0" w:after="40"/>
            </w:pPr>
            <w:r>
              <w:rPr>
                <w:color w:val="333333"/>
                <w:sz w:val="19"/>
              </w:rPr>
              <w:t>• Legal Error Identification (2.5 Marks): The manager is legally incorrect. Criminal arrest does not automatically terminate employment nor replace internal disciplinary procedures.</w:t>
            </w:r>
          </w:p>
          <w:p>
            <w:pPr>
              <w:spacing w:before="0" w:after="40"/>
            </w:pPr>
            <w:r>
              <w:rPr>
                <w:color w:val="333333"/>
                <w:sz w:val="19"/>
              </w:rPr>
              <w:t>• LRA Statutory Obligation (2.5 Marks): Dismissing Mr. Khumalo without an internal hearing violates Section 188 of the LRA and the Code of Good Practice: Dismissal, resulting in an Unfair Dismissal finding at the CCMA (procedural unfairness). The employer must conduct its own internal investigation and hearing regardless of police involvement.</w:t>
            </w:r>
          </w:p>
          <w:p>
            <w:pPr>
              <w:spacing w:before="0" w:after="40"/>
            </w:pPr>
            <w:r>
              <w:rPr>
                <w:color w:val="333333"/>
                <w:sz w:val="19"/>
              </w:rPr>
            </w:r>
          </w:p>
          <w:p>
            <w:pPr>
              <w:spacing w:before="0" w:after="40"/>
            </w:pPr>
            <w:r>
              <w:rPr>
                <w:color w:val="333333"/>
                <w:sz w:val="19"/>
              </w:rPr>
              <w:t>2.2 Burden of Proof &amp; Criminal vs. Workplace Hearing Comparison (5 Marks):</w:t>
            </w:r>
          </w:p>
          <w:p>
            <w:pPr>
              <w:spacing w:before="0" w:after="40"/>
            </w:pPr>
            <w:r>
              <w:rPr>
                <w:color w:val="333333"/>
                <w:sz w:val="19"/>
              </w:rPr>
              <w:t>• Standard of Proof Comparison (2.5 Marks): In criminal court, police must prove guilt 'beyond a reasonable doubt'. In the workplace hearing, the employer only needs to prove misconduct 'on a balance of probabilities' (i.e., based on CCTV footage and unauthorized cage entry, it is more likely than not that Khumalo committed misconduct).</w:t>
            </w:r>
          </w:p>
          <w:p>
            <w:pPr>
              <w:spacing w:before="0" w:after="40"/>
            </w:pPr>
            <w:r>
              <w:rPr>
                <w:color w:val="333333"/>
                <w:sz w:val="19"/>
              </w:rPr>
              <w:t>• Dual Jurisdiction / Acquittal Effect (2.5 Marks): An acquittal or case withdrawal in criminal court does not prevent a fair internal dismissal. The criminal case failed on a technical evidentiary rule ('beyond reasonable doubt'), whereas internal CCTV evidence satisfies workplace probability standards for breach of trust and unauthorized entry.</w:t>
            </w:r>
          </w:p>
        </w:tc>
      </w:tr>
    </w:tbl>
    <w:p>
      <w:pPr>
        <w:spacing w:after="80"/>
      </w:pPr>
    </w:p>
    <w:p>
      <w:pPr>
        <w:keepNext/>
        <w:spacing w:before="320" w:after="120"/>
        <w:pBdr>
          <w:bottom w:val="single" w:sz="12" w:space="4" w:color="1B365D"/>
        </w:pBdr>
      </w:pPr>
      <w:r>
        <w:rPr>
          <w:rFonts w:ascii="Arial" w:hAnsi="Arial"/>
          <w:b/>
          <w:color w:val="1B365D"/>
          <w:sz w:val="30"/>
        </w:rPr>
        <w:t>SECTION 3: INTEGRATED MARKING MATRIX &amp; MODERATION FORM</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Topic KM0401 Task Component</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Maximum Marks</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Learner Score</w:t>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Assessor Comments</w:t>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A: Multiple Choice Questions</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5</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Part B: True / False Questions</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5</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C: True / False Justification</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5</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Part D: Short Answer Conceptual Questions</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15</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Practical Task 1: SLA Breach &amp; Contract Law</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10</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Practical Task 2: Burden of Proof &amp; Criminal Distinction</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10</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TOTAL FORMATIVE ASSESSMENT SCORE</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b/>
                <w:color w:val="333333"/>
                <w:sz w:val="18"/>
              </w:rPr>
              <w:t>50</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b/>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Minimum Competence Benchmark: 80% (40 Marks)</w:t>
            </w:r>
          </w:p>
        </w:tc>
      </w:tr>
    </w:tbl>
    <w:p>
      <w:pPr>
        <w:spacing w:after="160"/>
      </w:pPr>
    </w:p>
    <w:p>
      <w:pPr>
        <w:keepNext/>
        <w:spacing w:before="160" w:after="40"/>
      </w:pPr>
      <w:r>
        <w:rPr>
          <w:rFonts w:ascii="Arial" w:hAnsi="Arial"/>
          <w:b/>
          <w:color w:val="1B365D"/>
          <w:sz w:val="22"/>
        </w:rPr>
        <w:t>Assessor &amp; Internal Moderator Sign-off Block</w:t>
      </w:r>
    </w:p>
    <w:tbl>
      <w:tblPr>
        <w:tblW w:type="auto" w:w="0"/>
        <w:jc w:val="center"/>
        <w:tblLook w:firstColumn="1" w:firstRow="1" w:lastColumn="0" w:lastRow="0" w:noHBand="0" w:noVBand="1" w:val="04A0"/>
      </w:tblPr>
      <w:tblGrid>
        <w:gridCol w:w="4968"/>
        <w:gridCol w:w="4968"/>
      </w:tblGrid>
      <w:tr>
        <w:trPr>
          <w:cantSplit/>
          <w:tblHeader/>
        </w:trPr>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Assessor Name: ___________________________</w:t>
              <w:br/>
              <w:t>Signature: _______________________________</w:t>
              <w:br/>
              <w:t>Date: ____________________________________</w:t>
            </w:r>
          </w:p>
        </w:tc>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Final Result:  [  ] COMPETENT (80%+)</w:t>
              <w:br/>
              <w:t xml:space="preserve">               [  ] NOT YET COMPETENT</w:t>
            </w:r>
          </w:p>
        </w:tc>
      </w:tr>
      <w:tr>
        <w:trPr>
          <w:cantSplit/>
        </w:trPr>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Internal Moderator Name: _________________</w:t>
              <w:br/>
              <w:t>Signature: _______________________________</w:t>
              <w:br/>
              <w:t>Date: ____________________________________</w:t>
            </w:r>
          </w:p>
        </w:tc>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Moderation Decision: [  ] Upheld</w:t>
              <w:br/>
              <w:t xml:space="preserve">                     [  ] Overruled</w:t>
              <w:br/>
              <w:t>Comments: ________________________________</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