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08080"/>
          <w:sz w:val="20"/>
        </w:rPr>
        <w:t>ADVANCED OCCUPATIONAL CERTIFICATE: HUMAN RESOURCE MANAGEMENT OFFICER</w:t>
      </w:r>
    </w:p>
    <w:p>
      <w:pPr>
        <w:spacing w:before="0" w:after="120"/>
      </w:pPr>
      <w:r>
        <w:rPr>
          <w:b/>
          <w:color w:val="1B365D"/>
          <w:sz w:val="40"/>
        </w:rPr>
        <w:t>INTERNAL FORMATIVE ASSESSMENT WORKBOOK</w:t>
      </w:r>
    </w:p>
    <w:p>
      <w:pPr>
        <w:spacing w:after="240"/>
      </w:pPr>
      <w:r>
        <w:rPr>
          <w:i/>
          <w:color w:val="646464"/>
          <w:sz w:val="19"/>
        </w:rPr>
        <w:t>Topic KM0401: Integrated Application of HRM Legislation (Weighting: 33% of KM-04)</w:t>
        <w:br/>
        <w:t>Qualification SAQA ID: 121151 | NQF Level 6 | Curriculum Code: 242303-001-00-00 | Total Marks: 50 Marks</w:t>
      </w:r>
    </w:p>
    <w:p>
      <w:pPr>
        <w:keepNext/>
        <w:spacing w:before="160" w:after="40"/>
      </w:pPr>
      <w:r>
        <w:rPr>
          <w:rFonts w:ascii="Arial" w:hAnsi="Arial"/>
          <w:b/>
          <w:color w:val="1B365D"/>
          <w:sz w:val="22"/>
        </w:rPr>
        <w:t>Learner &amp; Assessment Details</w:t>
      </w:r>
    </w:p>
    <w:tbl>
      <w:tblPr>
        <w:tblW w:type="auto" w:w="0"/>
        <w:jc w:val="center"/>
        <w:tblLook w:firstColumn="1" w:firstRow="1" w:lastColumn="0" w:lastRow="0" w:noHBand="0" w:noVBand="1" w:val="04A0"/>
      </w:tblPr>
      <w:tblGrid>
        <w:gridCol w:w="4968"/>
        <w:gridCol w:w="4968"/>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Full Name: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National ID / Student Number:</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Assessor Name: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Assessment Date: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Assessment Result (Competent / Not Yet Competent):</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bl>
    <w:p>
      <w:pPr>
        <w:spacing w:after="80"/>
      </w:pPr>
    </w:p>
    <w:p>
      <w:pPr>
        <w:keepNext/>
        <w:spacing w:before="160" w:after="40"/>
      </w:pPr>
      <w:r>
        <w:rPr>
          <w:rFonts w:ascii="Arial" w:hAnsi="Arial"/>
          <w:b/>
          <w:color w:val="1B365D"/>
          <w:sz w:val="22"/>
        </w:rPr>
        <w:t>Topic KM0401 Curriculum &amp; Assessment Criteria Alignment</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Knowledge Topic Element (KT)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Internal Assessment Criteria (IAC)</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Workbook Section</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KT0101: Detailed understanding of the overall legislative framework associated with HRM</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IAC0101: Summarise the overall legislative framework associated with HRM</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Part B, Part D (Q1)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KT0102: Detailed application principles for all HR-related legislation and regulatory requirements</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IAC0102: Discuss the application principles of all HR-related legislation and regulatory requirements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A, Part B, Part D (Q2)</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KT0103: Processes and principles for the interpretation of HR legislation</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IAC0103: Provide examples of processes and principles for the interpretation of HR legislation</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(Q1), Part D (Q3)</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KT0104: Basic principles of contract law as applicable to SLAs and employment contracts</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IAC0104: Solve problems relating to the application of contract law as applicable to SLAs and employment contracts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C (Q2), Part D (Q4), Part E Case 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KT0105: Basic principles and distinction between the burden of proof and criminal procedure</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IAC0105: Discuss the basic principles of the burden of proof and explain when criminal procedure is applicable</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B, Part D (Q5), Part E Case 2</w:t>
            </w:r>
          </w:p>
        </w:tc>
      </w:tr>
    </w:tbl>
    <w:p>
      <w:pPr>
        <w:spacing w:after="120"/>
      </w:pP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FORMATIVE ASSESSMENT INSTRUCTIONS</w:t>
              <w:br/>
            </w:r>
            <w:r>
              <w:rPr>
                <w:color w:val="333333"/>
                <w:sz w:val="19"/>
              </w:rPr>
              <w:t>1. This formative workbook assesses your theoretical mastery and practical application of South African HRM legislation under Topic KM0401.</w:t>
            </w:r>
          </w:p>
          <w:p>
            <w:pPr>
              <w:spacing w:before="0" w:after="40"/>
            </w:pPr>
            <w:r>
              <w:rPr>
                <w:color w:val="333333"/>
                <w:sz w:val="19"/>
              </w:rPr>
              <w:t>2. Complete all questions in UK English using clear, professional legal and HR terminology.</w:t>
            </w:r>
          </w:p>
          <w:p>
            <w:pPr>
              <w:spacing w:before="0" w:after="40"/>
            </w:pPr>
            <w:r>
              <w:rPr>
                <w:color w:val="333333"/>
                <w:sz w:val="19"/>
              </w:rPr>
              <w:t>3. Ensure your answers demonstrate NQF Level 6 depth: critical analysis, accurate legislative referencing, and sound legal application.</w:t>
            </w:r>
          </w:p>
          <w:p>
            <w:pPr>
              <w:spacing w:before="0" w:after="40"/>
            </w:pPr>
            <w:r>
              <w:rPr>
                <w:color w:val="333333"/>
                <w:sz w:val="19"/>
              </w:rPr>
              <w:t>4. Total Marks: 50 Marks. Pass Benchmark: 80% (40 Marks).</w:t>
            </w:r>
          </w:p>
        </w:tc>
      </w:tr>
    </w:tbl>
    <w:p>
      <w:pPr>
        <w:spacing w:after="80"/>
      </w:pPr>
    </w:p>
    <w:p>
      <w:pPr>
        <w:keepNext/>
        <w:spacing w:before="320" w:after="120"/>
        <w:pBdr>
          <w:bottom w:val="single" w:sz="12" w:space="4" w:color="1B365D"/>
        </w:pBdr>
      </w:pPr>
      <w:r>
        <w:rPr>
          <w:rFonts w:ascii="Arial" w:hAnsi="Arial"/>
          <w:b/>
          <w:color w:val="1B365D"/>
          <w:sz w:val="30"/>
        </w:rPr>
        <w:t>SECTION 1: KNOWLEDGE &amp; UNDERSTANDING TASKS (30 MARKS)</w:t>
      </w:r>
    </w:p>
    <w:p>
      <w:pPr>
        <w:keepNext/>
        <w:spacing w:before="240" w:after="80"/>
      </w:pPr>
      <w:r>
        <w:rPr>
          <w:rFonts w:ascii="Arial" w:hAnsi="Arial"/>
          <w:b/>
          <w:color w:val="008080"/>
          <w:sz w:val="25"/>
        </w:rPr>
        <w:t>Part A: Multiple-Choice Questions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A</w:t>
              <w:br/>
            </w:r>
            <w:r>
              <w:rPr>
                <w:color w:val="333333"/>
                <w:sz w:val="19"/>
              </w:rPr>
              <w:t>Select the most appropriate answer for each question by placing an 'X' in the corresponding box [ ]. Each question carries 1 mark.</w:t>
            </w:r>
          </w:p>
        </w:tc>
      </w:tr>
    </w:tbl>
    <w:p>
      <w:pPr>
        <w:spacing w:after="80"/>
      </w:pPr>
    </w:p>
    <w:p>
      <w:pPr>
        <w:keepNext/>
        <w:spacing w:before="120" w:after="40"/>
      </w:pPr>
      <w:r>
        <w:rPr>
          <w:b/>
        </w:rPr>
        <w:t>Q1. 1. Which statute forms the constitutional foundation of all South African labour law, explicitly enshrining fundamental rights such as fair labour practices, equality, and freedom of association?</w:t>
      </w:r>
    </w:p>
    <w:p>
      <w:pPr>
        <w:spacing w:before="0" w:after="20"/>
        <w:ind w:left="360"/>
      </w:pPr>
      <w:r>
        <w:t>[  ]  A) Basic Conditions of Employment Act (Act 75 of 1997)</w:t>
      </w:r>
    </w:p>
    <w:p>
      <w:pPr>
        <w:spacing w:before="0" w:after="20"/>
        <w:ind w:left="360"/>
      </w:pPr>
      <w:r>
        <w:t>[  ]  B) Constitution of the Republic of South Africa (Act 108 of 1996)</w:t>
      </w:r>
    </w:p>
    <w:p>
      <w:pPr>
        <w:spacing w:before="0" w:after="20"/>
        <w:ind w:left="360"/>
      </w:pPr>
      <w:r>
        <w:t>[  ]  C) Labour Relations Act (Act 66 of 1995)</w:t>
      </w:r>
    </w:p>
    <w:p>
      <w:pPr>
        <w:spacing w:before="0" w:after="20"/>
        <w:ind w:left="360"/>
      </w:pPr>
      <w:r>
        <w:t>[  ]  D) Employment Equity Act (Act 52 of 1998)</w:t>
      </w:r>
    </w:p>
    <w:p>
      <w:pPr>
        <w:spacing w:after="40"/>
      </w:pPr>
    </w:p>
    <w:p>
      <w:pPr>
        <w:keepNext/>
        <w:spacing w:before="120" w:after="40"/>
      </w:pPr>
      <w:r>
        <w:rPr>
          <w:b/>
        </w:rPr>
        <w:t>Q2. 2. An employer with an annual payroll exceeding R500,000 is legally required to pay a 1% skills development levy monthly via SARS under which statutory framework?</w:t>
      </w:r>
    </w:p>
    <w:p>
      <w:pPr>
        <w:spacing w:before="0" w:after="20"/>
        <w:ind w:left="360"/>
      </w:pPr>
      <w:r>
        <w:t>[  ]  A) Skills Development Act (Act 98 of 1998)</w:t>
      </w:r>
    </w:p>
    <w:p>
      <w:pPr>
        <w:spacing w:before="0" w:after="20"/>
        <w:ind w:left="360"/>
      </w:pPr>
      <w:r>
        <w:t>[  ]  B) Skills Development Levies Act</w:t>
      </w:r>
    </w:p>
    <w:p>
      <w:pPr>
        <w:spacing w:before="0" w:after="20"/>
        <w:ind w:left="360"/>
      </w:pPr>
      <w:r>
        <w:t>[  ]  C) Income Tax Act</w:t>
      </w:r>
    </w:p>
    <w:p>
      <w:pPr>
        <w:spacing w:before="0" w:after="20"/>
        <w:ind w:left="360"/>
      </w:pPr>
      <w:r>
        <w:t>[  ]  D) Broad-Based Black Economic Empowerment Act</w:t>
      </w:r>
    </w:p>
    <w:p>
      <w:pPr>
        <w:spacing w:after="40"/>
      </w:pPr>
    </w:p>
    <w:p>
      <w:pPr>
        <w:keepNext/>
        <w:spacing w:before="120" w:after="40"/>
      </w:pPr>
      <w:r>
        <w:rPr>
          <w:b/>
        </w:rPr>
        <w:t>Q3. 3. The HR application principle ensuring that employers maintain both valid/justifiable reasons for actions (substantive) and fair processes in decision-making (procedural) is known as the:</w:t>
      </w:r>
    </w:p>
    <w:p>
      <w:pPr>
        <w:spacing w:before="0" w:after="20"/>
        <w:ind w:left="360"/>
      </w:pPr>
      <w:r>
        <w:t>[  ]  A) Principle of Equality</w:t>
      </w:r>
    </w:p>
    <w:p>
      <w:pPr>
        <w:spacing w:before="0" w:after="20"/>
        <w:ind w:left="360"/>
      </w:pPr>
      <w:r>
        <w:t>[  ]  B) Principle of Good Faith</w:t>
      </w:r>
    </w:p>
    <w:p>
      <w:pPr>
        <w:spacing w:before="0" w:after="20"/>
        <w:ind w:left="360"/>
      </w:pPr>
      <w:r>
        <w:t>[  ]  C) Principle of Fairness</w:t>
      </w:r>
    </w:p>
    <w:p>
      <w:pPr>
        <w:spacing w:before="0" w:after="20"/>
        <w:ind w:left="360"/>
      </w:pPr>
      <w:r>
        <w:t>[  ]  D) Principle of Dignity</w:t>
      </w:r>
    </w:p>
    <w:p>
      <w:pPr>
        <w:spacing w:after="40"/>
      </w:pPr>
    </w:p>
    <w:p>
      <w:pPr>
        <w:keepNext/>
        <w:spacing w:before="120" w:after="40"/>
      </w:pPr>
      <w:r>
        <w:rPr>
          <w:b/>
        </w:rPr>
        <w:t>Q4. 4. Which primary statutory function of the Commission for Conciliation, Mediation and Arbitration (CCMA) involves a neutral commissioner facilitating discussions to help parties reach a voluntary settlement?</w:t>
      </w:r>
    </w:p>
    <w:p>
      <w:pPr>
        <w:spacing w:before="0" w:after="20"/>
        <w:ind w:left="360"/>
      </w:pPr>
      <w:r>
        <w:t>[  ]  A) Arbitration</w:t>
      </w:r>
    </w:p>
    <w:p>
      <w:pPr>
        <w:spacing w:before="0" w:after="20"/>
        <w:ind w:left="360"/>
      </w:pPr>
      <w:r>
        <w:t>[  ]  B) Conciliation</w:t>
      </w:r>
    </w:p>
    <w:p>
      <w:pPr>
        <w:spacing w:before="0" w:after="20"/>
        <w:ind w:left="360"/>
      </w:pPr>
      <w:r>
        <w:t>[  ]  C) Essential Services Determination</w:t>
      </w:r>
    </w:p>
    <w:p>
      <w:pPr>
        <w:spacing w:before="0" w:after="20"/>
        <w:ind w:left="360"/>
      </w:pPr>
      <w:r>
        <w:t>[  ]  D) Con-Arb Default Award</w:t>
      </w:r>
    </w:p>
    <w:p>
      <w:pPr>
        <w:spacing w:after="40"/>
      </w:pPr>
    </w:p>
    <w:p>
      <w:pPr>
        <w:keepNext/>
        <w:spacing w:before="120" w:after="40"/>
      </w:pPr>
      <w:r>
        <w:rPr>
          <w:b/>
        </w:rPr>
        <w:t>Q5. 5. In an employment contract, the requirement that the employee provides their skills and labour while the employer provides remuneration satisfies which fundamental contract law element?</w:t>
      </w:r>
    </w:p>
    <w:p>
      <w:pPr>
        <w:spacing w:before="0" w:after="20"/>
        <w:ind w:left="360"/>
      </w:pPr>
      <w:r>
        <w:t>[  ]  A) Offer and Acceptance</w:t>
      </w:r>
    </w:p>
    <w:p>
      <w:pPr>
        <w:spacing w:before="0" w:after="20"/>
        <w:ind w:left="360"/>
      </w:pPr>
      <w:r>
        <w:t>[  ]  B) Consideration</w:t>
      </w:r>
    </w:p>
    <w:p>
      <w:pPr>
        <w:spacing w:before="0" w:after="20"/>
        <w:ind w:left="360"/>
      </w:pPr>
      <w:r>
        <w:t>[  ]  C) Capacity to Contract</w:t>
      </w:r>
    </w:p>
    <w:p>
      <w:pPr>
        <w:spacing w:before="0" w:after="20"/>
        <w:ind w:left="360"/>
      </w:pPr>
      <w:r>
        <w:t>[  ]  D) Legality</w:t>
      </w:r>
    </w:p>
    <w:p>
      <w:pPr>
        <w:spacing w:after="40"/>
      </w:pPr>
    </w:p>
    <w:p>
      <w:pPr>
        <w:keepNext/>
        <w:spacing w:before="240" w:after="80"/>
      </w:pPr>
      <w:r>
        <w:rPr>
          <w:rFonts w:ascii="Arial" w:hAnsi="Arial"/>
          <w:b/>
          <w:color w:val="008080"/>
          <w:sz w:val="25"/>
        </w:rPr>
        <w:t>Part B: True / False Questions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B</w:t>
              <w:br/>
            </w:r>
            <w:r>
              <w:rPr>
                <w:color w:val="333333"/>
                <w:sz w:val="19"/>
              </w:rPr>
              <w:t>Indicate whether each statement is True or False by placing an 'X' in the appropriate column.</w:t>
            </w:r>
          </w:p>
        </w:tc>
      </w:tr>
    </w:tbl>
    <w:p>
      <w:pPr>
        <w:spacing w:after="80"/>
      </w:pPr>
    </w:p>
    <w:tbl>
      <w:tblPr>
        <w:tblW w:type="auto" w:w="0"/>
        <w:jc w:val="center"/>
        <w:tblLook w:firstColumn="1" w:firstRow="1" w:lastColumn="0" w:lastRow="0" w:noHBand="0" w:noVBand="1" w:val="04A0"/>
      </w:tblPr>
      <w:tblGrid>
        <w:gridCol w:w="3312"/>
        <w:gridCol w:w="3312"/>
        <w:gridCol w:w="3312"/>
      </w:tblGrid>
      <w:tr>
        <w:trPr>
          <w:cantSplit/>
          <w:tblHeader/>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Statement</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True</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False</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1. Regulations specify HOW a statutory Act must be implemented, while Codes of Good Practice provide practical guidelines for workplace practice.</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2. 2. In CCMA arbitration and labour court disciplinary disputes, the standard of proof required is 'beyond a reasonable doubt'.</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3. 3. Under the Protection of Personal Information Act (POPIA), employers may collect and process employee personal data without establishing lawful purpose or security safeguards.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4. 4. The principle of purposive interpretation requires interpreting HR legislation by focusing on its overall purpose and context rather than a strictly literal reading.</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5. 5. An employment contract remains legally enforceable even if its underlying terms require an employee to perform an unlawful act.</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bl>
    <w:p>
      <w:pPr>
        <w:spacing w:after="120"/>
      </w:pPr>
    </w:p>
    <w:p>
      <w:pPr>
        <w:keepNext/>
        <w:spacing w:before="240" w:after="80"/>
      </w:pPr>
      <w:r>
        <w:rPr>
          <w:rFonts w:ascii="Arial" w:hAnsi="Arial"/>
          <w:b/>
          <w:color w:val="008080"/>
          <w:sz w:val="25"/>
        </w:rPr>
        <w:t>Part C: True / False with Technical Justification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C</w:t>
              <w:br/>
            </w:r>
            <w:r>
              <w:rPr>
                <w:color w:val="333333"/>
                <w:sz w:val="19"/>
              </w:rPr>
              <w:t>State whether the statement is TRUE or FALSE, and provide a legal and theoretical justification (2–4 sentences). Each item carries 2.5 marks.</w:t>
            </w:r>
          </w:p>
        </w:tc>
      </w:tr>
    </w:tbl>
    <w:p>
      <w:pPr>
        <w:spacing w:after="80"/>
      </w:pPr>
    </w:p>
    <w:p>
      <w:pPr>
        <w:spacing w:before="120" w:after="40"/>
      </w:pPr>
      <w:r>
        <w:rPr>
          <w:b/>
        </w:rPr>
        <w:t>Statement 1: 'When an employee is suspected of theft in the workplace, the employer must initiate criminal proceedings in a magistrate's court before conducting an internal disciplinary hearing.'</w:t>
      </w:r>
    </w:p>
    <w:tbl>
      <w:tblPr>
        <w:tblW w:type="auto" w:w="0"/>
        <w:tblLook w:firstColumn="1" w:firstRow="1" w:lastColumn="0" w:lastRow="0" w:noHBand="0" w:noVBand="1" w:val="04A0"/>
      </w:tblPr>
      <w:tblGrid>
        <w:gridCol w:w="9936"/>
      </w:tblGrid>
      <w:tr>
        <w:tc>
          <w:tcPr>
            <w:tcW w:type="dxa" w:w="9936"/>
            <w:shd w:fill="F4F6F9"/>
            <w:tcMar>
              <w:top w:w="100" w:type="dxa"/>
              <w:bottom w:w="100" w:type="dxa"/>
              <w:left w:w="120" w:type="dxa"/>
              <w:right w:w="120" w:type="dxa"/>
            </w:tcMar>
          </w:tcPr>
          <w:p>
            <w:r>
              <w:t>Answer (True/False): ____________________</w:t>
              <w:br/>
              <w:t xml:space="preserve">Justification: </w:t>
              <w:br/>
              <w:br/>
              <w:br/>
            </w:r>
          </w:p>
        </w:tc>
      </w:tr>
    </w:tbl>
    <w:p>
      <w:pPr>
        <w:spacing w:after="80"/>
      </w:pPr>
    </w:p>
    <w:p>
      <w:pPr>
        <w:spacing w:before="120" w:after="40"/>
      </w:pPr>
      <w:r>
        <w:rPr>
          <w:b/>
        </w:rPr>
        <w:t>Statement 2: 'Under contract law, a Service Level Agreement (SLA) with an external HR service provider requires clear performance standards, remedies for breach, and mutual consideration to be legally binding.'</w:t>
      </w:r>
    </w:p>
    <w:tbl>
      <w:tblPr>
        <w:tblW w:type="auto" w:w="0"/>
        <w:tblLook w:firstColumn="1" w:firstRow="1" w:lastColumn="0" w:lastRow="0" w:noHBand="0" w:noVBand="1" w:val="04A0"/>
      </w:tblPr>
      <w:tblGrid>
        <w:gridCol w:w="9936"/>
      </w:tblGrid>
      <w:tr>
        <w:tc>
          <w:tcPr>
            <w:tcW w:type="dxa" w:w="9936"/>
            <w:shd w:fill="F4F6F9"/>
            <w:tcMar>
              <w:top w:w="100" w:type="dxa"/>
              <w:bottom w:w="100" w:type="dxa"/>
              <w:left w:w="120" w:type="dxa"/>
              <w:right w:w="120" w:type="dxa"/>
            </w:tcMar>
          </w:tcPr>
          <w:p>
            <w:r>
              <w:t>Answer (True/False): ____________________</w:t>
              <w:br/>
              <w:t xml:space="preserve">Justification: </w:t>
              <w:br/>
              <w:br/>
              <w:br/>
            </w:r>
          </w:p>
        </w:tc>
      </w:tr>
    </w:tbl>
    <w:p>
      <w:pPr>
        <w:spacing w:after="80"/>
      </w:pPr>
    </w:p>
    <w:p>
      <w:pPr>
        <w:keepNext/>
        <w:spacing w:before="240" w:after="80"/>
      </w:pPr>
      <w:r>
        <w:rPr>
          <w:rFonts w:ascii="Arial" w:hAnsi="Arial"/>
          <w:b/>
          <w:color w:val="008080"/>
          <w:sz w:val="25"/>
        </w:rPr>
        <w:t>Part D: Short Answer Conceptual Questions (15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D</w:t>
              <w:br/>
            </w:r>
            <w:r>
              <w:rPr>
                <w:color w:val="333333"/>
                <w:sz w:val="19"/>
              </w:rPr>
              <w:t>Answer the following questions concisely based on Topic KM0401 guidelines and South African labour legislation.</w:t>
            </w:r>
          </w:p>
        </w:tc>
      </w:tr>
    </w:tbl>
    <w:p>
      <w:pPr>
        <w:spacing w:after="80"/>
      </w:pPr>
    </w:p>
    <w:p>
      <w:pPr>
        <w:keepNext/>
        <w:spacing w:before="120" w:after="40"/>
      </w:pPr>
      <w:r>
        <w:rPr>
          <w:b/>
        </w:rPr>
        <w:t>Question 1 (IAC0101): Summarise the core purpose of three (3) key South African labour statutes (e.g., LRA, BCEA, EEA, SDA) and explain how they interact to protect workplace rights.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2 (IAC0102): Differentiate between 'Procedural Fairness' and 'Substantive Fairness' in the context of workplace disciplinary actions, giving one practical example of each.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3 (IAC0103): Outline three (3) primary tools or secondary sources that an HR Officer should consult when interpreting ambiguous provisions in HR legislation.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4 (IAC0104): List three (3) essential elements of a valid contract and explain how a breach of contract differs between an Employment Contract and an HR Service Level Agreement (SLA).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5 (IAC0105): Contrast the 'Burden of Proof' in a civil/labour dispute with that in a criminal proceeding, specifying the applicable standard of proof for each.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320" w:after="120"/>
        <w:pBdr>
          <w:bottom w:val="single" w:sz="12" w:space="4" w:color="1B365D"/>
        </w:pBdr>
      </w:pPr>
      <w:r>
        <w:rPr>
          <w:rFonts w:ascii="Arial" w:hAnsi="Arial"/>
          <w:b/>
          <w:color w:val="1B365D"/>
          <w:sz w:val="30"/>
        </w:rPr>
        <w:t>SECTION 2: SCENARIO-BASED PRACTICAL APPLICATION TASKS (20 MARKS)</w:t>
      </w:r>
    </w:p>
    <w:p>
      <w:pPr>
        <w:keepNext/>
        <w:spacing w:before="240" w:after="80"/>
      </w:pPr>
      <w:r>
        <w:rPr>
          <w:rFonts w:ascii="Arial" w:hAnsi="Arial"/>
          <w:b/>
          <w:color w:val="008080"/>
          <w:sz w:val="25"/>
        </w:rPr>
        <w:t>Practical Task 1: Contract Law &amp; SLA Dispute Resolution (10 Marks - IAC0104)</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CASE STUDY 1 - CONTRACT LAW &amp; SLA APPLICATION</w:t>
              <w:br/>
            </w:r>
            <w:r>
              <w:rPr>
                <w:color w:val="333333"/>
                <w:sz w:val="19"/>
              </w:rPr>
              <w:t>SCENARIO CONTEXT - APEX LOGISTICS HR SOFTWARE CONTRACT DISPUTE:</w:t>
            </w:r>
          </w:p>
          <w:p>
            <w:pPr>
              <w:spacing w:before="0" w:after="40"/>
            </w:pPr>
            <w:r>
              <w:rPr>
                <w:color w:val="333333"/>
                <w:sz w:val="19"/>
              </w:rPr>
              <w:t>Apex Logistics entered into a 24-month Service Level Agreement (SLA) with 'TechHR Solutions' to provide a cloud-based payroll and leave administration platform.</w:t>
            </w:r>
          </w:p>
          <w:p>
            <w:pPr>
              <w:spacing w:before="0" w:after="40"/>
            </w:pPr>
            <w:r>
              <w:rPr>
                <w:color w:val="333333"/>
                <w:sz w:val="19"/>
              </w:rPr>
              <w:t>• Contract Terms: The SLA explicitly specified 99.5% system uptime, monthly tax file generation, data encryption under POPIA, and a 4-hour response window for critical software bugs.</w:t>
            </w:r>
          </w:p>
          <w:p>
            <w:pPr>
              <w:spacing w:before="0" w:after="40"/>
            </w:pPr>
            <w:r>
              <w:rPr>
                <w:color w:val="333333"/>
                <w:sz w:val="19"/>
              </w:rPr>
              <w:t>• Breach Incident: Over the past two months, system downtime reached 18%, causing delayed salary payments. Furthermore, a system glitch exposed confidential employee salary slips to unauthorized staff members, violating data privacy terms.</w:t>
            </w:r>
          </w:p>
          <w:p>
            <w:pPr>
              <w:spacing w:before="0" w:after="40"/>
            </w:pPr>
            <w:r>
              <w:rPr>
                <w:color w:val="333333"/>
                <w:sz w:val="19"/>
              </w:rPr>
              <w:t>• Vendor Response: TechHR Solutions claims they are not liable because the downtime was caused by an unexpected server overload at their sub-contracted data centre, arguing 'third-party exemption'.</w:t>
            </w:r>
          </w:p>
          <w:p>
            <w:pPr>
              <w:spacing w:before="0" w:after="40"/>
            </w:pPr>
            <w:r>
              <w:rPr>
                <w:color w:val="333333"/>
                <w:sz w:val="19"/>
              </w:rPr>
              <w:t>• Client Action Required: The HR Officer has been instructed to evaluate the contractual breach, determine legal remedies under contract law, and draft a formal legal advisory memo for executive management.</w:t>
            </w:r>
          </w:p>
        </w:tc>
      </w:tr>
    </w:tbl>
    <w:p>
      <w:pPr>
        <w:spacing w:after="80"/>
      </w:pPr>
    </w:p>
    <w:p>
      <w:pPr>
        <w:keepNext/>
        <w:spacing w:before="160" w:after="40"/>
      </w:pPr>
      <w:r>
        <w:rPr>
          <w:rFonts w:ascii="Arial" w:hAnsi="Arial"/>
          <w:b/>
          <w:color w:val="1B365D"/>
          <w:sz w:val="22"/>
        </w:rPr>
        <w:t>Task 1 Response Worksheets:</w:t>
      </w:r>
    </w:p>
    <w:p>
      <w:r>
        <w:rPr>
          <w:b/>
        </w:rPr>
        <w:t>1.1 Analyse whether TechHR Solutions is in material breach of contract. Evaluate their 'third-party exemption' argument using basic principles of contract law (Offer/Acceptance, Consideration, Good Faith, Breach).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80"/>
      </w:pPr>
    </w:p>
    <w:p>
      <w:r>
        <w:rPr>
          <w:b/>
        </w:rPr>
        <w:t>1.2 Outline three (3) specific legal or contractual remedies Apex Logistics can enforce against TechHR Solutions under contract law and SLA governance principles.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120"/>
      </w:pPr>
    </w:p>
    <w:p>
      <w:pPr>
        <w:keepNext/>
        <w:spacing w:before="240" w:after="80"/>
      </w:pPr>
      <w:r>
        <w:rPr>
          <w:rFonts w:ascii="Arial" w:hAnsi="Arial"/>
          <w:b/>
          <w:color w:val="008080"/>
          <w:sz w:val="25"/>
        </w:rPr>
        <w:t>Practical Task 2: Burden of Proof &amp; Criminal Procedure Distinction (10 Marks - IAC0105)</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CASE STUDY 2 - BURDEN OF PROOF &amp; DISCIPLINARY JURISDICTION</w:t>
              <w:br/>
            </w:r>
            <w:r>
              <w:rPr>
                <w:color w:val="333333"/>
                <w:sz w:val="19"/>
              </w:rPr>
              <w:t>SCENARIO CONTEXT - ALLEGED WORKPLACE THEFT AT CURIOSA LOGISTICS DEPOT:</w:t>
            </w:r>
          </w:p>
          <w:p>
            <w:pPr>
              <w:spacing w:before="0" w:after="40"/>
            </w:pPr>
            <w:r>
              <w:rPr>
                <w:color w:val="333333"/>
                <w:sz w:val="19"/>
              </w:rPr>
              <w:t>An inventory audit at the Curiosa Logistics Bryanston warehouse revealed high-value electronics missing (valued at R150,000). CCTV footage shows a forklift driver, Mr. S. Khumalo, entering the secured cage after hours without authorization and loading unmanifested boxes into a private vehicle.</w:t>
            </w:r>
          </w:p>
          <w:p>
            <w:pPr>
              <w:spacing w:before="0" w:after="40"/>
            </w:pPr>
            <w:r>
              <w:rPr>
                <w:color w:val="333333"/>
                <w:sz w:val="19"/>
              </w:rPr>
              <w:t>• Management Dilemma: The Operations Manager wants to immediately dismiss Mr. Khumalo and refuses to conduct an internal hearing, stating: 'We called the SAPS; he was arrested for theft, so we don't need an internal HR hearing.'</w:t>
            </w:r>
          </w:p>
          <w:p>
            <w:pPr>
              <w:spacing w:before="0" w:after="40"/>
            </w:pPr>
            <w:r>
              <w:rPr>
                <w:color w:val="333333"/>
                <w:sz w:val="19"/>
              </w:rPr>
              <w:t>• Legal Challenge: The SAPS prosecutor subsequently informs HR that due to a chain-of-custody flaw in police evidence handling, the criminal court case against Mr. Khumalo may be struck off the roll due to lack of proof 'beyond a reasonable doubt'.</w:t>
            </w:r>
          </w:p>
          <w:p>
            <w:pPr>
              <w:spacing w:before="0" w:after="40"/>
            </w:pPr>
            <w:r>
              <w:rPr>
                <w:color w:val="333333"/>
                <w:sz w:val="19"/>
              </w:rPr>
              <w:t>• HR Officer Mandate: The HR Officer must guide management on the legal distinction between criminal court proceedings and internal employment disciplinary hearings.</w:t>
            </w:r>
          </w:p>
        </w:tc>
      </w:tr>
    </w:tbl>
    <w:p>
      <w:pPr>
        <w:spacing w:after="80"/>
      </w:pPr>
    </w:p>
    <w:p>
      <w:pPr>
        <w:keepNext/>
        <w:spacing w:before="160" w:after="40"/>
      </w:pPr>
      <w:r>
        <w:rPr>
          <w:rFonts w:ascii="Arial" w:hAnsi="Arial"/>
          <w:b/>
          <w:color w:val="1B365D"/>
          <w:sz w:val="22"/>
        </w:rPr>
        <w:t>Task 2 Response Worksheets:</w:t>
      </w:r>
    </w:p>
    <w:p>
      <w:r>
        <w:rPr>
          <w:b/>
        </w:rPr>
        <w:t>2.1 Critically evaluate the Operations Manager's statement. Explain why pending criminal proceedings DO NOT replace an internal workplace disciplinary hearing under the Labour Relations Act (BCEA/LRA Principles).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80"/>
      </w:pPr>
    </w:p>
    <w:p>
      <w:r>
        <w:rPr>
          <w:b/>
        </w:rPr>
        <w:t>2.2 Contrast the 'Burden of Proof' and 'Standard of Proof' required in Mr. Khumalo's criminal trial versus his workplace disciplinary hearing. Explain why the employer can lawfully dismiss him even if the criminal court acquits him.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160"/>
      </w:pPr>
    </w:p>
    <w:p>
      <w:pPr>
        <w:keepNext/>
        <w:spacing w:before="320" w:after="120"/>
        <w:pBdr>
          <w:bottom w:val="single" w:sz="12" w:space="4" w:color="1B365D"/>
        </w:pBdr>
      </w:pPr>
      <w:r>
        <w:rPr>
          <w:rFonts w:ascii="Arial" w:hAnsi="Arial"/>
          <w:b/>
          <w:color w:val="1B365D"/>
          <w:sz w:val="30"/>
        </w:rPr>
        <w:t>SECTION 3: ASSESSOR MARKING RUBRIC &amp; EVALUATION SUMMARY</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ASSESSMENT GRADING GRID</w:t>
              <w:br/>
            </w:r>
            <w:r>
              <w:rPr>
                <w:color w:val="333333"/>
                <w:sz w:val="19"/>
              </w:rPr>
              <w:t>This marking grid is completed by the accredited Assessor to record section marks.</w:t>
            </w:r>
          </w:p>
          <w:p>
            <w:pPr>
              <w:spacing w:before="0" w:after="40"/>
            </w:pPr>
            <w:r>
              <w:rPr>
                <w:color w:val="333333"/>
                <w:sz w:val="19"/>
              </w:rPr>
              <w:t>Benchmark for Competence: 80% overall score (40 / 50 Marks).</w:t>
            </w:r>
          </w:p>
        </w:tc>
      </w:tr>
    </w:tbl>
    <w:p>
      <w:pPr>
        <w:spacing w:after="80"/>
      </w:pP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Assessment Area</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Criteria Reference</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Max Marks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Learner Mark</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Outcome (C / NYC)</w:t>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Multiple Choice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KT0101 - KT0105 (IAC0101 - IAC0105)</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True / False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KT0101 - KT0105 (IAC0101 - IAC0105)</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True/False Justification</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KT0103, KT0104 (IAC0103, IAC0104)</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D: Short Answer Concepts</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KT0101 - KT0105 (IAC0101 - IAC0105)</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Practical Task 1: SLA Dispute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KT0104 / IAC0104 (Contract Law)</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Practical Task 2: Burden of Proof</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KT0105 / IAC0105 (Legal Procedure)</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TOTAL FORMATIVE ASSESSMENT</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Topic KM0401 Integrated Competence</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t>50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r>
    </w:tbl>
    <w:p>
      <w:pPr>
        <w:spacing w:after="120"/>
      </w:pPr>
    </w:p>
    <w:p>
      <w:pPr>
        <w:keepNext/>
        <w:spacing w:before="160" w:after="40"/>
      </w:pPr>
      <w:r>
        <w:rPr>
          <w:rFonts w:ascii="Arial" w:hAnsi="Arial"/>
          <w:b/>
          <w:color w:val="1B365D"/>
          <w:sz w:val="22"/>
        </w:rPr>
        <w:t>Assessor Feedback &amp; Decision Block</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Constructive Feedback:</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Re-assessment / Action Required:</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br/>
              <w:br/>
              <w:br/>
              <w:br/>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br/>
              <w:br/>
              <w:br/>
              <w:br/>
            </w:r>
          </w:p>
        </w:tc>
      </w:tr>
    </w:tbl>
    <w:p>
      <w:pPr>
        <w:spacing w:after="160"/>
      </w:pP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Signature: _______________________</w:t>
              <w:br/>
              <w:t>Date: 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Signature: _______________________</w:t>
              <w:br/>
              <w:t>Date: ___________________</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Moderator Signature (if sampled): _______________________</w:t>
              <w:br/>
              <w:t>Date: 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Moderation Outcome: [  ] Accepted   [  ] Rejected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